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EB14B79" w14:textId="77777777" w:rsidTr="00F01738">
        <w:trPr>
          <w:trHeight w:hRule="exact" w:val="851"/>
        </w:trPr>
        <w:tc>
          <w:tcPr>
            <w:tcW w:w="1276" w:type="dxa"/>
            <w:tcBorders>
              <w:bottom w:val="single" w:sz="4" w:space="0" w:color="auto"/>
            </w:tcBorders>
          </w:tcPr>
          <w:p w14:paraId="567048B6" w14:textId="77777777" w:rsidR="00132EA9" w:rsidRPr="00DB58B5" w:rsidRDefault="00132EA9" w:rsidP="001C2A69">
            <w:bookmarkStart w:id="0" w:name="_GoBack"/>
            <w:bookmarkEnd w:id="0"/>
          </w:p>
        </w:tc>
        <w:tc>
          <w:tcPr>
            <w:tcW w:w="2268" w:type="dxa"/>
            <w:tcBorders>
              <w:bottom w:val="single" w:sz="4" w:space="0" w:color="auto"/>
            </w:tcBorders>
            <w:vAlign w:val="bottom"/>
          </w:tcPr>
          <w:p w14:paraId="2CA24D4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97B6A7E" w14:textId="77777777" w:rsidR="00132EA9" w:rsidRPr="00DB58B5" w:rsidRDefault="001C2A69" w:rsidP="001C2A69">
            <w:pPr>
              <w:jc w:val="right"/>
            </w:pPr>
            <w:r w:rsidRPr="001C2A69">
              <w:rPr>
                <w:sz w:val="40"/>
              </w:rPr>
              <w:t>ST</w:t>
            </w:r>
            <w:r>
              <w:t>/SG/AC.10/C.3/2019/19</w:t>
            </w:r>
          </w:p>
        </w:tc>
      </w:tr>
      <w:tr w:rsidR="00132EA9" w:rsidRPr="00DB58B5" w14:paraId="6251A50F" w14:textId="77777777" w:rsidTr="00F01738">
        <w:trPr>
          <w:trHeight w:hRule="exact" w:val="2835"/>
        </w:trPr>
        <w:tc>
          <w:tcPr>
            <w:tcW w:w="1276" w:type="dxa"/>
            <w:tcBorders>
              <w:top w:val="single" w:sz="4" w:space="0" w:color="auto"/>
              <w:bottom w:val="single" w:sz="12" w:space="0" w:color="auto"/>
            </w:tcBorders>
          </w:tcPr>
          <w:p w14:paraId="32A949C8" w14:textId="77777777" w:rsidR="00132EA9" w:rsidRPr="00DB58B5" w:rsidRDefault="00132EA9" w:rsidP="00F01738">
            <w:pPr>
              <w:spacing w:before="120"/>
              <w:jc w:val="center"/>
            </w:pPr>
            <w:r>
              <w:rPr>
                <w:noProof/>
                <w:lang w:eastAsia="fr-CH"/>
              </w:rPr>
              <w:drawing>
                <wp:inline distT="0" distB="0" distL="0" distR="0" wp14:anchorId="25B81289" wp14:editId="21ABDC6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805BE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E530D2F" w14:textId="77777777" w:rsidR="00132EA9" w:rsidRDefault="001C2A69" w:rsidP="00F01738">
            <w:pPr>
              <w:spacing w:before="240"/>
            </w:pPr>
            <w:r>
              <w:t xml:space="preserve">Distr. </w:t>
            </w:r>
            <w:proofErr w:type="gramStart"/>
            <w:r>
              <w:t>générale</w:t>
            </w:r>
            <w:proofErr w:type="gramEnd"/>
          </w:p>
          <w:p w14:paraId="232D6A24" w14:textId="77777777" w:rsidR="001C2A69" w:rsidRDefault="001C2A69" w:rsidP="001C2A69">
            <w:pPr>
              <w:spacing w:line="240" w:lineRule="exact"/>
            </w:pPr>
            <w:r>
              <w:t>5 avril 2019</w:t>
            </w:r>
          </w:p>
          <w:p w14:paraId="204DA50C" w14:textId="77777777" w:rsidR="001C2A69" w:rsidRDefault="001C2A69" w:rsidP="001C2A69">
            <w:pPr>
              <w:spacing w:line="240" w:lineRule="exact"/>
            </w:pPr>
            <w:r>
              <w:t>Français</w:t>
            </w:r>
          </w:p>
          <w:p w14:paraId="5DC17927" w14:textId="77777777" w:rsidR="001C2A69" w:rsidRPr="00DB58B5" w:rsidRDefault="001C2A69" w:rsidP="001C2A69">
            <w:pPr>
              <w:spacing w:line="240" w:lineRule="exact"/>
            </w:pPr>
            <w:r>
              <w:t>Original : anglais</w:t>
            </w:r>
          </w:p>
        </w:tc>
      </w:tr>
    </w:tbl>
    <w:p w14:paraId="71360CC2" w14:textId="77777777" w:rsidR="0047186D" w:rsidRPr="00CA0680" w:rsidRDefault="0047186D"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4194664A" w14:textId="77777777" w:rsidR="0047186D" w:rsidRPr="00855A0D" w:rsidRDefault="0047186D" w:rsidP="000305D3">
      <w:pPr>
        <w:spacing w:before="120"/>
        <w:rPr>
          <w:b/>
          <w:spacing w:val="-4"/>
          <w:sz w:val="24"/>
          <w:szCs w:val="24"/>
        </w:rPr>
      </w:pPr>
      <w:r w:rsidRPr="00855A0D">
        <w:rPr>
          <w:b/>
          <w:spacing w:val="-4"/>
          <w:sz w:val="24"/>
          <w:szCs w:val="24"/>
        </w:rPr>
        <w:t>Sous-Comité d’experts du transport des marchandises dangereuses</w:t>
      </w:r>
    </w:p>
    <w:p w14:paraId="7524E970" w14:textId="77777777" w:rsidR="0047186D" w:rsidRDefault="0047186D" w:rsidP="000305D3">
      <w:pPr>
        <w:spacing w:before="120"/>
        <w:rPr>
          <w:b/>
        </w:rPr>
      </w:pPr>
      <w:r>
        <w:rPr>
          <w:b/>
        </w:rPr>
        <w:t xml:space="preserve">Cinquante-cinquième </w:t>
      </w:r>
      <w:r w:rsidRPr="00CA0680">
        <w:rPr>
          <w:b/>
        </w:rPr>
        <w:t>session</w:t>
      </w:r>
    </w:p>
    <w:p w14:paraId="241C759C" w14:textId="77777777" w:rsidR="0047186D" w:rsidRDefault="0047186D" w:rsidP="000305D3">
      <w:r>
        <w:t>Genève, 1</w:t>
      </w:r>
      <w:r w:rsidRPr="0047186D">
        <w:rPr>
          <w:vertAlign w:val="superscript"/>
        </w:rPr>
        <w:t>er</w:t>
      </w:r>
      <w:r>
        <w:t>-5 juillet 2019</w:t>
      </w:r>
    </w:p>
    <w:p w14:paraId="72D8A854" w14:textId="77777777" w:rsidR="0047186D" w:rsidRDefault="0047186D" w:rsidP="000305D3">
      <w:r>
        <w:t>Point 6 a) de l’ordre du jour provisoire</w:t>
      </w:r>
    </w:p>
    <w:p w14:paraId="7CBE835E" w14:textId="77777777" w:rsidR="0047186D" w:rsidRPr="00267741" w:rsidRDefault="0047186D" w:rsidP="0047186D">
      <w:pPr>
        <w:rPr>
          <w:b/>
          <w:bCs/>
          <w:sz w:val="22"/>
        </w:rPr>
      </w:pPr>
      <w:r w:rsidRPr="00267741">
        <w:rPr>
          <w:b/>
          <w:bCs/>
          <w:lang w:val="fr-FR"/>
        </w:rPr>
        <w:t>Propositions diverses d</w:t>
      </w:r>
      <w:r>
        <w:rPr>
          <w:b/>
          <w:bCs/>
          <w:lang w:val="fr-FR"/>
        </w:rPr>
        <w:t>’</w:t>
      </w:r>
      <w:r w:rsidRPr="00267741">
        <w:rPr>
          <w:b/>
          <w:bCs/>
          <w:lang w:val="fr-FR"/>
        </w:rPr>
        <w:t xml:space="preserve">amendements au Règlement type </w:t>
      </w:r>
      <w:r>
        <w:rPr>
          <w:b/>
          <w:bCs/>
          <w:lang w:val="fr-FR"/>
        </w:rPr>
        <w:br/>
      </w:r>
      <w:r w:rsidRPr="00267741">
        <w:rPr>
          <w:b/>
          <w:bCs/>
          <w:lang w:val="fr-FR"/>
        </w:rPr>
        <w:t>pour le transport des marchandises dangereuses</w:t>
      </w:r>
      <w:r>
        <w:rPr>
          <w:b/>
          <w:bCs/>
          <w:lang w:val="fr-FR"/>
        </w:rPr>
        <w:t> </w:t>
      </w:r>
      <w:r w:rsidRPr="00267741">
        <w:rPr>
          <w:b/>
          <w:bCs/>
          <w:lang w:val="fr-FR"/>
        </w:rPr>
        <w:t>:</w:t>
      </w:r>
      <w:r>
        <w:rPr>
          <w:b/>
          <w:bCs/>
          <w:lang w:val="fr-FR"/>
        </w:rPr>
        <w:t xml:space="preserve"> </w:t>
      </w:r>
      <w:r>
        <w:rPr>
          <w:b/>
          <w:bCs/>
          <w:lang w:val="fr-FR"/>
        </w:rPr>
        <w:br/>
        <w:t>M</w:t>
      </w:r>
      <w:r w:rsidRPr="00267741">
        <w:rPr>
          <w:b/>
          <w:bCs/>
          <w:lang w:val="fr-FR"/>
        </w:rPr>
        <w:t>arquage et étiquetage</w:t>
      </w:r>
    </w:p>
    <w:p w14:paraId="33C299DF" w14:textId="77777777" w:rsidR="0047186D" w:rsidRPr="00267741" w:rsidRDefault="0047186D" w:rsidP="0047186D">
      <w:pPr>
        <w:pStyle w:val="HChG"/>
      </w:pPr>
      <w:r w:rsidRPr="00267741">
        <w:rPr>
          <w:lang w:val="fr-FR"/>
        </w:rPr>
        <w:tab/>
      </w:r>
      <w:r w:rsidRPr="00267741">
        <w:rPr>
          <w:lang w:val="fr-FR"/>
        </w:rPr>
        <w:tab/>
        <w:t>Différenciation visuelle des étiquettes/plaques-étiquettes relatives aux gaz</w:t>
      </w:r>
    </w:p>
    <w:p w14:paraId="4B95C911" w14:textId="77777777" w:rsidR="0047186D" w:rsidRPr="00267741" w:rsidRDefault="0047186D" w:rsidP="0047186D">
      <w:pPr>
        <w:pStyle w:val="H1G"/>
        <w:rPr>
          <w:color w:val="000000" w:themeColor="text1"/>
        </w:rPr>
      </w:pPr>
      <w:r w:rsidRPr="00267741">
        <w:rPr>
          <w:lang w:val="fr-FR"/>
        </w:rPr>
        <w:tab/>
      </w:r>
      <w:r w:rsidRPr="00267741">
        <w:rPr>
          <w:lang w:val="fr-FR"/>
        </w:rPr>
        <w:tab/>
        <w:t>Communication de l</w:t>
      </w:r>
      <w:r>
        <w:rPr>
          <w:lang w:val="fr-FR"/>
        </w:rPr>
        <w:t>’</w:t>
      </w:r>
      <w:r w:rsidRPr="00267741">
        <w:rPr>
          <w:lang w:val="fr-FR"/>
        </w:rPr>
        <w:t>expert de l</w:t>
      </w:r>
      <w:r>
        <w:rPr>
          <w:lang w:val="fr-FR"/>
        </w:rPr>
        <w:t>’</w:t>
      </w:r>
      <w:r w:rsidRPr="00267741">
        <w:rPr>
          <w:lang w:val="fr-FR"/>
        </w:rPr>
        <w:t>Espagne et de l</w:t>
      </w:r>
      <w:r>
        <w:rPr>
          <w:lang w:val="fr-FR"/>
        </w:rPr>
        <w:t>’</w:t>
      </w:r>
      <w:r w:rsidRPr="00267741">
        <w:rPr>
          <w:lang w:val="fr-FR"/>
        </w:rPr>
        <w:t>Association internationale des services d</w:t>
      </w:r>
      <w:r>
        <w:rPr>
          <w:lang w:val="fr-FR"/>
        </w:rPr>
        <w:t>’</w:t>
      </w:r>
      <w:r w:rsidRPr="00267741">
        <w:rPr>
          <w:lang w:val="fr-FR"/>
        </w:rPr>
        <w:t>incendie et de secours (CTIF)</w:t>
      </w:r>
      <w:r w:rsidR="00C458B0" w:rsidRPr="00C458B0">
        <w:rPr>
          <w:rStyle w:val="FootnoteReference"/>
          <w:b w:val="0"/>
          <w:sz w:val="20"/>
          <w:vertAlign w:val="baseline"/>
        </w:rPr>
        <w:footnoteReference w:customMarkFollows="1" w:id="2"/>
        <w:t>*</w:t>
      </w:r>
    </w:p>
    <w:p w14:paraId="4C4F6ED6" w14:textId="77777777" w:rsidR="0047186D" w:rsidRPr="00267741" w:rsidRDefault="0047186D" w:rsidP="00274D32">
      <w:pPr>
        <w:pStyle w:val="HChG"/>
      </w:pPr>
      <w:r w:rsidRPr="00267741">
        <w:rPr>
          <w:lang w:val="fr-FR"/>
        </w:rPr>
        <w:tab/>
      </w:r>
      <w:r w:rsidRPr="00267741">
        <w:rPr>
          <w:lang w:val="fr-FR"/>
        </w:rPr>
        <w:tab/>
        <w:t>Introduction</w:t>
      </w:r>
    </w:p>
    <w:p w14:paraId="1E5BE388" w14:textId="77777777" w:rsidR="00446FE5" w:rsidRDefault="0047186D" w:rsidP="00BB4323">
      <w:pPr>
        <w:pStyle w:val="SingleTxtG"/>
        <w:spacing w:after="240"/>
        <w:rPr>
          <w:lang w:val="fr-FR"/>
        </w:rPr>
      </w:pPr>
      <w:r w:rsidRPr="00267741">
        <w:rPr>
          <w:lang w:val="fr-FR"/>
        </w:rPr>
        <w:t>1.</w:t>
      </w:r>
      <w:r w:rsidRPr="00267741">
        <w:rPr>
          <w:lang w:val="fr-FR"/>
        </w:rPr>
        <w:tab/>
        <w:t>Plusieurs étiquettes correspondant à différentes classes ne se différencient que par les chiffres inscrits dans la partie inférieure de l</w:t>
      </w:r>
      <w:r>
        <w:rPr>
          <w:lang w:val="fr-FR"/>
        </w:rPr>
        <w:t>’</w:t>
      </w:r>
      <w:r w:rsidRPr="00267741">
        <w:rPr>
          <w:lang w:val="fr-FR"/>
        </w:rPr>
        <w:t>étiquette. Il en va ainsi pour les étiquettes n</w:t>
      </w:r>
      <w:r w:rsidRPr="00274D32">
        <w:rPr>
          <w:vertAlign w:val="superscript"/>
          <w:lang w:val="fr-FR"/>
        </w:rPr>
        <w:t>os</w:t>
      </w:r>
      <w:r w:rsidR="00274D32">
        <w:rPr>
          <w:lang w:val="fr-FR"/>
        </w:rPr>
        <w:t> </w:t>
      </w:r>
      <w:r w:rsidRPr="00267741">
        <w:rPr>
          <w:lang w:val="fr-FR"/>
        </w:rPr>
        <w:t>2.1 et 3 et n</w:t>
      </w:r>
      <w:r w:rsidRPr="00274D32">
        <w:rPr>
          <w:vertAlign w:val="superscript"/>
          <w:lang w:val="fr-FR"/>
        </w:rPr>
        <w:t>os</w:t>
      </w:r>
      <w:r w:rsidR="00274D32">
        <w:rPr>
          <w:lang w:val="fr-FR"/>
        </w:rPr>
        <w:t> </w:t>
      </w:r>
      <w:r w:rsidRPr="00267741">
        <w:rPr>
          <w:lang w:val="fr-FR"/>
        </w:rPr>
        <w:t>2.3 et 6</w:t>
      </w:r>
      <w:r w:rsidR="00274D32">
        <w:rPr>
          <w:lang w:val="fr-FR"/>
        </w:rPr>
        <w:t> </w:t>
      </w:r>
      <w:r w:rsidRPr="00267741">
        <w:rPr>
          <w:lang w:val="fr-FR"/>
        </w:rPr>
        <w:t>:</w:t>
      </w:r>
    </w:p>
    <w:p w14:paraId="46349F70" w14:textId="77777777" w:rsidR="00274D32" w:rsidRDefault="00C43AEA" w:rsidP="00C43AEA">
      <w:pPr>
        <w:pStyle w:val="SingleTxtG"/>
      </w:pPr>
      <w:r w:rsidRPr="00940946">
        <w:rPr>
          <w:rFonts w:asciiTheme="majorBidi" w:hAnsiTheme="majorBidi" w:cstheme="majorBidi"/>
          <w:noProof/>
          <w:lang w:val="en-US" w:eastAsia="zh-CN"/>
        </w:rPr>
        <w:drawing>
          <wp:inline distT="0" distB="0" distL="0" distR="0" wp14:anchorId="59330B98" wp14:editId="1650BE8E">
            <wp:extent cx="1114425" cy="1114425"/>
            <wp:effectExtent l="0" t="0" r="9525" b="9525"/>
            <wp:docPr id="8" name="Imagen 8" descr="http://www.unece.org/fileadmin/DAM/trans/danger/publi/ghs/TDGpictograms/ro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TDGpictograms/rouge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732" cy="1113732"/>
                    </a:xfrm>
                    <a:prstGeom prst="rect">
                      <a:avLst/>
                    </a:prstGeom>
                    <a:noFill/>
                    <a:ln>
                      <a:noFill/>
                    </a:ln>
                  </pic:spPr>
                </pic:pic>
              </a:graphicData>
            </a:graphic>
          </wp:inline>
        </w:drawing>
      </w:r>
      <w:r w:rsidRPr="00940946">
        <w:rPr>
          <w:rFonts w:asciiTheme="majorBidi" w:hAnsiTheme="majorBidi" w:cstheme="majorBidi"/>
          <w:noProof/>
          <w:lang w:val="en-US" w:eastAsia="zh-CN"/>
        </w:rPr>
        <w:drawing>
          <wp:inline distT="0" distB="0" distL="0" distR="0" wp14:anchorId="32AB1C7D" wp14:editId="6970A526">
            <wp:extent cx="1095375" cy="1095375"/>
            <wp:effectExtent l="0" t="0" r="9525" b="9525"/>
            <wp:docPr id="9" name="Imagen 9" descr="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ce.org/fileadmin/DAM/trans/danger/publi/ghs/TDGpictograms/rouge2_noir.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4694" cy="1094694"/>
                    </a:xfrm>
                    <a:prstGeom prst="rect">
                      <a:avLst/>
                    </a:prstGeom>
                    <a:noFill/>
                    <a:ln>
                      <a:noFill/>
                    </a:ln>
                  </pic:spPr>
                </pic:pic>
              </a:graphicData>
            </a:graphic>
          </wp:inline>
        </w:drawing>
      </w:r>
      <w:r w:rsidRPr="00940946">
        <w:rPr>
          <w:rFonts w:asciiTheme="majorBidi" w:hAnsiTheme="majorBidi" w:cstheme="majorBidi"/>
          <w:noProof/>
          <w:lang w:val="en-US" w:eastAsia="zh-CN"/>
        </w:rPr>
        <w:drawing>
          <wp:inline distT="0" distB="0" distL="0" distR="0" wp14:anchorId="217C966C" wp14:editId="43A36B20">
            <wp:extent cx="1104900" cy="1104900"/>
            <wp:effectExtent l="0" t="0" r="0" b="0"/>
            <wp:docPr id="10" name="Imagen 10" descr="http://www.unece.org/fileadmin/DAM/trans/danger/publi/ghs/TDGpictograms/rou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ece.org/fileadmin/DAM/trans/danger/publi/ghs/TDGpictograms/rouge3.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213" cy="1104213"/>
                    </a:xfrm>
                    <a:prstGeom prst="rect">
                      <a:avLst/>
                    </a:prstGeom>
                    <a:noFill/>
                    <a:ln>
                      <a:noFill/>
                    </a:ln>
                  </pic:spPr>
                </pic:pic>
              </a:graphicData>
            </a:graphic>
          </wp:inline>
        </w:drawing>
      </w:r>
      <w:r w:rsidRPr="00940946">
        <w:rPr>
          <w:rFonts w:asciiTheme="majorBidi" w:hAnsiTheme="majorBidi" w:cstheme="majorBidi"/>
          <w:noProof/>
          <w:lang w:val="en-US" w:eastAsia="zh-CN"/>
        </w:rPr>
        <w:drawing>
          <wp:inline distT="0" distB="0" distL="0" distR="0" wp14:anchorId="6F5185CF" wp14:editId="25875894">
            <wp:extent cx="1104900" cy="1104900"/>
            <wp:effectExtent l="0" t="0" r="0" b="0"/>
            <wp:docPr id="12" name="Imagen 12" descr="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213" cy="1104213"/>
                    </a:xfrm>
                    <a:prstGeom prst="rect">
                      <a:avLst/>
                    </a:prstGeom>
                    <a:noFill/>
                    <a:ln>
                      <a:noFill/>
                    </a:ln>
                  </pic:spPr>
                </pic:pic>
              </a:graphicData>
            </a:graphic>
          </wp:inline>
        </w:drawing>
      </w:r>
    </w:p>
    <w:p w14:paraId="6BD56D04" w14:textId="77777777" w:rsidR="00410019" w:rsidRPr="00940946" w:rsidRDefault="00410019" w:rsidP="00410019">
      <w:pPr>
        <w:pStyle w:val="SingleTxtG"/>
        <w:jc w:val="center"/>
        <w:rPr>
          <w:rFonts w:asciiTheme="majorBidi" w:hAnsiTheme="majorBidi" w:cstheme="majorBidi"/>
          <w:noProof/>
          <w:lang w:val="es-ES" w:eastAsia="es-ES"/>
        </w:rPr>
      </w:pPr>
      <w:r w:rsidRPr="00940946">
        <w:rPr>
          <w:rFonts w:asciiTheme="majorBidi" w:hAnsiTheme="majorBidi" w:cstheme="majorBidi"/>
          <w:noProof/>
          <w:lang w:val="en-US" w:eastAsia="zh-CN"/>
        </w:rPr>
        <w:drawing>
          <wp:inline distT="0" distB="0" distL="0" distR="0" wp14:anchorId="545DDB57" wp14:editId="2FB46D93">
            <wp:extent cx="1081443" cy="1118327"/>
            <wp:effectExtent l="0" t="0" r="4445" b="5715"/>
            <wp:docPr id="5" name="Picture 13" descr="clase 2 clv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3" name="Picture 13" descr="clase 2 clvr"/>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9077" cy="1146903"/>
                    </a:xfrm>
                    <a:prstGeom prst="rect">
                      <a:avLst/>
                    </a:prstGeom>
                    <a:noFill/>
                    <a:ln>
                      <a:noFill/>
                    </a:ln>
                    <a:effectLst/>
                    <a:extLst/>
                  </pic:spPr>
                </pic:pic>
              </a:graphicData>
            </a:graphic>
          </wp:inline>
        </w:drawing>
      </w:r>
      <w:r w:rsidRPr="00940946">
        <w:rPr>
          <w:rFonts w:asciiTheme="majorBidi" w:hAnsiTheme="majorBidi" w:cstheme="majorBidi"/>
          <w:noProof/>
          <w:lang w:val="en-US" w:eastAsia="zh-CN"/>
        </w:rPr>
        <w:drawing>
          <wp:inline distT="0" distB="0" distL="0" distR="0" wp14:anchorId="37DC797E" wp14:editId="202DAF7E">
            <wp:extent cx="1114425" cy="1114426"/>
            <wp:effectExtent l="0" t="0" r="0"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9"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0355" cy="1120356"/>
                    </a:xfrm>
                    <a:prstGeom prst="rect">
                      <a:avLst/>
                    </a:prstGeom>
                    <a:noFill/>
                    <a:ln>
                      <a:noFill/>
                    </a:ln>
                    <a:extLst/>
                  </pic:spPr>
                </pic:pic>
              </a:graphicData>
            </a:graphic>
          </wp:inline>
        </w:drawing>
      </w:r>
    </w:p>
    <w:p w14:paraId="75C430C7" w14:textId="77777777" w:rsidR="00410019" w:rsidRPr="00267741" w:rsidRDefault="00410019" w:rsidP="00410019">
      <w:pPr>
        <w:pStyle w:val="SingleTxtG"/>
      </w:pPr>
      <w:r w:rsidRPr="00267741">
        <w:rPr>
          <w:lang w:val="fr-FR"/>
        </w:rPr>
        <w:lastRenderedPageBreak/>
        <w:t>2.</w:t>
      </w:r>
      <w:r w:rsidRPr="00267741">
        <w:rPr>
          <w:lang w:val="fr-FR"/>
        </w:rPr>
        <w:tab/>
        <w:t>Cette situation peut créer des difficultés pour les services d</w:t>
      </w:r>
      <w:r>
        <w:rPr>
          <w:lang w:val="fr-FR"/>
        </w:rPr>
        <w:t>’</w:t>
      </w:r>
      <w:r w:rsidRPr="00267741">
        <w:rPr>
          <w:lang w:val="fr-FR"/>
        </w:rPr>
        <w:t>urgence (police, pompiers, etc.), qui devraient pouvoir distinguer facilement les étiquettes l</w:t>
      </w:r>
      <w:r>
        <w:rPr>
          <w:lang w:val="fr-FR"/>
        </w:rPr>
        <w:t>’</w:t>
      </w:r>
      <w:r w:rsidRPr="00267741">
        <w:rPr>
          <w:lang w:val="fr-FR"/>
        </w:rPr>
        <w:t>une de l</w:t>
      </w:r>
      <w:r>
        <w:rPr>
          <w:lang w:val="fr-FR"/>
        </w:rPr>
        <w:t>’</w:t>
      </w:r>
      <w:r w:rsidRPr="00267741">
        <w:rPr>
          <w:lang w:val="fr-FR"/>
        </w:rPr>
        <w:t>autre. En cas de confusion, l</w:t>
      </w:r>
      <w:r>
        <w:rPr>
          <w:lang w:val="fr-FR"/>
        </w:rPr>
        <w:t>’</w:t>
      </w:r>
      <w:r w:rsidRPr="00267741">
        <w:rPr>
          <w:lang w:val="fr-FR"/>
        </w:rPr>
        <w:t>intervention sur le lieu de l</w:t>
      </w:r>
      <w:r>
        <w:rPr>
          <w:lang w:val="fr-FR"/>
        </w:rPr>
        <w:t>’</w:t>
      </w:r>
      <w:r w:rsidRPr="00267741">
        <w:rPr>
          <w:lang w:val="fr-FR"/>
        </w:rPr>
        <w:t>accident pourrait être inadaptée.</w:t>
      </w:r>
    </w:p>
    <w:p w14:paraId="02904C17" w14:textId="77777777" w:rsidR="00410019" w:rsidRPr="00267741" w:rsidRDefault="00410019" w:rsidP="00410019">
      <w:pPr>
        <w:pStyle w:val="SingleTxtG"/>
      </w:pPr>
      <w:r w:rsidRPr="00267741">
        <w:rPr>
          <w:lang w:val="fr-FR"/>
        </w:rPr>
        <w:t>3.</w:t>
      </w:r>
      <w:r w:rsidRPr="00267741">
        <w:rPr>
          <w:lang w:val="fr-FR"/>
        </w:rPr>
        <w:tab/>
      </w:r>
      <w:r>
        <w:rPr>
          <w:lang w:val="fr-FR"/>
        </w:rPr>
        <w:t>À</w:t>
      </w:r>
      <w:r w:rsidRPr="00267741">
        <w:rPr>
          <w:lang w:val="fr-FR"/>
        </w:rPr>
        <w:t xml:space="preserve"> la dernière session du Sous-Comité, l</w:t>
      </w:r>
      <w:r>
        <w:rPr>
          <w:lang w:val="fr-FR"/>
        </w:rPr>
        <w:t>’</w:t>
      </w:r>
      <w:r w:rsidRPr="00267741">
        <w:rPr>
          <w:lang w:val="fr-FR"/>
        </w:rPr>
        <w:t xml:space="preserve">Espagne a </w:t>
      </w:r>
      <w:r>
        <w:rPr>
          <w:lang w:val="fr-FR"/>
        </w:rPr>
        <w:t>soumis</w:t>
      </w:r>
      <w:r w:rsidRPr="00267741">
        <w:rPr>
          <w:lang w:val="fr-FR"/>
        </w:rPr>
        <w:t xml:space="preserve"> le document ST/SG/AC.10/C.3/2018/102 pour examen. Elle a proposé de modifier les étiquettes relatives aux gaz en ajoutant une couleur différente (verte comme dans l</w:t>
      </w:r>
      <w:r>
        <w:rPr>
          <w:lang w:val="fr-FR"/>
        </w:rPr>
        <w:t>’</w:t>
      </w:r>
      <w:r w:rsidRPr="00267741">
        <w:rPr>
          <w:lang w:val="fr-FR"/>
        </w:rPr>
        <w:t>étiquette n</w:t>
      </w:r>
      <w:r w:rsidRPr="00410019">
        <w:rPr>
          <w:vertAlign w:val="superscript"/>
          <w:lang w:val="fr-FR"/>
        </w:rPr>
        <w:t>o</w:t>
      </w:r>
      <w:r>
        <w:rPr>
          <w:lang w:val="fr-FR"/>
        </w:rPr>
        <w:t> </w:t>
      </w:r>
      <w:r w:rsidRPr="00267741">
        <w:rPr>
          <w:lang w:val="fr-FR"/>
        </w:rPr>
        <w:t>2.2) dans la partie inférieure des étiquettes n</w:t>
      </w:r>
      <w:r w:rsidRPr="00410019">
        <w:rPr>
          <w:vertAlign w:val="superscript"/>
          <w:lang w:val="fr-FR"/>
        </w:rPr>
        <w:t>os</w:t>
      </w:r>
      <w:r>
        <w:rPr>
          <w:lang w:val="fr-FR"/>
        </w:rPr>
        <w:t> </w:t>
      </w:r>
      <w:r w:rsidRPr="00267741">
        <w:rPr>
          <w:lang w:val="fr-FR"/>
        </w:rPr>
        <w:t>2.1 et 2.3. Le CTIF a proposé d</w:t>
      </w:r>
      <w:r>
        <w:rPr>
          <w:lang w:val="fr-FR"/>
        </w:rPr>
        <w:t>’</w:t>
      </w:r>
      <w:r w:rsidRPr="00267741">
        <w:rPr>
          <w:lang w:val="fr-FR"/>
        </w:rPr>
        <w:t>autres modèles qui faciliteraient également l</w:t>
      </w:r>
      <w:r>
        <w:rPr>
          <w:lang w:val="fr-FR"/>
        </w:rPr>
        <w:t>’</w:t>
      </w:r>
      <w:r w:rsidRPr="00267741">
        <w:rPr>
          <w:lang w:val="fr-FR"/>
        </w:rPr>
        <w:t xml:space="preserve">identification des étiquettes pour les gaz inflammables (2.1) et les gaz toxiques (2.3) en se basant sur les étiquettes pour les liquides inflammables (3) et les matières toxiques (6.1). </w:t>
      </w:r>
      <w:r>
        <w:rPr>
          <w:lang w:val="fr-FR"/>
        </w:rPr>
        <w:t xml:space="preserve">Comme </w:t>
      </w:r>
      <w:proofErr w:type="gramStart"/>
      <w:r>
        <w:rPr>
          <w:lang w:val="fr-FR"/>
        </w:rPr>
        <w:t>s</w:t>
      </w:r>
      <w:r w:rsidRPr="00267741">
        <w:rPr>
          <w:lang w:val="fr-FR"/>
        </w:rPr>
        <w:t>uite aux</w:t>
      </w:r>
      <w:proofErr w:type="gramEnd"/>
      <w:r w:rsidRPr="00267741">
        <w:rPr>
          <w:lang w:val="fr-FR"/>
        </w:rPr>
        <w:t xml:space="preserve"> commentaires formulés au cours de cette session, la proposition a été révisée et sa nouvelle version est </w:t>
      </w:r>
      <w:r>
        <w:rPr>
          <w:lang w:val="fr-FR"/>
        </w:rPr>
        <w:t>soumise</w:t>
      </w:r>
      <w:r w:rsidRPr="00267741">
        <w:rPr>
          <w:lang w:val="fr-FR"/>
        </w:rPr>
        <w:t xml:space="preserve"> dans le présent document pour examen.</w:t>
      </w:r>
    </w:p>
    <w:p w14:paraId="74C3C354" w14:textId="77777777" w:rsidR="00410019" w:rsidRPr="00312800" w:rsidRDefault="00410019" w:rsidP="00410019">
      <w:pPr>
        <w:pStyle w:val="HChG"/>
        <w:rPr>
          <w:lang w:val="fr-FR"/>
        </w:rPr>
      </w:pPr>
      <w:r>
        <w:rPr>
          <w:lang w:val="fr-FR"/>
        </w:rPr>
        <w:tab/>
      </w:r>
      <w:r>
        <w:rPr>
          <w:lang w:val="fr-FR"/>
        </w:rPr>
        <w:tab/>
      </w:r>
      <w:r w:rsidRPr="00267741">
        <w:rPr>
          <w:lang w:val="fr-FR"/>
        </w:rPr>
        <w:t>Analyse</w:t>
      </w:r>
    </w:p>
    <w:p w14:paraId="15295778" w14:textId="77777777" w:rsidR="00410019" w:rsidRPr="003669B0" w:rsidRDefault="00410019" w:rsidP="00410019">
      <w:pPr>
        <w:pStyle w:val="SingleTxtG"/>
      </w:pPr>
      <w:r w:rsidRPr="00267741">
        <w:rPr>
          <w:lang w:val="fr-FR"/>
        </w:rPr>
        <w:t>4.</w:t>
      </w:r>
      <w:r w:rsidRPr="00267741">
        <w:rPr>
          <w:lang w:val="fr-FR"/>
        </w:rPr>
        <w:tab/>
        <w:t>Les interventions en cas d</w:t>
      </w:r>
      <w:r>
        <w:rPr>
          <w:lang w:val="fr-FR"/>
        </w:rPr>
        <w:t>’</w:t>
      </w:r>
      <w:r w:rsidRPr="00267741">
        <w:rPr>
          <w:lang w:val="fr-FR"/>
        </w:rPr>
        <w:t xml:space="preserve">accident impliquant des gaz inflammables sont très différentes de celles qui doivent être menées face à des liquides inflammables, tout comme les </w:t>
      </w:r>
      <w:r>
        <w:rPr>
          <w:lang w:val="fr-FR"/>
        </w:rPr>
        <w:t>mesures à prendre</w:t>
      </w:r>
      <w:r w:rsidRPr="00267741">
        <w:rPr>
          <w:lang w:val="fr-FR"/>
        </w:rPr>
        <w:t xml:space="preserve"> en présence d</w:t>
      </w:r>
      <w:r>
        <w:rPr>
          <w:lang w:val="fr-FR"/>
        </w:rPr>
        <w:t>’</w:t>
      </w:r>
      <w:r w:rsidRPr="00267741">
        <w:rPr>
          <w:lang w:val="fr-FR"/>
        </w:rPr>
        <w:t xml:space="preserve">un gaz toxique </w:t>
      </w:r>
      <w:r>
        <w:rPr>
          <w:lang w:val="fr-FR"/>
        </w:rPr>
        <w:t xml:space="preserve">diffèrent de celles à prendre </w:t>
      </w:r>
      <w:r w:rsidRPr="00267741">
        <w:rPr>
          <w:lang w:val="fr-FR"/>
        </w:rPr>
        <w:t>en présence d</w:t>
      </w:r>
      <w:r>
        <w:rPr>
          <w:lang w:val="fr-FR"/>
        </w:rPr>
        <w:t>’</w:t>
      </w:r>
      <w:r w:rsidRPr="00267741">
        <w:rPr>
          <w:lang w:val="fr-FR"/>
        </w:rPr>
        <w:t xml:space="preserve">une matière toxique liquide ou solide. </w:t>
      </w:r>
      <w:r>
        <w:rPr>
          <w:lang w:val="fr-FR"/>
        </w:rPr>
        <w:t xml:space="preserve">Il est donc important de pouvoir déterminer </w:t>
      </w:r>
      <w:r w:rsidRPr="00267741">
        <w:rPr>
          <w:lang w:val="fr-FR"/>
        </w:rPr>
        <w:t>l</w:t>
      </w:r>
      <w:r>
        <w:rPr>
          <w:lang w:val="fr-FR"/>
        </w:rPr>
        <w:t>’</w:t>
      </w:r>
      <w:r w:rsidRPr="00267741">
        <w:rPr>
          <w:lang w:val="fr-FR"/>
        </w:rPr>
        <w:t xml:space="preserve">état </w:t>
      </w:r>
      <w:r w:rsidRPr="003669B0">
        <w:rPr>
          <w:lang w:val="fr-FR"/>
        </w:rPr>
        <w:t xml:space="preserve">physique </w:t>
      </w:r>
      <w:r>
        <w:rPr>
          <w:lang w:val="fr-FR"/>
        </w:rPr>
        <w:t xml:space="preserve">d’un produit </w:t>
      </w:r>
      <w:r w:rsidRPr="003669B0">
        <w:rPr>
          <w:lang w:val="fr-FR"/>
        </w:rPr>
        <w:t>de loin.</w:t>
      </w:r>
    </w:p>
    <w:p w14:paraId="6E0D5B00" w14:textId="77777777" w:rsidR="00410019" w:rsidRPr="00267741" w:rsidRDefault="00410019" w:rsidP="00410019">
      <w:pPr>
        <w:pStyle w:val="SingleTxtG"/>
      </w:pPr>
      <w:r w:rsidRPr="00267741">
        <w:rPr>
          <w:lang w:val="fr-FR"/>
        </w:rPr>
        <w:t>5.</w:t>
      </w:r>
      <w:r w:rsidRPr="00267741">
        <w:rPr>
          <w:lang w:val="fr-FR"/>
        </w:rPr>
        <w:tab/>
        <w:t>En cas de dégagement important de gaz, un nuage dangereux peut s</w:t>
      </w:r>
      <w:r>
        <w:rPr>
          <w:lang w:val="fr-FR"/>
        </w:rPr>
        <w:t>’</w:t>
      </w:r>
      <w:r w:rsidRPr="00267741">
        <w:rPr>
          <w:lang w:val="fr-FR"/>
        </w:rPr>
        <w:t>étendre sur plusieurs kilomètres. En cas d</w:t>
      </w:r>
      <w:r>
        <w:rPr>
          <w:lang w:val="fr-FR"/>
        </w:rPr>
        <w:t>’</w:t>
      </w:r>
      <w:r w:rsidRPr="00267741">
        <w:rPr>
          <w:lang w:val="fr-FR"/>
        </w:rPr>
        <w:t>incendie, il y a un risque important d</w:t>
      </w:r>
      <w:r>
        <w:rPr>
          <w:lang w:val="fr-FR"/>
        </w:rPr>
        <w:t>’</w:t>
      </w:r>
      <w:r w:rsidRPr="00267741">
        <w:rPr>
          <w:lang w:val="fr-FR"/>
        </w:rPr>
        <w:t xml:space="preserve">explosion, de rayonnement thermique et de </w:t>
      </w:r>
      <w:r>
        <w:rPr>
          <w:lang w:val="fr-FR"/>
        </w:rPr>
        <w:t xml:space="preserve">projection de </w:t>
      </w:r>
      <w:r w:rsidRPr="00267741">
        <w:rPr>
          <w:lang w:val="fr-FR"/>
        </w:rPr>
        <w:t>débris en provenance du conteneur à gaz.</w:t>
      </w:r>
    </w:p>
    <w:p w14:paraId="116908FD" w14:textId="77777777" w:rsidR="00410019" w:rsidRPr="00267741" w:rsidRDefault="00410019" w:rsidP="00410019">
      <w:pPr>
        <w:pStyle w:val="SingleTxtG"/>
      </w:pPr>
      <w:r w:rsidRPr="00267741">
        <w:rPr>
          <w:lang w:val="fr-FR"/>
        </w:rPr>
        <w:t>6.</w:t>
      </w:r>
      <w:r w:rsidRPr="00267741">
        <w:rPr>
          <w:lang w:val="fr-FR"/>
        </w:rPr>
        <w:tab/>
        <w:t>Les symboles tels que ceux utilisés sur l</w:t>
      </w:r>
      <w:r>
        <w:rPr>
          <w:lang w:val="fr-FR"/>
        </w:rPr>
        <w:t>’</w:t>
      </w:r>
      <w:r w:rsidRPr="00267741">
        <w:rPr>
          <w:lang w:val="fr-FR"/>
        </w:rPr>
        <w:t>étiquette n</w:t>
      </w:r>
      <w:r w:rsidRPr="00410019">
        <w:rPr>
          <w:vertAlign w:val="superscript"/>
          <w:lang w:val="fr-FR"/>
        </w:rPr>
        <w:t>o</w:t>
      </w:r>
      <w:r>
        <w:rPr>
          <w:lang w:val="fr-FR"/>
        </w:rPr>
        <w:t> </w:t>
      </w:r>
      <w:r w:rsidRPr="00267741">
        <w:rPr>
          <w:lang w:val="fr-FR"/>
        </w:rPr>
        <w:t>2.2 (récipient à gaz) permettent de mieux prendre conscience du danger potentiel que les informations codées ou écrites, y</w:t>
      </w:r>
      <w:r w:rsidR="00431113">
        <w:rPr>
          <w:lang w:val="fr-FR"/>
        </w:rPr>
        <w:t> </w:t>
      </w:r>
      <w:r w:rsidRPr="00267741">
        <w:rPr>
          <w:lang w:val="fr-FR"/>
        </w:rPr>
        <w:t>compris pour les personnes autres que le personnel formé des services d</w:t>
      </w:r>
      <w:r>
        <w:rPr>
          <w:lang w:val="fr-FR"/>
        </w:rPr>
        <w:t>’</w:t>
      </w:r>
      <w:r w:rsidRPr="00267741">
        <w:rPr>
          <w:lang w:val="fr-FR"/>
        </w:rPr>
        <w:t xml:space="preserve">urgence (le </w:t>
      </w:r>
      <w:r>
        <w:rPr>
          <w:lang w:val="fr-FR"/>
        </w:rPr>
        <w:t xml:space="preserve">grand </w:t>
      </w:r>
      <w:r w:rsidRPr="00267741">
        <w:rPr>
          <w:lang w:val="fr-FR"/>
        </w:rPr>
        <w:t>public).</w:t>
      </w:r>
    </w:p>
    <w:p w14:paraId="058A7A4D" w14:textId="77777777" w:rsidR="00410019" w:rsidRPr="003669B0" w:rsidRDefault="00410019" w:rsidP="00410019">
      <w:pPr>
        <w:pStyle w:val="SingleTxtG"/>
      </w:pPr>
      <w:r w:rsidRPr="00267741">
        <w:rPr>
          <w:lang w:val="fr-FR"/>
        </w:rPr>
        <w:t>7.</w:t>
      </w:r>
      <w:r w:rsidRPr="00267741">
        <w:rPr>
          <w:lang w:val="fr-FR"/>
        </w:rPr>
        <w:tab/>
        <w:t>L</w:t>
      </w:r>
      <w:r>
        <w:rPr>
          <w:lang w:val="fr-FR"/>
        </w:rPr>
        <w:t>’</w:t>
      </w:r>
      <w:r w:rsidRPr="00267741">
        <w:rPr>
          <w:lang w:val="fr-FR"/>
        </w:rPr>
        <w:t>état physique d</w:t>
      </w:r>
      <w:r>
        <w:rPr>
          <w:lang w:val="fr-FR"/>
        </w:rPr>
        <w:t>’</w:t>
      </w:r>
      <w:r w:rsidRPr="00267741">
        <w:rPr>
          <w:lang w:val="fr-FR"/>
        </w:rPr>
        <w:t>un produit libéré a un</w:t>
      </w:r>
      <w:r>
        <w:rPr>
          <w:lang w:val="fr-FR"/>
        </w:rPr>
        <w:t>e</w:t>
      </w:r>
      <w:r w:rsidRPr="00267741">
        <w:rPr>
          <w:lang w:val="fr-FR"/>
        </w:rPr>
        <w:t xml:space="preserve"> grand</w:t>
      </w:r>
      <w:r>
        <w:rPr>
          <w:lang w:val="fr-FR"/>
        </w:rPr>
        <w:t>e</w:t>
      </w:r>
      <w:r w:rsidRPr="00267741">
        <w:rPr>
          <w:lang w:val="fr-FR"/>
        </w:rPr>
        <w:t xml:space="preserve"> </w:t>
      </w:r>
      <w:r>
        <w:rPr>
          <w:lang w:val="fr-FR"/>
        </w:rPr>
        <w:t xml:space="preserve">incidence </w:t>
      </w:r>
      <w:r w:rsidRPr="00267741">
        <w:rPr>
          <w:lang w:val="fr-FR"/>
        </w:rPr>
        <w:t>sur les mesures d</w:t>
      </w:r>
      <w:r>
        <w:rPr>
          <w:lang w:val="fr-FR"/>
        </w:rPr>
        <w:t>’</w:t>
      </w:r>
      <w:r w:rsidRPr="00267741">
        <w:rPr>
          <w:lang w:val="fr-FR"/>
        </w:rPr>
        <w:t xml:space="preserve">urgence </w:t>
      </w:r>
      <w:r>
        <w:rPr>
          <w:lang w:val="fr-FR"/>
        </w:rPr>
        <w:t>à prendre</w:t>
      </w:r>
      <w:r w:rsidRPr="00267741">
        <w:rPr>
          <w:lang w:val="fr-FR"/>
        </w:rPr>
        <w:t xml:space="preserve"> pour réduire au minimum les dommages pour la population et l</w:t>
      </w:r>
      <w:r>
        <w:rPr>
          <w:lang w:val="fr-FR"/>
        </w:rPr>
        <w:t>’</w:t>
      </w:r>
      <w:r w:rsidRPr="00267741">
        <w:rPr>
          <w:lang w:val="fr-FR"/>
        </w:rPr>
        <w:t xml:space="preserve">environnement. Plus </w:t>
      </w:r>
      <w:r w:rsidRPr="003669B0">
        <w:rPr>
          <w:lang w:val="fr-FR"/>
        </w:rPr>
        <w:t xml:space="preserve">les mesures appropriées sont prises rapidement, </w:t>
      </w:r>
      <w:r>
        <w:rPr>
          <w:lang w:val="fr-FR"/>
        </w:rPr>
        <w:t>plus efficace</w:t>
      </w:r>
      <w:r w:rsidRPr="003669B0">
        <w:rPr>
          <w:lang w:val="fr-FR"/>
        </w:rPr>
        <w:t xml:space="preserve"> sera l</w:t>
      </w:r>
      <w:r>
        <w:rPr>
          <w:lang w:val="fr-FR"/>
        </w:rPr>
        <w:t>’</w:t>
      </w:r>
      <w:r w:rsidRPr="003669B0">
        <w:rPr>
          <w:lang w:val="fr-FR"/>
        </w:rPr>
        <w:t>intervention.</w:t>
      </w:r>
    </w:p>
    <w:p w14:paraId="2C828BC7" w14:textId="77777777" w:rsidR="00410019" w:rsidRPr="00267741" w:rsidRDefault="00410019" w:rsidP="00410019">
      <w:pPr>
        <w:pStyle w:val="SingleTxtG"/>
      </w:pPr>
      <w:r w:rsidRPr="00267741">
        <w:rPr>
          <w:lang w:val="fr-FR"/>
        </w:rPr>
        <w:t>8.</w:t>
      </w:r>
      <w:r w:rsidRPr="00267741">
        <w:rPr>
          <w:lang w:val="fr-FR"/>
        </w:rPr>
        <w:tab/>
        <w:t>Si le gaz n</w:t>
      </w:r>
      <w:r>
        <w:rPr>
          <w:lang w:val="fr-FR"/>
        </w:rPr>
        <w:t>’</w:t>
      </w:r>
      <w:r w:rsidRPr="00267741">
        <w:rPr>
          <w:lang w:val="fr-FR"/>
        </w:rPr>
        <w:t>est pas transporté dans un véhicule-citerne spécifique, mais</w:t>
      </w:r>
      <w:r>
        <w:rPr>
          <w:lang w:val="fr-FR"/>
        </w:rPr>
        <w:t xml:space="preserve"> dans des récipients à pression</w:t>
      </w:r>
      <w:r w:rsidRPr="00267741">
        <w:rPr>
          <w:lang w:val="fr-FR"/>
        </w:rPr>
        <w:t xml:space="preserve"> placés dans un véhicule avec d</w:t>
      </w:r>
      <w:r>
        <w:rPr>
          <w:lang w:val="fr-FR"/>
        </w:rPr>
        <w:t>’</w:t>
      </w:r>
      <w:r w:rsidRPr="00267741">
        <w:rPr>
          <w:lang w:val="fr-FR"/>
        </w:rPr>
        <w:t>autres marchandises</w:t>
      </w:r>
      <w:r>
        <w:rPr>
          <w:lang w:val="fr-FR"/>
        </w:rPr>
        <w:t xml:space="preserve"> </w:t>
      </w:r>
      <w:r w:rsidRPr="00267741">
        <w:rPr>
          <w:lang w:val="fr-FR"/>
        </w:rPr>
        <w:t>(</w:t>
      </w:r>
      <w:r>
        <w:rPr>
          <w:lang w:val="fr-FR"/>
        </w:rPr>
        <w:t>comme pour le </w:t>
      </w:r>
      <w:r w:rsidRPr="00267741">
        <w:rPr>
          <w:lang w:val="fr-FR"/>
        </w:rPr>
        <w:t>GNL</w:t>
      </w:r>
      <w:r>
        <w:rPr>
          <w:lang w:val="fr-FR"/>
        </w:rPr>
        <w:t xml:space="preserve"> ou le </w:t>
      </w:r>
      <w:r w:rsidRPr="00267741">
        <w:rPr>
          <w:lang w:val="fr-FR"/>
        </w:rPr>
        <w:t>LH2), ou à l</w:t>
      </w:r>
      <w:r>
        <w:rPr>
          <w:lang w:val="fr-FR"/>
        </w:rPr>
        <w:t>’</w:t>
      </w:r>
      <w:r w:rsidRPr="00267741">
        <w:rPr>
          <w:lang w:val="fr-FR"/>
        </w:rPr>
        <w:t>intérieur d</w:t>
      </w:r>
      <w:r>
        <w:rPr>
          <w:lang w:val="fr-FR"/>
        </w:rPr>
        <w:t>’</w:t>
      </w:r>
      <w:r w:rsidRPr="00267741">
        <w:rPr>
          <w:lang w:val="fr-FR"/>
        </w:rPr>
        <w:t>un conteneur, il n</w:t>
      </w:r>
      <w:r>
        <w:rPr>
          <w:lang w:val="fr-FR"/>
        </w:rPr>
        <w:t>’</w:t>
      </w:r>
      <w:r w:rsidRPr="00267741">
        <w:rPr>
          <w:lang w:val="fr-FR"/>
        </w:rPr>
        <w:t>est pas toujours possible d</w:t>
      </w:r>
      <w:r>
        <w:rPr>
          <w:lang w:val="fr-FR"/>
        </w:rPr>
        <w:t>’</w:t>
      </w:r>
      <w:r w:rsidRPr="00267741">
        <w:rPr>
          <w:lang w:val="fr-FR"/>
        </w:rPr>
        <w:t xml:space="preserve">identifier </w:t>
      </w:r>
      <w:proofErr w:type="gramStart"/>
      <w:r w:rsidRPr="00267741">
        <w:rPr>
          <w:lang w:val="fr-FR"/>
        </w:rPr>
        <w:t>les</w:t>
      </w:r>
      <w:proofErr w:type="gramEnd"/>
      <w:r w:rsidRPr="00267741">
        <w:rPr>
          <w:lang w:val="fr-FR"/>
        </w:rPr>
        <w:t xml:space="preserve"> étiquettes de loin, même pour les spécialistes, car celles </w:t>
      </w:r>
      <w:r>
        <w:rPr>
          <w:lang w:val="fr-FR"/>
        </w:rPr>
        <w:t>correspondant aux</w:t>
      </w:r>
      <w:r w:rsidRPr="00267741">
        <w:rPr>
          <w:lang w:val="fr-FR"/>
        </w:rPr>
        <w:t xml:space="preserve"> gaz/liquides inflammables et celles </w:t>
      </w:r>
      <w:r>
        <w:rPr>
          <w:lang w:val="fr-FR"/>
        </w:rPr>
        <w:t>correspondant aux</w:t>
      </w:r>
      <w:r w:rsidRPr="00267741">
        <w:rPr>
          <w:lang w:val="fr-FR"/>
        </w:rPr>
        <w:t xml:space="preserve"> gaz/liquides toxiques sont très similaires.</w:t>
      </w:r>
    </w:p>
    <w:p w14:paraId="273926CA" w14:textId="77777777" w:rsidR="00410019" w:rsidRPr="00267741" w:rsidRDefault="00410019" w:rsidP="004427F3">
      <w:pPr>
        <w:pStyle w:val="SingleTxtG"/>
        <w:spacing w:after="240"/>
      </w:pPr>
      <w:r w:rsidRPr="00267741">
        <w:rPr>
          <w:lang w:val="fr-FR"/>
        </w:rPr>
        <w:t>9.</w:t>
      </w:r>
      <w:r w:rsidRPr="00267741">
        <w:rPr>
          <w:lang w:val="fr-FR"/>
        </w:rPr>
        <w:tab/>
        <w:t>Les étiquettes n</w:t>
      </w:r>
      <w:r w:rsidRPr="00410019">
        <w:rPr>
          <w:vertAlign w:val="superscript"/>
          <w:lang w:val="fr-FR"/>
        </w:rPr>
        <w:t>os</w:t>
      </w:r>
      <w:r>
        <w:rPr>
          <w:lang w:val="fr-FR"/>
        </w:rPr>
        <w:t> </w:t>
      </w:r>
      <w:r w:rsidRPr="00267741">
        <w:rPr>
          <w:lang w:val="fr-FR"/>
        </w:rPr>
        <w:t>2.1 et 2.3 sont de la même couleur et affichent le même symbole (flamme et tête de mort sur deux tibias) que les étiquettes n</w:t>
      </w:r>
      <w:r w:rsidRPr="00410019">
        <w:rPr>
          <w:vertAlign w:val="superscript"/>
          <w:lang w:val="fr-FR"/>
        </w:rPr>
        <w:t>os</w:t>
      </w:r>
      <w:r>
        <w:rPr>
          <w:lang w:val="fr-FR"/>
        </w:rPr>
        <w:t> </w:t>
      </w:r>
      <w:r w:rsidRPr="00267741">
        <w:rPr>
          <w:lang w:val="fr-FR"/>
        </w:rPr>
        <w:t xml:space="preserve">3 et 6, la seule différence entre elles étant le numéro de la classe figurant dans la partie inférieure. Il serait possible de </w:t>
      </w:r>
      <w:r>
        <w:rPr>
          <w:lang w:val="fr-FR"/>
        </w:rPr>
        <w:t xml:space="preserve">les </w:t>
      </w:r>
      <w:r w:rsidRPr="00267741">
        <w:rPr>
          <w:lang w:val="fr-FR"/>
        </w:rPr>
        <w:t xml:space="preserve">différencier en y ajoutant un symbole supplémentaire. Ce symbole, qui pourrait être ajouté dans la partie inférieure des étiquettes, pourrait être la bouteille à gaz qui figure </w:t>
      </w:r>
      <w:r>
        <w:rPr>
          <w:lang w:val="fr-FR"/>
        </w:rPr>
        <w:t>actuellement</w:t>
      </w:r>
      <w:r w:rsidRPr="00267741">
        <w:rPr>
          <w:lang w:val="fr-FR"/>
        </w:rPr>
        <w:t xml:space="preserve"> </w:t>
      </w:r>
      <w:r>
        <w:rPr>
          <w:lang w:val="fr-FR"/>
        </w:rPr>
        <w:t>sur</w:t>
      </w:r>
      <w:r w:rsidRPr="00267741">
        <w:rPr>
          <w:lang w:val="fr-FR"/>
        </w:rPr>
        <w:t xml:space="preserve"> l</w:t>
      </w:r>
      <w:r>
        <w:rPr>
          <w:lang w:val="fr-FR"/>
        </w:rPr>
        <w:t>’</w:t>
      </w:r>
      <w:r w:rsidRPr="00267741">
        <w:rPr>
          <w:lang w:val="fr-FR"/>
        </w:rPr>
        <w:t>étiquette n</w:t>
      </w:r>
      <w:r w:rsidRPr="00410019">
        <w:rPr>
          <w:vertAlign w:val="superscript"/>
          <w:lang w:val="fr-FR"/>
        </w:rPr>
        <w:t>o</w:t>
      </w:r>
      <w:r>
        <w:rPr>
          <w:lang w:val="fr-FR"/>
        </w:rPr>
        <w:t> </w:t>
      </w:r>
      <w:r w:rsidRPr="00267741">
        <w:rPr>
          <w:lang w:val="fr-FR"/>
        </w:rPr>
        <w:t>2.2</w:t>
      </w:r>
      <w:r>
        <w:rPr>
          <w:lang w:val="fr-FR"/>
        </w:rPr>
        <w:t xml:space="preserve"> et dont on sait très bien qu’elle correspond aux gaz </w:t>
      </w:r>
      <w:r w:rsidRPr="00267741">
        <w:rPr>
          <w:lang w:val="fr-FR"/>
        </w:rPr>
        <w:t>:</w:t>
      </w:r>
    </w:p>
    <w:p w14:paraId="5691D086" w14:textId="77777777" w:rsidR="00410019" w:rsidRPr="00267741" w:rsidRDefault="00410019" w:rsidP="00410019">
      <w:pPr>
        <w:jc w:val="center"/>
        <w:rPr>
          <w:sz w:val="22"/>
          <w:lang w:val="en-US"/>
        </w:rPr>
      </w:pPr>
      <w:r w:rsidRPr="00267741">
        <w:rPr>
          <w:noProof/>
          <w:sz w:val="22"/>
          <w:lang w:val="fr-FR" w:eastAsia="fr-FR"/>
        </w:rPr>
        <w:drawing>
          <wp:inline distT="0" distB="0" distL="0" distR="0" wp14:anchorId="13B22AA6" wp14:editId="351AECC9">
            <wp:extent cx="1152525" cy="1152525"/>
            <wp:effectExtent l="0" t="0" r="9525" b="9525"/>
            <wp:docPr id="21" name="Imagen 21" descr="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nece.org/fileadmin/DAM/trans/danger/publi/ghs/TDGpictograms/vert.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1808" cy="1151808"/>
                    </a:xfrm>
                    <a:prstGeom prst="rect">
                      <a:avLst/>
                    </a:prstGeom>
                    <a:noFill/>
                    <a:ln>
                      <a:noFill/>
                    </a:ln>
                  </pic:spPr>
                </pic:pic>
              </a:graphicData>
            </a:graphic>
          </wp:inline>
        </w:drawing>
      </w:r>
      <w:r w:rsidRPr="00267741">
        <w:rPr>
          <w:noProof/>
          <w:sz w:val="22"/>
          <w:lang w:val="fr-FR" w:eastAsia="fr-FR"/>
        </w:rPr>
        <w:drawing>
          <wp:inline distT="0" distB="0" distL="0" distR="0" wp14:anchorId="64FAA3A0" wp14:editId="7E640B56">
            <wp:extent cx="1162050" cy="1162050"/>
            <wp:effectExtent l="0" t="0" r="0" b="0"/>
            <wp:docPr id="29" name="Imagen 29" descr="http://www.unece.org/fileadmin/DAM/trans/danger/publi/ghs/TDGpictograms/vert_bla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nece.org/fileadmin/DAM/trans/danger/publi/ghs/TDGpictograms/vert_blanc.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1327" cy="1161327"/>
                    </a:xfrm>
                    <a:prstGeom prst="rect">
                      <a:avLst/>
                    </a:prstGeom>
                    <a:noFill/>
                    <a:ln>
                      <a:noFill/>
                    </a:ln>
                  </pic:spPr>
                </pic:pic>
              </a:graphicData>
            </a:graphic>
          </wp:inline>
        </w:drawing>
      </w:r>
    </w:p>
    <w:p w14:paraId="32F986E9" w14:textId="77777777" w:rsidR="00410019" w:rsidRPr="006806DE" w:rsidRDefault="00410019" w:rsidP="005C0423">
      <w:pPr>
        <w:pStyle w:val="SingleTxtG"/>
        <w:keepNext/>
        <w:keepLines/>
        <w:spacing w:before="120"/>
        <w:rPr>
          <w:lang w:val="fr-FR"/>
        </w:rPr>
      </w:pPr>
      <w:r w:rsidRPr="00267741">
        <w:rPr>
          <w:lang w:val="fr-FR"/>
        </w:rPr>
        <w:lastRenderedPageBreak/>
        <w:t>10.</w:t>
      </w:r>
      <w:r w:rsidRPr="00267741">
        <w:rPr>
          <w:lang w:val="fr-FR"/>
        </w:rPr>
        <w:tab/>
        <w:t>Ce symbole pourrait être ajouté dans la moitié inférieure des étiquettes, comme cela a été fait pour l</w:t>
      </w:r>
      <w:r>
        <w:rPr>
          <w:lang w:val="fr-FR"/>
        </w:rPr>
        <w:t>’</w:t>
      </w:r>
      <w:r w:rsidRPr="00267741">
        <w:rPr>
          <w:lang w:val="fr-FR"/>
        </w:rPr>
        <w:t>étiquette n</w:t>
      </w:r>
      <w:r w:rsidRPr="00410019">
        <w:rPr>
          <w:vertAlign w:val="superscript"/>
          <w:lang w:val="fr-FR"/>
        </w:rPr>
        <w:t>o</w:t>
      </w:r>
      <w:r>
        <w:rPr>
          <w:lang w:val="fr-FR"/>
        </w:rPr>
        <w:t> </w:t>
      </w:r>
      <w:r w:rsidRPr="00267741">
        <w:rPr>
          <w:lang w:val="fr-FR"/>
        </w:rPr>
        <w:t xml:space="preserve">9A. </w:t>
      </w:r>
      <w:r w:rsidRPr="006806DE">
        <w:rPr>
          <w:lang w:val="fr-FR"/>
        </w:rPr>
        <w:t xml:space="preserve">Le dessin ci-après est une </w:t>
      </w:r>
      <w:r>
        <w:rPr>
          <w:lang w:val="fr-FR"/>
        </w:rPr>
        <w:t>proposition qui va dans ce sens </w:t>
      </w:r>
      <w:r w:rsidRPr="00267741">
        <w:rPr>
          <w:lang w:val="fr-FR"/>
        </w:rPr>
        <w:t>:</w:t>
      </w:r>
    </w:p>
    <w:p w14:paraId="29B97781" w14:textId="77777777" w:rsidR="00410019" w:rsidRPr="00267741" w:rsidRDefault="00410019" w:rsidP="00410019">
      <w:pPr>
        <w:jc w:val="center"/>
        <w:rPr>
          <w:sz w:val="22"/>
        </w:rPr>
      </w:pPr>
      <w:r w:rsidRPr="00267741">
        <w:rPr>
          <w:noProof/>
          <w:sz w:val="22"/>
          <w:lang w:val="fr-FR" w:eastAsia="fr-FR"/>
        </w:rPr>
        <w:drawing>
          <wp:inline distT="0" distB="0" distL="0" distR="0" wp14:anchorId="5F13D6C1" wp14:editId="17229557">
            <wp:extent cx="1443297" cy="1447800"/>
            <wp:effectExtent l="0" t="0" r="508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3297" cy="1447800"/>
                    </a:xfrm>
                    <a:prstGeom prst="rect">
                      <a:avLst/>
                    </a:prstGeom>
                    <a:noFill/>
                    <a:ln>
                      <a:noFill/>
                    </a:ln>
                  </pic:spPr>
                </pic:pic>
              </a:graphicData>
            </a:graphic>
          </wp:inline>
        </w:drawing>
      </w:r>
      <w:r w:rsidRPr="00267741">
        <w:rPr>
          <w:noProof/>
          <w:sz w:val="22"/>
          <w:lang w:val="fr-FR" w:eastAsia="fr-FR"/>
        </w:rPr>
        <w:drawing>
          <wp:inline distT="0" distB="0" distL="0" distR="0" wp14:anchorId="24C7DB50" wp14:editId="22354217">
            <wp:extent cx="1457325" cy="1461872"/>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1872" cy="1466433"/>
                    </a:xfrm>
                    <a:prstGeom prst="rect">
                      <a:avLst/>
                    </a:prstGeom>
                    <a:noFill/>
                    <a:ln>
                      <a:noFill/>
                    </a:ln>
                  </pic:spPr>
                </pic:pic>
              </a:graphicData>
            </a:graphic>
          </wp:inline>
        </w:drawing>
      </w:r>
      <w:r w:rsidRPr="00267741">
        <w:rPr>
          <w:noProof/>
          <w:sz w:val="22"/>
          <w:lang w:val="fr-FR" w:eastAsia="fr-FR"/>
        </w:rPr>
        <w:drawing>
          <wp:inline distT="0" distB="0" distL="0" distR="0" wp14:anchorId="70351E68" wp14:editId="40DC6282">
            <wp:extent cx="1485900" cy="148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4B2A680E" w14:textId="77777777" w:rsidR="00410019" w:rsidRPr="00267741" w:rsidRDefault="00410019" w:rsidP="00410019">
      <w:pPr>
        <w:pStyle w:val="SingleTxtG"/>
        <w:spacing w:before="120"/>
      </w:pPr>
      <w:r w:rsidRPr="00267741">
        <w:rPr>
          <w:lang w:val="fr-FR"/>
        </w:rPr>
        <w:t>11.</w:t>
      </w:r>
      <w:r w:rsidRPr="00267741">
        <w:rPr>
          <w:lang w:val="fr-FR"/>
        </w:rPr>
        <w:tab/>
        <w:t>Sur ce dessin, l</w:t>
      </w:r>
      <w:r>
        <w:rPr>
          <w:lang w:val="fr-FR"/>
        </w:rPr>
        <w:t>’</w:t>
      </w:r>
      <w:r w:rsidRPr="00267741">
        <w:rPr>
          <w:lang w:val="fr-FR"/>
        </w:rPr>
        <w:t xml:space="preserve">étiquette reste inchangée et </w:t>
      </w:r>
      <w:r>
        <w:rPr>
          <w:lang w:val="fr-FR"/>
        </w:rPr>
        <w:t xml:space="preserve">seule </w:t>
      </w:r>
      <w:r w:rsidRPr="00267741">
        <w:rPr>
          <w:lang w:val="fr-FR"/>
        </w:rPr>
        <w:t>la bouteille à gaz, déjà clairement associée aux gaz</w:t>
      </w:r>
      <w:r>
        <w:rPr>
          <w:lang w:val="fr-FR"/>
        </w:rPr>
        <w:t>,</w:t>
      </w:r>
      <w:r w:rsidRPr="00377B35">
        <w:rPr>
          <w:lang w:val="fr-FR"/>
        </w:rPr>
        <w:t xml:space="preserve"> </w:t>
      </w:r>
      <w:r>
        <w:rPr>
          <w:lang w:val="fr-FR"/>
        </w:rPr>
        <w:t xml:space="preserve">est ajoutée </w:t>
      </w:r>
      <w:r w:rsidRPr="00267741">
        <w:rPr>
          <w:lang w:val="fr-FR"/>
        </w:rPr>
        <w:t>dans la moitié inférieure. Toutes les étiquettes relatives aux gaz comprendraient alors le symbole de la bouteille à gaz, ce qui permettrait de les identifier facilement de loin.</w:t>
      </w:r>
    </w:p>
    <w:p w14:paraId="34E6B2E9" w14:textId="77777777" w:rsidR="00410019" w:rsidRPr="00267741" w:rsidRDefault="00410019" w:rsidP="00410019">
      <w:pPr>
        <w:pStyle w:val="SingleTxtG"/>
      </w:pPr>
      <w:r w:rsidRPr="00267741">
        <w:rPr>
          <w:lang w:val="fr-FR"/>
        </w:rPr>
        <w:t>12.</w:t>
      </w:r>
      <w:r w:rsidRPr="00267741">
        <w:rPr>
          <w:lang w:val="fr-FR"/>
        </w:rPr>
        <w:tab/>
        <w:t>L</w:t>
      </w:r>
      <w:r>
        <w:rPr>
          <w:lang w:val="fr-FR"/>
        </w:rPr>
        <w:t>’</w:t>
      </w:r>
      <w:r w:rsidRPr="00267741">
        <w:rPr>
          <w:lang w:val="fr-FR"/>
        </w:rPr>
        <w:t xml:space="preserve">ajout de ce symbole permettrait de renforcer la sécurité à un coût nul ou très faible. </w:t>
      </w:r>
      <w:r>
        <w:rPr>
          <w:lang w:val="fr-FR"/>
        </w:rPr>
        <w:t>La</w:t>
      </w:r>
      <w:r w:rsidRPr="00267741">
        <w:rPr>
          <w:lang w:val="fr-FR"/>
        </w:rPr>
        <w:t xml:space="preserve"> période de transition pour introduire les nouvelles étiquettes dans les règlements modaux</w:t>
      </w:r>
      <w:r>
        <w:rPr>
          <w:lang w:val="fr-FR"/>
        </w:rPr>
        <w:t xml:space="preserve"> pourrait être très longue</w:t>
      </w:r>
      <w:r w:rsidRPr="00267741">
        <w:rPr>
          <w:lang w:val="fr-FR"/>
        </w:rPr>
        <w:t xml:space="preserve">. </w:t>
      </w:r>
      <w:r w:rsidRPr="00A31C8C">
        <w:rPr>
          <w:lang w:val="fr-FR"/>
        </w:rPr>
        <w:t>Comme les nouvelles étiquettes sont simplement plus complètes que les anciennes, il y a peu de risque qu</w:t>
      </w:r>
      <w:r>
        <w:rPr>
          <w:lang w:val="fr-FR"/>
        </w:rPr>
        <w:t>’</w:t>
      </w:r>
      <w:r w:rsidRPr="00A31C8C">
        <w:rPr>
          <w:lang w:val="fr-FR"/>
        </w:rPr>
        <w:t>elles soient source de confusion ou qu</w:t>
      </w:r>
      <w:r>
        <w:rPr>
          <w:lang w:val="fr-FR"/>
        </w:rPr>
        <w:t>’</w:t>
      </w:r>
      <w:r w:rsidRPr="00A31C8C">
        <w:rPr>
          <w:lang w:val="fr-FR"/>
        </w:rPr>
        <w:t xml:space="preserve">elles soient </w:t>
      </w:r>
      <w:r>
        <w:rPr>
          <w:lang w:val="fr-FR"/>
        </w:rPr>
        <w:t>mal interprétées</w:t>
      </w:r>
      <w:r w:rsidRPr="00A31C8C">
        <w:rPr>
          <w:lang w:val="fr-FR"/>
        </w:rPr>
        <w:t>. En</w:t>
      </w:r>
      <w:r w:rsidRPr="00267741">
        <w:rPr>
          <w:lang w:val="fr-FR"/>
        </w:rPr>
        <w:t xml:space="preserve"> outre, aucune formation spécifique supplémentaire ne serait nécessaire pour les services de secours ou les autres parties concernées.</w:t>
      </w:r>
    </w:p>
    <w:p w14:paraId="116A559C" w14:textId="77777777" w:rsidR="00410019" w:rsidRPr="00267741" w:rsidRDefault="00410019" w:rsidP="00410019">
      <w:pPr>
        <w:pStyle w:val="SingleTxtG"/>
      </w:pPr>
      <w:r w:rsidRPr="00A31C8C">
        <w:rPr>
          <w:lang w:val="fr-FR"/>
        </w:rPr>
        <w:t>13.</w:t>
      </w:r>
      <w:r w:rsidRPr="00A31C8C">
        <w:rPr>
          <w:lang w:val="fr-FR"/>
        </w:rPr>
        <w:tab/>
      </w:r>
      <w:r>
        <w:rPr>
          <w:lang w:val="fr-FR"/>
        </w:rPr>
        <w:t>Si</w:t>
      </w:r>
      <w:r w:rsidRPr="00A31C8C">
        <w:rPr>
          <w:lang w:val="fr-FR"/>
        </w:rPr>
        <w:t xml:space="preserve"> pour certains modes de transport </w:t>
      </w:r>
      <w:r>
        <w:rPr>
          <w:lang w:val="fr-FR"/>
        </w:rPr>
        <w:t xml:space="preserve">et </w:t>
      </w:r>
      <w:r w:rsidRPr="00A31C8C">
        <w:rPr>
          <w:lang w:val="fr-FR"/>
        </w:rPr>
        <w:t xml:space="preserve">dans certaines zones géographiques </w:t>
      </w:r>
      <w:r>
        <w:rPr>
          <w:lang w:val="fr-FR"/>
        </w:rPr>
        <w:t xml:space="preserve">il </w:t>
      </w:r>
      <w:r w:rsidRPr="00A31C8C">
        <w:rPr>
          <w:lang w:val="fr-FR"/>
        </w:rPr>
        <w:t>est possible d</w:t>
      </w:r>
      <w:r>
        <w:rPr>
          <w:lang w:val="fr-FR"/>
        </w:rPr>
        <w:t>’</w:t>
      </w:r>
      <w:r w:rsidRPr="00A31C8C">
        <w:rPr>
          <w:lang w:val="fr-FR"/>
        </w:rPr>
        <w:t xml:space="preserve">obtenir des informations complémentaires sur le produit transporté et </w:t>
      </w:r>
      <w:r>
        <w:rPr>
          <w:lang w:val="fr-FR"/>
        </w:rPr>
        <w:t xml:space="preserve">de savoir </w:t>
      </w:r>
      <w:r w:rsidRPr="00A31C8C">
        <w:rPr>
          <w:lang w:val="fr-FR"/>
        </w:rPr>
        <w:t>qu</w:t>
      </w:r>
      <w:r>
        <w:rPr>
          <w:lang w:val="fr-FR"/>
        </w:rPr>
        <w:t>’</w:t>
      </w:r>
      <w:r w:rsidRPr="00A31C8C">
        <w:rPr>
          <w:lang w:val="fr-FR"/>
        </w:rPr>
        <w:t>il s</w:t>
      </w:r>
      <w:r>
        <w:rPr>
          <w:lang w:val="fr-FR"/>
        </w:rPr>
        <w:t>’</w:t>
      </w:r>
      <w:r w:rsidRPr="00A31C8C">
        <w:rPr>
          <w:lang w:val="fr-FR"/>
        </w:rPr>
        <w:t>agit d</w:t>
      </w:r>
      <w:r>
        <w:rPr>
          <w:lang w:val="fr-FR"/>
        </w:rPr>
        <w:t>’</w:t>
      </w:r>
      <w:r w:rsidRPr="00A31C8C">
        <w:rPr>
          <w:lang w:val="fr-FR"/>
        </w:rPr>
        <w:t>un gaz, avec cette modification des étiquettes n</w:t>
      </w:r>
      <w:r w:rsidRPr="00410019">
        <w:rPr>
          <w:vertAlign w:val="superscript"/>
          <w:lang w:val="fr-FR"/>
        </w:rPr>
        <w:t>os</w:t>
      </w:r>
      <w:r>
        <w:rPr>
          <w:lang w:val="fr-FR"/>
        </w:rPr>
        <w:t> </w:t>
      </w:r>
      <w:r w:rsidRPr="00A31C8C">
        <w:rPr>
          <w:lang w:val="fr-FR"/>
        </w:rPr>
        <w:t>2.1 et 2.3, ces informations seraient disponibles pour</w:t>
      </w:r>
      <w:r w:rsidRPr="00267741">
        <w:rPr>
          <w:lang w:val="fr-FR"/>
        </w:rPr>
        <w:t xml:space="preserve"> tous les modes de transport et toutes les régions appliquant le</w:t>
      </w:r>
      <w:r>
        <w:rPr>
          <w:lang w:val="fr-FR"/>
        </w:rPr>
        <w:t> </w:t>
      </w:r>
      <w:r w:rsidRPr="00267741">
        <w:rPr>
          <w:lang w:val="fr-FR"/>
        </w:rPr>
        <w:t>Règlement type.</w:t>
      </w:r>
    </w:p>
    <w:p w14:paraId="376307A8" w14:textId="77777777" w:rsidR="00410019" w:rsidRPr="00267741" w:rsidRDefault="00410019" w:rsidP="00410019">
      <w:pPr>
        <w:pStyle w:val="SingleTxtG"/>
      </w:pPr>
      <w:r w:rsidRPr="00267741">
        <w:rPr>
          <w:lang w:val="fr-FR"/>
        </w:rPr>
        <w:t>14.</w:t>
      </w:r>
      <w:r w:rsidRPr="00267741">
        <w:rPr>
          <w:lang w:val="fr-FR"/>
        </w:rPr>
        <w:tab/>
      </w:r>
      <w:r>
        <w:rPr>
          <w:lang w:val="fr-FR"/>
        </w:rPr>
        <w:t>De plus, l’</w:t>
      </w:r>
      <w:r w:rsidRPr="00267741">
        <w:rPr>
          <w:lang w:val="fr-FR"/>
        </w:rPr>
        <w:t xml:space="preserve">introduction de ce symbole </w:t>
      </w:r>
      <w:r>
        <w:rPr>
          <w:lang w:val="fr-FR"/>
        </w:rPr>
        <w:t>sur</w:t>
      </w:r>
      <w:r w:rsidRPr="00267741">
        <w:rPr>
          <w:lang w:val="fr-FR"/>
        </w:rPr>
        <w:t xml:space="preserve"> les étiquettes permettrait de </w:t>
      </w:r>
      <w:r>
        <w:rPr>
          <w:lang w:val="fr-FR"/>
        </w:rPr>
        <w:t xml:space="preserve">faire </w:t>
      </w:r>
      <w:r w:rsidRPr="00267741">
        <w:rPr>
          <w:lang w:val="fr-FR"/>
        </w:rPr>
        <w:t xml:space="preserve">très facilement </w:t>
      </w:r>
      <w:r>
        <w:rPr>
          <w:lang w:val="fr-FR"/>
        </w:rPr>
        <w:t>savoir</w:t>
      </w:r>
      <w:r w:rsidRPr="00267741">
        <w:rPr>
          <w:lang w:val="fr-FR"/>
        </w:rPr>
        <w:t xml:space="preserve"> au grand </w:t>
      </w:r>
      <w:r w:rsidRPr="00A31C8C">
        <w:rPr>
          <w:lang w:val="fr-FR"/>
        </w:rPr>
        <w:t xml:space="preserve">public </w:t>
      </w:r>
      <w:r>
        <w:rPr>
          <w:lang w:val="fr-FR"/>
        </w:rPr>
        <w:t xml:space="preserve">que le produit transporté est </w:t>
      </w:r>
      <w:r w:rsidRPr="00A31C8C">
        <w:rPr>
          <w:lang w:val="fr-FR"/>
        </w:rPr>
        <w:t xml:space="preserve">un </w:t>
      </w:r>
      <w:r>
        <w:rPr>
          <w:lang w:val="fr-FR"/>
        </w:rPr>
        <w:t xml:space="preserve">gaz car </w:t>
      </w:r>
      <w:r w:rsidRPr="00A31C8C">
        <w:rPr>
          <w:lang w:val="fr-FR"/>
        </w:rPr>
        <w:t xml:space="preserve">les étiquettes pour le transport des marchandises dangereuses sont la partie la plus connue de la réglementation. </w:t>
      </w:r>
      <w:r>
        <w:rPr>
          <w:lang w:val="fr-FR"/>
        </w:rPr>
        <w:t>L’interprétation</w:t>
      </w:r>
      <w:r w:rsidRPr="00A31C8C">
        <w:rPr>
          <w:lang w:val="fr-FR"/>
        </w:rPr>
        <w:t xml:space="preserve"> des informations </w:t>
      </w:r>
      <w:r>
        <w:rPr>
          <w:lang w:val="fr-FR"/>
        </w:rPr>
        <w:t>fournies par</w:t>
      </w:r>
      <w:r w:rsidRPr="00A31C8C">
        <w:rPr>
          <w:lang w:val="fr-FR"/>
        </w:rPr>
        <w:t xml:space="preserve"> d</w:t>
      </w:r>
      <w:r>
        <w:rPr>
          <w:lang w:val="fr-FR"/>
        </w:rPr>
        <w:t>’</w:t>
      </w:r>
      <w:r w:rsidRPr="00A31C8C">
        <w:rPr>
          <w:lang w:val="fr-FR"/>
        </w:rPr>
        <w:t>autres marques ou documents</w:t>
      </w:r>
      <w:r>
        <w:rPr>
          <w:lang w:val="fr-FR"/>
        </w:rPr>
        <w:t xml:space="preserve"> existants nécessite une connaissance plus approfondie de la question du</w:t>
      </w:r>
      <w:r w:rsidRPr="00A31C8C">
        <w:rPr>
          <w:lang w:val="fr-FR"/>
        </w:rPr>
        <w:t xml:space="preserve"> transport</w:t>
      </w:r>
      <w:r w:rsidRPr="00267741">
        <w:rPr>
          <w:lang w:val="fr-FR"/>
        </w:rPr>
        <w:t xml:space="preserve"> des marchandises dangereuses.</w:t>
      </w:r>
    </w:p>
    <w:p w14:paraId="6D298488" w14:textId="77777777" w:rsidR="00410019" w:rsidRPr="00267741" w:rsidRDefault="00410019" w:rsidP="00410019">
      <w:pPr>
        <w:pStyle w:val="HChG"/>
      </w:pPr>
      <w:r w:rsidRPr="00267741">
        <w:rPr>
          <w:lang w:val="fr-FR"/>
        </w:rPr>
        <w:tab/>
      </w:r>
      <w:r w:rsidRPr="00267741">
        <w:rPr>
          <w:lang w:val="fr-FR"/>
        </w:rPr>
        <w:tab/>
        <w:t>Proposition</w:t>
      </w:r>
    </w:p>
    <w:p w14:paraId="6CCE40B3" w14:textId="77777777" w:rsidR="00410019" w:rsidRPr="00267741" w:rsidRDefault="00410019" w:rsidP="00410019">
      <w:pPr>
        <w:pStyle w:val="SingleTxtG"/>
      </w:pPr>
      <w:r w:rsidRPr="00267741">
        <w:rPr>
          <w:lang w:val="fr-FR"/>
        </w:rPr>
        <w:t>15.</w:t>
      </w:r>
      <w:r w:rsidRPr="00267741">
        <w:rPr>
          <w:lang w:val="fr-FR"/>
        </w:rPr>
        <w:tab/>
        <w:t>L</w:t>
      </w:r>
      <w:r>
        <w:rPr>
          <w:lang w:val="fr-FR"/>
        </w:rPr>
        <w:t>’</w:t>
      </w:r>
      <w:r w:rsidRPr="00267741">
        <w:rPr>
          <w:lang w:val="fr-FR"/>
        </w:rPr>
        <w:t>expert de l</w:t>
      </w:r>
      <w:r>
        <w:rPr>
          <w:lang w:val="fr-FR"/>
        </w:rPr>
        <w:t>’</w:t>
      </w:r>
      <w:r w:rsidRPr="00267741">
        <w:rPr>
          <w:lang w:val="fr-FR"/>
        </w:rPr>
        <w:t>Espagne et le CTIF proposent de modifier les étiquettes correspondant aux modèles n</w:t>
      </w:r>
      <w:r w:rsidRPr="00410019">
        <w:rPr>
          <w:vertAlign w:val="superscript"/>
          <w:lang w:val="fr-FR"/>
        </w:rPr>
        <w:t>os</w:t>
      </w:r>
      <w:r>
        <w:rPr>
          <w:lang w:val="fr-FR"/>
        </w:rPr>
        <w:t> </w:t>
      </w:r>
      <w:r w:rsidRPr="00267741">
        <w:rPr>
          <w:lang w:val="fr-FR"/>
        </w:rPr>
        <w:t xml:space="preserve">2.1 et 2.3 en ajoutant le symbole de la bouteille à gaz dans leur partie inférieure. </w:t>
      </w:r>
    </w:p>
    <w:p w14:paraId="3F95176D" w14:textId="77777777" w:rsidR="00410019" w:rsidRPr="00267741" w:rsidRDefault="00410019" w:rsidP="00410019">
      <w:pPr>
        <w:pStyle w:val="SingleTxtG"/>
      </w:pPr>
      <w:r w:rsidRPr="00267741">
        <w:rPr>
          <w:lang w:val="fr-FR"/>
        </w:rPr>
        <w:t>16.</w:t>
      </w:r>
      <w:r w:rsidRPr="00267741">
        <w:rPr>
          <w:lang w:val="fr-FR"/>
        </w:rPr>
        <w:tab/>
        <w:t>Ils proposent donc de modifier le 5.2.2.2.2 pour les modèles n</w:t>
      </w:r>
      <w:r w:rsidRPr="00410019">
        <w:rPr>
          <w:vertAlign w:val="superscript"/>
          <w:lang w:val="fr-FR"/>
        </w:rPr>
        <w:t>os</w:t>
      </w:r>
      <w:r>
        <w:rPr>
          <w:lang w:val="fr-FR"/>
        </w:rPr>
        <w:t> </w:t>
      </w:r>
      <w:r w:rsidRPr="00267741">
        <w:rPr>
          <w:lang w:val="fr-FR"/>
        </w:rPr>
        <w:t xml:space="preserve">2.1 et 2.3. Le texte à supprimer est </w:t>
      </w:r>
      <w:r w:rsidRPr="004D22F0">
        <w:rPr>
          <w:strike/>
          <w:lang w:val="fr-FR"/>
        </w:rPr>
        <w:t>biffé</w:t>
      </w:r>
      <w:r w:rsidRPr="00267741">
        <w:rPr>
          <w:lang w:val="fr-FR"/>
        </w:rPr>
        <w:t xml:space="preserve"> et les ajouts </w:t>
      </w:r>
      <w:r w:rsidRPr="004D22F0">
        <w:rPr>
          <w:u w:val="single"/>
          <w:lang w:val="fr-FR"/>
        </w:rPr>
        <w:t>soulignés</w:t>
      </w:r>
      <w:r w:rsidRPr="00267741">
        <w:rPr>
          <w:lang w:val="fr-FR"/>
        </w:rPr>
        <w:t>. Pour les modèles n</w:t>
      </w:r>
      <w:r w:rsidRPr="00410019">
        <w:rPr>
          <w:vertAlign w:val="superscript"/>
          <w:lang w:val="fr-FR"/>
        </w:rPr>
        <w:t>os</w:t>
      </w:r>
      <w:r>
        <w:rPr>
          <w:lang w:val="fr-FR"/>
        </w:rPr>
        <w:t> </w:t>
      </w:r>
      <w:r w:rsidRPr="00267741">
        <w:rPr>
          <w:lang w:val="fr-FR"/>
        </w:rPr>
        <w:t>2.1 et 2.3, seule la nouvelle version apparaît car il n</w:t>
      </w:r>
      <w:r>
        <w:rPr>
          <w:lang w:val="fr-FR"/>
        </w:rPr>
        <w:t>’</w:t>
      </w:r>
      <w:r w:rsidRPr="00267741">
        <w:rPr>
          <w:lang w:val="fr-FR"/>
        </w:rPr>
        <w:t>est pas possible de biffer ou de souligner les illustrations dans le texte existant.</w:t>
      </w:r>
    </w:p>
    <w:tbl>
      <w:tblPr>
        <w:tblStyle w:val="TableNormal1"/>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1446"/>
        <w:gridCol w:w="1398"/>
        <w:gridCol w:w="712"/>
        <w:gridCol w:w="1497"/>
        <w:gridCol w:w="1442"/>
        <w:gridCol w:w="1469"/>
        <w:gridCol w:w="563"/>
      </w:tblGrid>
      <w:tr w:rsidR="00CB717F" w:rsidRPr="00267741" w14:paraId="2D8B6D80" w14:textId="77777777" w:rsidTr="00E15A6D">
        <w:trPr>
          <w:trHeight w:val="918"/>
        </w:trPr>
        <w:tc>
          <w:tcPr>
            <w:tcW w:w="1111" w:type="dxa"/>
            <w:vAlign w:val="center"/>
          </w:tcPr>
          <w:p w14:paraId="55B088F0" w14:textId="77777777" w:rsidR="00410019" w:rsidRPr="00267741" w:rsidRDefault="00410019" w:rsidP="00E15A6D">
            <w:pPr>
              <w:keepNext/>
              <w:keepLines/>
              <w:spacing w:before="60" w:after="60"/>
              <w:ind w:left="57" w:right="57"/>
              <w:rPr>
                <w:b/>
              </w:rPr>
            </w:pPr>
            <w:r w:rsidRPr="00267741">
              <w:rPr>
                <w:b/>
                <w:bCs/>
                <w:lang w:val="fr-FR"/>
              </w:rPr>
              <w:lastRenderedPageBreak/>
              <w:t>N</w:t>
            </w:r>
            <w:r w:rsidRPr="00CB717F">
              <w:rPr>
                <w:b/>
                <w:bCs/>
                <w:vertAlign w:val="superscript"/>
                <w:lang w:val="fr-FR"/>
              </w:rPr>
              <w:t>o</w:t>
            </w:r>
            <w:r w:rsidRPr="00267741">
              <w:rPr>
                <w:b/>
                <w:bCs/>
                <w:lang w:val="fr-FR"/>
              </w:rPr>
              <w:t xml:space="preserve"> du modèle d</w:t>
            </w:r>
            <w:r>
              <w:rPr>
                <w:b/>
                <w:bCs/>
                <w:lang w:val="fr-FR"/>
              </w:rPr>
              <w:t>’</w:t>
            </w:r>
            <w:r w:rsidRPr="00267741">
              <w:rPr>
                <w:b/>
                <w:bCs/>
                <w:lang w:val="fr-FR"/>
              </w:rPr>
              <w:t>étiquette</w:t>
            </w:r>
          </w:p>
        </w:tc>
        <w:tc>
          <w:tcPr>
            <w:tcW w:w="1446" w:type="dxa"/>
            <w:vAlign w:val="center"/>
          </w:tcPr>
          <w:p w14:paraId="70823EF1" w14:textId="77777777" w:rsidR="00410019" w:rsidRPr="00267741" w:rsidRDefault="00410019" w:rsidP="00E15A6D">
            <w:pPr>
              <w:keepNext/>
              <w:keepLines/>
              <w:spacing w:before="60" w:after="60"/>
              <w:ind w:left="57" w:right="57"/>
              <w:rPr>
                <w:b/>
              </w:rPr>
            </w:pPr>
            <w:r w:rsidRPr="00267741">
              <w:rPr>
                <w:b/>
                <w:bCs/>
                <w:lang w:val="fr-FR"/>
              </w:rPr>
              <w:t xml:space="preserve">Division ou </w:t>
            </w:r>
            <w:r w:rsidR="00431113">
              <w:rPr>
                <w:b/>
                <w:bCs/>
                <w:lang w:val="fr-FR"/>
              </w:rPr>
              <w:t>c</w:t>
            </w:r>
            <w:r w:rsidRPr="00267741">
              <w:rPr>
                <w:b/>
                <w:bCs/>
                <w:lang w:val="fr-FR"/>
              </w:rPr>
              <w:t>atégorie</w:t>
            </w:r>
          </w:p>
        </w:tc>
        <w:tc>
          <w:tcPr>
            <w:tcW w:w="1398" w:type="dxa"/>
            <w:vAlign w:val="center"/>
          </w:tcPr>
          <w:p w14:paraId="4FB5A8FF" w14:textId="77777777" w:rsidR="00410019" w:rsidRPr="00731375" w:rsidRDefault="00410019" w:rsidP="00E15A6D">
            <w:pPr>
              <w:keepNext/>
              <w:keepLines/>
              <w:spacing w:before="60" w:after="60"/>
              <w:ind w:left="57" w:right="57"/>
              <w:rPr>
                <w:b/>
                <w:lang w:val="fr-CH"/>
              </w:rPr>
            </w:pPr>
            <w:r w:rsidRPr="00267741">
              <w:rPr>
                <w:b/>
                <w:bCs/>
                <w:lang w:val="fr-FR"/>
              </w:rPr>
              <w:t>Signe conventionnel et couleur du</w:t>
            </w:r>
            <w:r w:rsidR="00CB717F">
              <w:rPr>
                <w:b/>
                <w:bCs/>
                <w:lang w:val="fr-FR"/>
              </w:rPr>
              <w:t> </w:t>
            </w:r>
            <w:r w:rsidRPr="00267741">
              <w:rPr>
                <w:b/>
                <w:bCs/>
                <w:lang w:val="fr-FR"/>
              </w:rPr>
              <w:t>signe</w:t>
            </w:r>
          </w:p>
        </w:tc>
        <w:tc>
          <w:tcPr>
            <w:tcW w:w="712" w:type="dxa"/>
            <w:vAlign w:val="center"/>
          </w:tcPr>
          <w:p w14:paraId="07212BD0" w14:textId="77777777" w:rsidR="00410019" w:rsidRPr="00267741" w:rsidRDefault="00410019" w:rsidP="00E15A6D">
            <w:pPr>
              <w:keepNext/>
              <w:keepLines/>
              <w:spacing w:before="60" w:after="60"/>
              <w:ind w:left="57" w:right="57"/>
              <w:rPr>
                <w:b/>
              </w:rPr>
            </w:pPr>
            <w:r w:rsidRPr="00267741">
              <w:rPr>
                <w:b/>
                <w:bCs/>
                <w:lang w:val="fr-FR"/>
              </w:rPr>
              <w:t>Fond</w:t>
            </w:r>
          </w:p>
        </w:tc>
        <w:tc>
          <w:tcPr>
            <w:tcW w:w="1497" w:type="dxa"/>
            <w:vAlign w:val="center"/>
          </w:tcPr>
          <w:p w14:paraId="1E9A70A1" w14:textId="77777777" w:rsidR="00410019" w:rsidRPr="00731375" w:rsidRDefault="00410019" w:rsidP="00E15A6D">
            <w:pPr>
              <w:keepNext/>
              <w:keepLines/>
              <w:spacing w:before="60" w:after="60"/>
              <w:ind w:left="57" w:right="57"/>
              <w:rPr>
                <w:b/>
                <w:lang w:val="fr-CH"/>
              </w:rPr>
            </w:pPr>
            <w:r w:rsidRPr="00267741">
              <w:rPr>
                <w:b/>
                <w:bCs/>
                <w:lang w:val="fr-FR"/>
              </w:rPr>
              <w:t>Chiffre figurant dans le coin inférieur (et</w:t>
            </w:r>
            <w:r w:rsidR="00E15A6D">
              <w:rPr>
                <w:b/>
                <w:bCs/>
                <w:lang w:val="fr-FR"/>
              </w:rPr>
              <w:t> </w:t>
            </w:r>
            <w:r w:rsidRPr="00267741">
              <w:rPr>
                <w:b/>
                <w:bCs/>
                <w:lang w:val="fr-FR"/>
              </w:rPr>
              <w:t>couleur du</w:t>
            </w:r>
            <w:r w:rsidR="00E15A6D">
              <w:rPr>
                <w:b/>
                <w:bCs/>
                <w:lang w:val="fr-FR"/>
              </w:rPr>
              <w:t> </w:t>
            </w:r>
            <w:r w:rsidRPr="00267741">
              <w:rPr>
                <w:b/>
                <w:bCs/>
                <w:lang w:val="fr-FR"/>
              </w:rPr>
              <w:t>chiffre)</w:t>
            </w:r>
          </w:p>
        </w:tc>
        <w:tc>
          <w:tcPr>
            <w:tcW w:w="2911" w:type="dxa"/>
            <w:gridSpan w:val="2"/>
            <w:vAlign w:val="center"/>
          </w:tcPr>
          <w:p w14:paraId="25DF8E75" w14:textId="77777777" w:rsidR="00410019" w:rsidRPr="00267741" w:rsidRDefault="00410019" w:rsidP="00E15A6D">
            <w:pPr>
              <w:keepNext/>
              <w:keepLines/>
              <w:spacing w:before="60" w:after="60"/>
              <w:ind w:left="57" w:right="57"/>
              <w:rPr>
                <w:b/>
              </w:rPr>
            </w:pPr>
            <w:r w:rsidRPr="00267741">
              <w:rPr>
                <w:b/>
                <w:bCs/>
                <w:lang w:val="fr-FR"/>
              </w:rPr>
              <w:t>Modèles d</w:t>
            </w:r>
            <w:r>
              <w:rPr>
                <w:b/>
                <w:bCs/>
                <w:lang w:val="fr-FR"/>
              </w:rPr>
              <w:t>’</w:t>
            </w:r>
            <w:r w:rsidRPr="00267741">
              <w:rPr>
                <w:b/>
                <w:bCs/>
                <w:lang w:val="fr-FR"/>
              </w:rPr>
              <w:t>étiquettes</w:t>
            </w:r>
          </w:p>
        </w:tc>
        <w:tc>
          <w:tcPr>
            <w:tcW w:w="562" w:type="dxa"/>
            <w:vAlign w:val="center"/>
          </w:tcPr>
          <w:p w14:paraId="0C68DA4D" w14:textId="77777777" w:rsidR="00410019" w:rsidRPr="00267741" w:rsidRDefault="00410019" w:rsidP="00E15A6D">
            <w:pPr>
              <w:spacing w:before="60" w:after="60"/>
              <w:ind w:left="57" w:right="57"/>
              <w:rPr>
                <w:b/>
              </w:rPr>
            </w:pPr>
            <w:r w:rsidRPr="00267741">
              <w:rPr>
                <w:b/>
                <w:bCs/>
                <w:lang w:val="fr-FR"/>
              </w:rPr>
              <w:t>Nota</w:t>
            </w:r>
          </w:p>
        </w:tc>
      </w:tr>
      <w:tr w:rsidR="00410019" w:rsidRPr="00267741" w14:paraId="3C3D3403" w14:textId="77777777" w:rsidTr="00CB717F">
        <w:trPr>
          <w:trHeight w:val="351"/>
        </w:trPr>
        <w:tc>
          <w:tcPr>
            <w:tcW w:w="9637" w:type="dxa"/>
            <w:gridSpan w:val="8"/>
          </w:tcPr>
          <w:p w14:paraId="58F4A3CF" w14:textId="77777777" w:rsidR="00410019" w:rsidRPr="00267741" w:rsidRDefault="00410019" w:rsidP="00431113">
            <w:pPr>
              <w:keepNext/>
              <w:keepLines/>
              <w:spacing w:before="60" w:after="60"/>
              <w:ind w:left="57" w:right="57"/>
              <w:jc w:val="center"/>
              <w:rPr>
                <w:b/>
              </w:rPr>
            </w:pPr>
            <w:r w:rsidRPr="00267741">
              <w:rPr>
                <w:b/>
                <w:bCs/>
                <w:lang w:val="fr-FR"/>
              </w:rPr>
              <w:t>Classe 2</w:t>
            </w:r>
            <w:r w:rsidR="003456D4">
              <w:rPr>
                <w:b/>
                <w:bCs/>
                <w:lang w:val="fr-FR"/>
              </w:rPr>
              <w:t> </w:t>
            </w:r>
            <w:r w:rsidRPr="00267741">
              <w:rPr>
                <w:b/>
                <w:bCs/>
                <w:lang w:val="fr-FR"/>
              </w:rPr>
              <w:t>: Gaz</w:t>
            </w:r>
          </w:p>
        </w:tc>
      </w:tr>
      <w:tr w:rsidR="00CB717F" w:rsidRPr="00267741" w14:paraId="3C761760" w14:textId="77777777" w:rsidTr="00E15A6D">
        <w:trPr>
          <w:trHeight w:val="1366"/>
        </w:trPr>
        <w:tc>
          <w:tcPr>
            <w:tcW w:w="1111" w:type="dxa"/>
          </w:tcPr>
          <w:p w14:paraId="13011B94" w14:textId="77777777" w:rsidR="00410019" w:rsidRPr="00267741" w:rsidRDefault="00410019" w:rsidP="00E15A6D">
            <w:pPr>
              <w:keepNext/>
              <w:keepLines/>
              <w:spacing w:before="60" w:after="60"/>
              <w:ind w:left="57" w:right="57"/>
            </w:pPr>
            <w:r>
              <w:rPr>
                <w:lang w:val="fr-FR"/>
              </w:rPr>
              <w:t>2.</w:t>
            </w:r>
            <w:r w:rsidRPr="00267741">
              <w:rPr>
                <w:lang w:val="fr-FR"/>
              </w:rPr>
              <w:t>1</w:t>
            </w:r>
          </w:p>
        </w:tc>
        <w:tc>
          <w:tcPr>
            <w:tcW w:w="1446" w:type="dxa"/>
          </w:tcPr>
          <w:p w14:paraId="2C8BB0FE" w14:textId="77777777" w:rsidR="00410019" w:rsidRPr="00731375" w:rsidRDefault="00410019" w:rsidP="00E15A6D">
            <w:pPr>
              <w:keepNext/>
              <w:keepLines/>
              <w:spacing w:before="60" w:after="60"/>
              <w:ind w:left="57" w:right="57"/>
              <w:rPr>
                <w:lang w:val="fr-CH"/>
              </w:rPr>
            </w:pPr>
            <w:r w:rsidRPr="00267741">
              <w:rPr>
                <w:lang w:val="fr-FR"/>
              </w:rPr>
              <w:t>Division 2.1</w:t>
            </w:r>
            <w:r w:rsidR="003456D4">
              <w:rPr>
                <w:lang w:val="fr-FR"/>
              </w:rPr>
              <w:t> </w:t>
            </w:r>
            <w:r w:rsidRPr="00267741">
              <w:rPr>
                <w:lang w:val="fr-FR"/>
              </w:rPr>
              <w:t>: Gaz inflammables (sauf selon 5.2.2.2.1.6</w:t>
            </w:r>
            <w:r w:rsidR="003456D4">
              <w:rPr>
                <w:lang w:val="fr-FR"/>
              </w:rPr>
              <w:t> </w:t>
            </w:r>
            <w:r w:rsidRPr="00267741">
              <w:rPr>
                <w:lang w:val="fr-FR"/>
              </w:rPr>
              <w:t>d))</w:t>
            </w:r>
          </w:p>
        </w:tc>
        <w:tc>
          <w:tcPr>
            <w:tcW w:w="1398" w:type="dxa"/>
          </w:tcPr>
          <w:p w14:paraId="0611CAE8" w14:textId="77777777" w:rsidR="00410019" w:rsidRPr="00731375" w:rsidRDefault="00410019" w:rsidP="00E15A6D">
            <w:pPr>
              <w:keepNext/>
              <w:keepLines/>
              <w:spacing w:before="60" w:after="60"/>
              <w:ind w:left="57" w:right="57"/>
              <w:rPr>
                <w:lang w:val="fr-CH"/>
              </w:rPr>
            </w:pPr>
            <w:r w:rsidRPr="00267741">
              <w:rPr>
                <w:lang w:val="fr-FR"/>
              </w:rPr>
              <w:t xml:space="preserve">Flamme </w:t>
            </w:r>
            <w:r w:rsidRPr="00267741">
              <w:rPr>
                <w:u w:val="single"/>
                <w:lang w:val="fr-FR"/>
              </w:rPr>
              <w:t>dans la moitié supérieure</w:t>
            </w:r>
            <w:r w:rsidR="003456D4">
              <w:rPr>
                <w:lang w:val="fr-FR"/>
              </w:rPr>
              <w:t> </w:t>
            </w:r>
            <w:r w:rsidRPr="00267741">
              <w:rPr>
                <w:lang w:val="fr-FR"/>
              </w:rPr>
              <w:t>: noir ou blanc</w:t>
            </w:r>
          </w:p>
          <w:p w14:paraId="73A1D675" w14:textId="77777777" w:rsidR="00410019" w:rsidRPr="00731375" w:rsidRDefault="00410019" w:rsidP="00E15A6D">
            <w:pPr>
              <w:keepNext/>
              <w:keepLines/>
              <w:spacing w:before="60" w:after="60"/>
              <w:ind w:left="57" w:right="57"/>
              <w:rPr>
                <w:lang w:val="fr-CH"/>
              </w:rPr>
            </w:pPr>
            <w:r w:rsidRPr="00267741">
              <w:rPr>
                <w:u w:val="single"/>
                <w:lang w:val="fr-FR"/>
              </w:rPr>
              <w:t>Bouteille à gaz dans la moitié inférieure</w:t>
            </w:r>
            <w:r w:rsidR="009208AB">
              <w:rPr>
                <w:u w:val="single"/>
                <w:lang w:val="fr-FR"/>
              </w:rPr>
              <w:t> </w:t>
            </w:r>
            <w:r w:rsidRPr="00267741">
              <w:rPr>
                <w:u w:val="single"/>
                <w:lang w:val="fr-FR"/>
              </w:rPr>
              <w:t>: noir ou blanc</w:t>
            </w:r>
          </w:p>
        </w:tc>
        <w:tc>
          <w:tcPr>
            <w:tcW w:w="712" w:type="dxa"/>
          </w:tcPr>
          <w:p w14:paraId="22AD3ED7" w14:textId="77777777" w:rsidR="00410019" w:rsidRPr="00267741" w:rsidRDefault="00410019" w:rsidP="00E15A6D">
            <w:pPr>
              <w:keepNext/>
              <w:keepLines/>
              <w:spacing w:before="60" w:after="60"/>
              <w:ind w:left="57" w:right="57"/>
            </w:pPr>
            <w:r w:rsidRPr="00267741">
              <w:rPr>
                <w:lang w:val="fr-FR"/>
              </w:rPr>
              <w:t>Rouge</w:t>
            </w:r>
          </w:p>
        </w:tc>
        <w:tc>
          <w:tcPr>
            <w:tcW w:w="1497" w:type="dxa"/>
          </w:tcPr>
          <w:p w14:paraId="6B508D27" w14:textId="77777777" w:rsidR="00410019" w:rsidRPr="00267741" w:rsidRDefault="00410019" w:rsidP="00E15A6D">
            <w:pPr>
              <w:keepNext/>
              <w:keepLines/>
              <w:spacing w:before="60" w:after="60"/>
              <w:ind w:left="57" w:right="57"/>
            </w:pPr>
            <w:r w:rsidRPr="00267741">
              <w:rPr>
                <w:lang w:val="fr-FR"/>
              </w:rPr>
              <w:t>2</w:t>
            </w:r>
          </w:p>
          <w:p w14:paraId="0C440336" w14:textId="77777777" w:rsidR="00410019" w:rsidRPr="00267741" w:rsidRDefault="00410019" w:rsidP="00E15A6D">
            <w:pPr>
              <w:keepNext/>
              <w:keepLines/>
              <w:spacing w:before="60" w:after="60"/>
              <w:ind w:left="57" w:right="57"/>
            </w:pPr>
            <w:r w:rsidRPr="00267741">
              <w:rPr>
                <w:lang w:val="fr-FR"/>
              </w:rPr>
              <w:t>(</w:t>
            </w:r>
            <w:proofErr w:type="gramStart"/>
            <w:r w:rsidRPr="00267741">
              <w:rPr>
                <w:lang w:val="fr-FR"/>
              </w:rPr>
              <w:t>noir</w:t>
            </w:r>
            <w:proofErr w:type="gramEnd"/>
            <w:r w:rsidRPr="00267741">
              <w:rPr>
                <w:lang w:val="fr-FR"/>
              </w:rPr>
              <w:t xml:space="preserve"> ou blanc)</w:t>
            </w:r>
          </w:p>
          <w:p w14:paraId="283BF3C7" w14:textId="77777777" w:rsidR="00410019" w:rsidRPr="00267741" w:rsidRDefault="00410019" w:rsidP="00E15A6D">
            <w:pPr>
              <w:keepNext/>
              <w:keepLines/>
              <w:spacing w:before="60" w:after="60"/>
              <w:ind w:left="57" w:right="57"/>
              <w:rPr>
                <w:u w:val="single"/>
              </w:rPr>
            </w:pPr>
          </w:p>
        </w:tc>
        <w:tc>
          <w:tcPr>
            <w:tcW w:w="1442" w:type="dxa"/>
            <w:vAlign w:val="center"/>
          </w:tcPr>
          <w:p w14:paraId="1F03E5DF" w14:textId="77777777" w:rsidR="00410019" w:rsidRPr="00267741" w:rsidRDefault="003456D4" w:rsidP="00E15A6D">
            <w:pPr>
              <w:keepNext/>
              <w:keepLines/>
              <w:spacing w:before="60" w:after="60"/>
              <w:ind w:left="57" w:right="57"/>
              <w:jc w:val="center"/>
            </w:pPr>
            <w:r w:rsidRPr="00267741">
              <w:rPr>
                <w:noProof/>
                <w:lang w:val="fr-FR" w:eastAsia="fr-FR"/>
              </w:rPr>
              <w:drawing>
                <wp:inline distT="0" distB="0" distL="0" distR="0" wp14:anchorId="2001C032" wp14:editId="7E370D23">
                  <wp:extent cx="929171" cy="914400"/>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5560" cy="979733"/>
                          </a:xfrm>
                          <a:prstGeom prst="rect">
                            <a:avLst/>
                          </a:prstGeom>
                          <a:noFill/>
                          <a:ln>
                            <a:noFill/>
                          </a:ln>
                        </pic:spPr>
                      </pic:pic>
                    </a:graphicData>
                  </a:graphic>
                </wp:inline>
              </w:drawing>
            </w:r>
          </w:p>
        </w:tc>
        <w:tc>
          <w:tcPr>
            <w:tcW w:w="1468" w:type="dxa"/>
            <w:vAlign w:val="center"/>
          </w:tcPr>
          <w:p w14:paraId="739667E9" w14:textId="77777777" w:rsidR="00410019" w:rsidRPr="00267741" w:rsidRDefault="00410019" w:rsidP="00E15A6D">
            <w:pPr>
              <w:keepNext/>
              <w:keepLines/>
              <w:spacing w:before="60" w:after="60"/>
              <w:ind w:left="57" w:right="57"/>
              <w:jc w:val="center"/>
            </w:pPr>
            <w:r w:rsidRPr="00267741">
              <w:rPr>
                <w:noProof/>
                <w:lang w:val="fr-FR" w:eastAsia="fr-FR"/>
              </w:rPr>
              <w:drawing>
                <wp:inline distT="0" distB="0" distL="0" distR="0" wp14:anchorId="20FFE2CA" wp14:editId="13AC2897">
                  <wp:extent cx="937711" cy="964565"/>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5973" cy="973064"/>
                          </a:xfrm>
                          <a:prstGeom prst="rect">
                            <a:avLst/>
                          </a:prstGeom>
                          <a:noFill/>
                          <a:ln>
                            <a:noFill/>
                          </a:ln>
                        </pic:spPr>
                      </pic:pic>
                    </a:graphicData>
                  </a:graphic>
                </wp:inline>
              </w:drawing>
            </w:r>
          </w:p>
        </w:tc>
        <w:tc>
          <w:tcPr>
            <w:tcW w:w="563" w:type="dxa"/>
          </w:tcPr>
          <w:p w14:paraId="6C1D55EB" w14:textId="77777777" w:rsidR="00410019" w:rsidRPr="00267741" w:rsidRDefault="00410019" w:rsidP="00E15A6D">
            <w:pPr>
              <w:spacing w:before="60" w:after="60"/>
              <w:ind w:left="57" w:right="57"/>
            </w:pPr>
            <w:r w:rsidRPr="00267741">
              <w:rPr>
                <w:lang w:val="fr-FR"/>
              </w:rPr>
              <w:t>-</w:t>
            </w:r>
          </w:p>
        </w:tc>
      </w:tr>
      <w:tr w:rsidR="00CB717F" w:rsidRPr="00267741" w14:paraId="20665D87" w14:textId="77777777" w:rsidTr="00E15A6D">
        <w:trPr>
          <w:trHeight w:val="1362"/>
        </w:trPr>
        <w:tc>
          <w:tcPr>
            <w:tcW w:w="1111" w:type="dxa"/>
          </w:tcPr>
          <w:p w14:paraId="196B9339" w14:textId="77777777" w:rsidR="00410019" w:rsidRPr="00267741" w:rsidRDefault="00410019" w:rsidP="00E15A6D">
            <w:pPr>
              <w:spacing w:before="60" w:after="60"/>
              <w:ind w:left="57" w:right="57"/>
            </w:pPr>
            <w:r>
              <w:rPr>
                <w:lang w:val="fr-FR"/>
              </w:rPr>
              <w:t>2.</w:t>
            </w:r>
            <w:r w:rsidRPr="00267741">
              <w:rPr>
                <w:lang w:val="fr-FR"/>
              </w:rPr>
              <w:t>2</w:t>
            </w:r>
          </w:p>
        </w:tc>
        <w:tc>
          <w:tcPr>
            <w:tcW w:w="1446" w:type="dxa"/>
          </w:tcPr>
          <w:p w14:paraId="4EFBA0E9" w14:textId="77777777" w:rsidR="00410019" w:rsidRPr="00731375" w:rsidRDefault="00410019" w:rsidP="00E15A6D">
            <w:pPr>
              <w:spacing w:before="60" w:after="60"/>
              <w:ind w:left="57" w:right="57"/>
              <w:rPr>
                <w:lang w:val="fr-CH"/>
              </w:rPr>
            </w:pPr>
            <w:r w:rsidRPr="00267741">
              <w:rPr>
                <w:lang w:val="fr-FR"/>
              </w:rPr>
              <w:t>Division 2.2</w:t>
            </w:r>
            <w:r w:rsidR="003456D4">
              <w:rPr>
                <w:lang w:val="fr-FR"/>
              </w:rPr>
              <w:t> </w:t>
            </w:r>
            <w:r w:rsidRPr="00267741">
              <w:rPr>
                <w:lang w:val="fr-FR"/>
              </w:rPr>
              <w:t>:</w:t>
            </w:r>
          </w:p>
          <w:p w14:paraId="2658F51F" w14:textId="77777777" w:rsidR="00410019" w:rsidRPr="00731375" w:rsidRDefault="00410019" w:rsidP="00E15A6D">
            <w:pPr>
              <w:spacing w:before="60" w:after="60"/>
              <w:ind w:left="57" w:right="57"/>
              <w:rPr>
                <w:lang w:val="fr-CH"/>
              </w:rPr>
            </w:pPr>
            <w:r w:rsidRPr="00267741">
              <w:rPr>
                <w:lang w:val="fr-FR"/>
              </w:rPr>
              <w:t>Gaz ininflammables, non toxiques</w:t>
            </w:r>
          </w:p>
        </w:tc>
        <w:tc>
          <w:tcPr>
            <w:tcW w:w="1398" w:type="dxa"/>
          </w:tcPr>
          <w:p w14:paraId="3DC05E02" w14:textId="77777777" w:rsidR="00410019" w:rsidRPr="00731375" w:rsidRDefault="00410019" w:rsidP="00E15A6D">
            <w:pPr>
              <w:spacing w:before="60" w:after="60"/>
              <w:ind w:left="57" w:right="57"/>
              <w:rPr>
                <w:lang w:val="fr-CH"/>
              </w:rPr>
            </w:pPr>
            <w:r w:rsidRPr="003456D4">
              <w:rPr>
                <w:spacing w:val="-2"/>
                <w:lang w:val="fr-FR"/>
              </w:rPr>
              <w:t>Bouteille à gaz</w:t>
            </w:r>
            <w:r w:rsidR="003456D4" w:rsidRPr="003456D4">
              <w:rPr>
                <w:spacing w:val="-2"/>
                <w:lang w:val="fr-FR"/>
              </w:rPr>
              <w:t> </w:t>
            </w:r>
            <w:r w:rsidRPr="003456D4">
              <w:rPr>
                <w:spacing w:val="-2"/>
                <w:lang w:val="fr-FR"/>
              </w:rPr>
              <w:t>:</w:t>
            </w:r>
            <w:r w:rsidRPr="00267741">
              <w:rPr>
                <w:lang w:val="fr-FR"/>
              </w:rPr>
              <w:t xml:space="preserve"> noir ou</w:t>
            </w:r>
            <w:r w:rsidR="003456D4">
              <w:rPr>
                <w:lang w:val="fr-FR"/>
              </w:rPr>
              <w:t xml:space="preserve"> </w:t>
            </w:r>
            <w:r w:rsidRPr="00267741">
              <w:rPr>
                <w:lang w:val="fr-FR"/>
              </w:rPr>
              <w:t>blanc</w:t>
            </w:r>
          </w:p>
        </w:tc>
        <w:tc>
          <w:tcPr>
            <w:tcW w:w="712" w:type="dxa"/>
          </w:tcPr>
          <w:p w14:paraId="17E351F7" w14:textId="77777777" w:rsidR="00410019" w:rsidRPr="00267741" w:rsidRDefault="00410019" w:rsidP="00E15A6D">
            <w:pPr>
              <w:spacing w:before="60" w:after="60"/>
              <w:ind w:left="57" w:right="57"/>
            </w:pPr>
            <w:r w:rsidRPr="00267741">
              <w:rPr>
                <w:lang w:val="fr-FR"/>
              </w:rPr>
              <w:t>Vert</w:t>
            </w:r>
          </w:p>
        </w:tc>
        <w:tc>
          <w:tcPr>
            <w:tcW w:w="1497" w:type="dxa"/>
          </w:tcPr>
          <w:p w14:paraId="06CC1F0A" w14:textId="77777777" w:rsidR="00410019" w:rsidRPr="00267741" w:rsidRDefault="00410019" w:rsidP="00E15A6D">
            <w:pPr>
              <w:spacing w:before="60" w:after="60"/>
              <w:ind w:left="57" w:right="57"/>
            </w:pPr>
            <w:r w:rsidRPr="00267741">
              <w:rPr>
                <w:lang w:val="fr-FR"/>
              </w:rPr>
              <w:t>2</w:t>
            </w:r>
          </w:p>
          <w:p w14:paraId="5FCF7FD9" w14:textId="77777777" w:rsidR="00410019" w:rsidRPr="00267741" w:rsidRDefault="00410019" w:rsidP="00E15A6D">
            <w:pPr>
              <w:spacing w:before="60" w:after="60"/>
              <w:ind w:left="57" w:right="57"/>
            </w:pPr>
            <w:r w:rsidRPr="00267741">
              <w:rPr>
                <w:lang w:val="fr-FR"/>
              </w:rPr>
              <w:t>(</w:t>
            </w:r>
            <w:proofErr w:type="gramStart"/>
            <w:r w:rsidRPr="00267741">
              <w:rPr>
                <w:lang w:val="fr-FR"/>
              </w:rPr>
              <w:t>noir</w:t>
            </w:r>
            <w:proofErr w:type="gramEnd"/>
            <w:r w:rsidRPr="00267741">
              <w:rPr>
                <w:lang w:val="fr-FR"/>
              </w:rPr>
              <w:t xml:space="preserve"> ou blanc)</w:t>
            </w:r>
          </w:p>
        </w:tc>
        <w:tc>
          <w:tcPr>
            <w:tcW w:w="1442" w:type="dxa"/>
            <w:vAlign w:val="center"/>
          </w:tcPr>
          <w:p w14:paraId="36689108" w14:textId="77777777" w:rsidR="00410019" w:rsidRPr="00267741" w:rsidRDefault="00410019" w:rsidP="00E15A6D">
            <w:pPr>
              <w:spacing w:before="60" w:after="60"/>
              <w:ind w:left="57" w:right="57"/>
              <w:jc w:val="center"/>
            </w:pPr>
            <w:r w:rsidRPr="00267741">
              <w:rPr>
                <w:noProof/>
                <w:lang w:val="fr-FR" w:eastAsia="fr-FR"/>
              </w:rPr>
              <w:drawing>
                <wp:inline distT="0" distB="0" distL="0" distR="0" wp14:anchorId="4E9DEE17" wp14:editId="1BC3BBE7">
                  <wp:extent cx="865632" cy="865632"/>
                  <wp:effectExtent l="0" t="0" r="0" b="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2" cstate="print"/>
                          <a:stretch>
                            <a:fillRect/>
                          </a:stretch>
                        </pic:blipFill>
                        <pic:spPr>
                          <a:xfrm>
                            <a:off x="0" y="0"/>
                            <a:ext cx="865632" cy="865632"/>
                          </a:xfrm>
                          <a:prstGeom prst="rect">
                            <a:avLst/>
                          </a:prstGeom>
                        </pic:spPr>
                      </pic:pic>
                    </a:graphicData>
                  </a:graphic>
                </wp:inline>
              </w:drawing>
            </w:r>
          </w:p>
        </w:tc>
        <w:tc>
          <w:tcPr>
            <w:tcW w:w="1468" w:type="dxa"/>
            <w:vAlign w:val="center"/>
          </w:tcPr>
          <w:p w14:paraId="6490BAA4" w14:textId="77777777" w:rsidR="00410019" w:rsidRPr="00267741" w:rsidRDefault="00410019" w:rsidP="00E15A6D">
            <w:pPr>
              <w:spacing w:before="60" w:after="60"/>
              <w:ind w:left="57" w:right="57"/>
              <w:jc w:val="center"/>
            </w:pPr>
            <w:r w:rsidRPr="00267741">
              <w:rPr>
                <w:noProof/>
                <w:lang w:val="fr-FR" w:eastAsia="fr-FR"/>
              </w:rPr>
              <w:drawing>
                <wp:inline distT="0" distB="0" distL="0" distR="0" wp14:anchorId="3F0C54B3" wp14:editId="571A3151">
                  <wp:extent cx="865632" cy="865632"/>
                  <wp:effectExtent l="0" t="0" r="0" b="0"/>
                  <wp:docPr id="2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3" cstate="print"/>
                          <a:stretch>
                            <a:fillRect/>
                          </a:stretch>
                        </pic:blipFill>
                        <pic:spPr>
                          <a:xfrm>
                            <a:off x="0" y="0"/>
                            <a:ext cx="865632" cy="865632"/>
                          </a:xfrm>
                          <a:prstGeom prst="rect">
                            <a:avLst/>
                          </a:prstGeom>
                        </pic:spPr>
                      </pic:pic>
                    </a:graphicData>
                  </a:graphic>
                </wp:inline>
              </w:drawing>
            </w:r>
          </w:p>
        </w:tc>
        <w:tc>
          <w:tcPr>
            <w:tcW w:w="563" w:type="dxa"/>
          </w:tcPr>
          <w:p w14:paraId="1F552482" w14:textId="77777777" w:rsidR="00410019" w:rsidRPr="00267741" w:rsidRDefault="00410019" w:rsidP="00E15A6D">
            <w:pPr>
              <w:spacing w:before="60" w:after="60"/>
              <w:ind w:left="57" w:right="57"/>
            </w:pPr>
            <w:r w:rsidRPr="00267741">
              <w:rPr>
                <w:lang w:val="fr-FR"/>
              </w:rPr>
              <w:t>-</w:t>
            </w:r>
          </w:p>
        </w:tc>
      </w:tr>
      <w:tr w:rsidR="00CB717F" w:rsidRPr="00267741" w14:paraId="580BCAF2" w14:textId="77777777" w:rsidTr="00E15A6D">
        <w:trPr>
          <w:trHeight w:val="1786"/>
        </w:trPr>
        <w:tc>
          <w:tcPr>
            <w:tcW w:w="1111" w:type="dxa"/>
          </w:tcPr>
          <w:p w14:paraId="121ED6C4" w14:textId="77777777" w:rsidR="00410019" w:rsidRPr="00267741" w:rsidRDefault="00410019" w:rsidP="00E15A6D">
            <w:pPr>
              <w:spacing w:before="60" w:after="60"/>
              <w:ind w:left="57" w:right="57"/>
            </w:pPr>
            <w:r w:rsidRPr="00267741">
              <w:rPr>
                <w:lang w:val="fr-FR"/>
              </w:rPr>
              <w:t>2.3</w:t>
            </w:r>
          </w:p>
        </w:tc>
        <w:tc>
          <w:tcPr>
            <w:tcW w:w="1446" w:type="dxa"/>
          </w:tcPr>
          <w:p w14:paraId="4421E50F" w14:textId="77777777" w:rsidR="00410019" w:rsidRPr="00267741" w:rsidRDefault="00410019" w:rsidP="00E15A6D">
            <w:pPr>
              <w:spacing w:before="60" w:after="60"/>
              <w:ind w:left="57" w:right="57"/>
            </w:pPr>
            <w:r w:rsidRPr="00267741">
              <w:rPr>
                <w:lang w:val="fr-FR"/>
              </w:rPr>
              <w:t>Division 2.3</w:t>
            </w:r>
            <w:r w:rsidR="003456D4">
              <w:rPr>
                <w:lang w:val="fr-FR"/>
              </w:rPr>
              <w:t> </w:t>
            </w:r>
            <w:r w:rsidRPr="00267741">
              <w:rPr>
                <w:lang w:val="fr-FR"/>
              </w:rPr>
              <w:t>: Gaz toxiques</w:t>
            </w:r>
          </w:p>
        </w:tc>
        <w:tc>
          <w:tcPr>
            <w:tcW w:w="1398" w:type="dxa"/>
          </w:tcPr>
          <w:p w14:paraId="635D51B4" w14:textId="77777777" w:rsidR="00410019" w:rsidRPr="00731375" w:rsidRDefault="00410019" w:rsidP="00E15A6D">
            <w:pPr>
              <w:spacing w:before="60" w:after="60"/>
              <w:ind w:left="57" w:right="57"/>
              <w:rPr>
                <w:lang w:val="fr-CH"/>
              </w:rPr>
            </w:pPr>
            <w:r w:rsidRPr="00267741">
              <w:rPr>
                <w:lang w:val="fr-FR"/>
              </w:rPr>
              <w:t xml:space="preserve">Tête de mort sur deux tibias </w:t>
            </w:r>
            <w:r w:rsidRPr="00267741">
              <w:rPr>
                <w:u w:val="single"/>
                <w:lang w:val="fr-FR"/>
              </w:rPr>
              <w:t>dans la moitié supérieure</w:t>
            </w:r>
            <w:r w:rsidR="003456D4" w:rsidRPr="003456D4">
              <w:rPr>
                <w:lang w:val="fr-FR"/>
              </w:rPr>
              <w:t> </w:t>
            </w:r>
            <w:r w:rsidRPr="00267741">
              <w:rPr>
                <w:lang w:val="fr-FR"/>
              </w:rPr>
              <w:t>: noir</w:t>
            </w:r>
          </w:p>
          <w:p w14:paraId="0E145DC1" w14:textId="77777777" w:rsidR="00410019" w:rsidRPr="00731375" w:rsidRDefault="00410019" w:rsidP="00E15A6D">
            <w:pPr>
              <w:spacing w:before="60" w:after="60"/>
              <w:ind w:left="57" w:right="57"/>
              <w:rPr>
                <w:lang w:val="fr-CH"/>
              </w:rPr>
            </w:pPr>
            <w:r w:rsidRPr="00267741">
              <w:rPr>
                <w:u w:val="single"/>
                <w:lang w:val="fr-FR"/>
              </w:rPr>
              <w:t>Bouteille à gaz dans la moitié inférieure</w:t>
            </w:r>
            <w:r w:rsidR="003456D4" w:rsidRPr="003456D4">
              <w:rPr>
                <w:lang w:val="fr-FR"/>
              </w:rPr>
              <w:t> </w:t>
            </w:r>
            <w:r w:rsidRPr="003456D4">
              <w:rPr>
                <w:lang w:val="fr-FR"/>
              </w:rPr>
              <w:t xml:space="preserve">: </w:t>
            </w:r>
            <w:r w:rsidRPr="00267741">
              <w:rPr>
                <w:u w:val="single"/>
                <w:lang w:val="fr-FR"/>
              </w:rPr>
              <w:t>noir</w:t>
            </w:r>
          </w:p>
        </w:tc>
        <w:tc>
          <w:tcPr>
            <w:tcW w:w="712" w:type="dxa"/>
          </w:tcPr>
          <w:p w14:paraId="3E5D7627" w14:textId="77777777" w:rsidR="00410019" w:rsidRPr="00267741" w:rsidRDefault="00410019" w:rsidP="00E15A6D">
            <w:pPr>
              <w:spacing w:before="60" w:after="60"/>
              <w:ind w:left="57" w:right="57"/>
            </w:pPr>
            <w:r w:rsidRPr="00267741">
              <w:rPr>
                <w:lang w:val="fr-FR"/>
              </w:rPr>
              <w:t xml:space="preserve">Blanc </w:t>
            </w:r>
          </w:p>
        </w:tc>
        <w:tc>
          <w:tcPr>
            <w:tcW w:w="1497" w:type="dxa"/>
          </w:tcPr>
          <w:p w14:paraId="228A831F" w14:textId="77777777" w:rsidR="00410019" w:rsidRPr="00267741" w:rsidRDefault="00410019" w:rsidP="00E15A6D">
            <w:pPr>
              <w:spacing w:before="60" w:after="60"/>
              <w:ind w:left="57" w:right="57"/>
            </w:pPr>
            <w:r w:rsidRPr="00267741">
              <w:rPr>
                <w:lang w:val="fr-FR"/>
              </w:rPr>
              <w:t>2</w:t>
            </w:r>
          </w:p>
          <w:p w14:paraId="36D504A5" w14:textId="77777777" w:rsidR="00410019" w:rsidRPr="00267741" w:rsidRDefault="00410019" w:rsidP="00E15A6D">
            <w:pPr>
              <w:spacing w:before="60" w:after="60"/>
              <w:ind w:left="57" w:right="57"/>
            </w:pPr>
            <w:r w:rsidRPr="00267741">
              <w:rPr>
                <w:lang w:val="fr-FR"/>
              </w:rPr>
              <w:t>(</w:t>
            </w:r>
            <w:proofErr w:type="gramStart"/>
            <w:r w:rsidRPr="00267741">
              <w:rPr>
                <w:lang w:val="fr-FR"/>
              </w:rPr>
              <w:t>noir</w:t>
            </w:r>
            <w:proofErr w:type="gramEnd"/>
            <w:r w:rsidRPr="00267741">
              <w:rPr>
                <w:lang w:val="fr-FR"/>
              </w:rPr>
              <w:t>)</w:t>
            </w:r>
          </w:p>
          <w:p w14:paraId="251FF341" w14:textId="77777777" w:rsidR="00410019" w:rsidRPr="00267741" w:rsidRDefault="00410019" w:rsidP="00E15A6D">
            <w:pPr>
              <w:spacing w:before="60" w:after="60"/>
              <w:ind w:left="57" w:right="57"/>
              <w:rPr>
                <w:u w:val="single"/>
              </w:rPr>
            </w:pPr>
          </w:p>
        </w:tc>
        <w:tc>
          <w:tcPr>
            <w:tcW w:w="2911" w:type="dxa"/>
            <w:gridSpan w:val="2"/>
            <w:vAlign w:val="center"/>
          </w:tcPr>
          <w:p w14:paraId="55C3B8C3" w14:textId="77777777" w:rsidR="00410019" w:rsidRPr="00267741" w:rsidRDefault="00410019" w:rsidP="00E15A6D">
            <w:pPr>
              <w:spacing w:before="60" w:after="60"/>
              <w:ind w:left="57" w:right="57"/>
              <w:jc w:val="center"/>
            </w:pPr>
            <w:r w:rsidRPr="00267741">
              <w:rPr>
                <w:noProof/>
                <w:lang w:val="fr-FR" w:eastAsia="fr-FR"/>
              </w:rPr>
              <w:drawing>
                <wp:inline distT="0" distB="0" distL="0" distR="0" wp14:anchorId="22E2C58C" wp14:editId="70C14C85">
                  <wp:extent cx="1047750" cy="10477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562" w:type="dxa"/>
          </w:tcPr>
          <w:p w14:paraId="5093FADD" w14:textId="77777777" w:rsidR="00410019" w:rsidRPr="00267741" w:rsidRDefault="00410019" w:rsidP="00E15A6D">
            <w:pPr>
              <w:spacing w:before="60" w:after="60"/>
              <w:ind w:left="57" w:right="57"/>
            </w:pPr>
            <w:r w:rsidRPr="00267741">
              <w:rPr>
                <w:lang w:val="fr-FR"/>
              </w:rPr>
              <w:t>-</w:t>
            </w:r>
          </w:p>
        </w:tc>
      </w:tr>
    </w:tbl>
    <w:p w14:paraId="57759DE0" w14:textId="77777777" w:rsidR="00410019" w:rsidRPr="00267741" w:rsidRDefault="00410019" w:rsidP="00695330">
      <w:pPr>
        <w:pStyle w:val="SingleTxtG"/>
        <w:spacing w:before="240"/>
      </w:pPr>
      <w:r w:rsidRPr="00267741">
        <w:rPr>
          <w:lang w:val="fr-FR"/>
        </w:rPr>
        <w:t>17.</w:t>
      </w:r>
      <w:r w:rsidRPr="00267741">
        <w:rPr>
          <w:lang w:val="fr-FR"/>
        </w:rPr>
        <w:tab/>
        <w:t>En conséquence, le 5.2.2.2.1.3 devrait être modifié par l</w:t>
      </w:r>
      <w:r>
        <w:rPr>
          <w:lang w:val="fr-FR"/>
        </w:rPr>
        <w:t>’</w:t>
      </w:r>
      <w:r w:rsidRPr="00267741">
        <w:rPr>
          <w:lang w:val="fr-FR"/>
        </w:rPr>
        <w:t>ajout d</w:t>
      </w:r>
      <w:r>
        <w:rPr>
          <w:lang w:val="fr-FR"/>
        </w:rPr>
        <w:t>’</w:t>
      </w:r>
      <w:r w:rsidRPr="00267741">
        <w:rPr>
          <w:lang w:val="fr-FR"/>
        </w:rPr>
        <w:t>une troisième phrase</w:t>
      </w:r>
      <w:r>
        <w:rPr>
          <w:lang w:val="fr-FR"/>
        </w:rPr>
        <w:t>,</w:t>
      </w:r>
      <w:r w:rsidRPr="00267741">
        <w:rPr>
          <w:lang w:val="fr-FR"/>
        </w:rPr>
        <w:t xml:space="preserve"> comme suit</w:t>
      </w:r>
      <w:r w:rsidR="00695330">
        <w:rPr>
          <w:lang w:val="fr-FR"/>
        </w:rPr>
        <w:t> </w:t>
      </w:r>
      <w:r w:rsidRPr="00267741">
        <w:rPr>
          <w:lang w:val="fr-FR"/>
        </w:rPr>
        <w:t>:</w:t>
      </w:r>
    </w:p>
    <w:p w14:paraId="56366CCC" w14:textId="77777777" w:rsidR="00410019" w:rsidRPr="00267741" w:rsidRDefault="00695330" w:rsidP="00695330">
      <w:pPr>
        <w:pStyle w:val="SingleTxtG"/>
        <w:ind w:left="1701"/>
      </w:pPr>
      <w:r>
        <w:rPr>
          <w:lang w:val="fr-FR"/>
        </w:rPr>
        <w:t>« </w:t>
      </w:r>
      <w:r w:rsidR="00410019" w:rsidRPr="00267741">
        <w:rPr>
          <w:lang w:val="fr-FR"/>
        </w:rPr>
        <w:t>5.2.2.2.1.3 Sauf pour les étiquettes des divisions</w:t>
      </w:r>
      <w:r>
        <w:rPr>
          <w:lang w:val="fr-FR"/>
        </w:rPr>
        <w:t> </w:t>
      </w:r>
      <w:r w:rsidR="00410019" w:rsidRPr="00267741">
        <w:rPr>
          <w:lang w:val="fr-FR"/>
        </w:rPr>
        <w:t>1.4, 1.5 et 1.6 de la classe</w:t>
      </w:r>
      <w:r>
        <w:rPr>
          <w:lang w:val="fr-FR"/>
        </w:rPr>
        <w:t> </w:t>
      </w:r>
      <w:r w:rsidR="00410019" w:rsidRPr="00267741">
        <w:rPr>
          <w:lang w:val="fr-FR"/>
        </w:rPr>
        <w:t>1, la moitié supérieure des étiquettes doit contenir le signe conventionnel, et la moitié inférieure doit contenir le numéro de classe ou de division</w:t>
      </w:r>
      <w:r>
        <w:rPr>
          <w:lang w:val="fr-FR"/>
        </w:rPr>
        <w:t> </w:t>
      </w:r>
      <w:r w:rsidR="00410019" w:rsidRPr="00267741">
        <w:rPr>
          <w:lang w:val="fr-FR"/>
        </w:rPr>
        <w:t>1,</w:t>
      </w:r>
      <w:r w:rsidR="00410019">
        <w:rPr>
          <w:lang w:val="fr-FR"/>
        </w:rPr>
        <w:t xml:space="preserve"> </w:t>
      </w:r>
      <w:r w:rsidR="00410019" w:rsidRPr="00267741">
        <w:rPr>
          <w:lang w:val="fr-FR"/>
        </w:rPr>
        <w:t>2,</w:t>
      </w:r>
      <w:r w:rsidR="00410019">
        <w:rPr>
          <w:lang w:val="fr-FR"/>
        </w:rPr>
        <w:t xml:space="preserve"> </w:t>
      </w:r>
      <w:r w:rsidR="00410019" w:rsidRPr="00267741">
        <w:rPr>
          <w:lang w:val="fr-FR"/>
        </w:rPr>
        <w:t>3,</w:t>
      </w:r>
      <w:r w:rsidR="00410019">
        <w:rPr>
          <w:lang w:val="fr-FR"/>
        </w:rPr>
        <w:t xml:space="preserve"> </w:t>
      </w:r>
      <w:r w:rsidR="00410019" w:rsidRPr="00267741">
        <w:rPr>
          <w:lang w:val="fr-FR"/>
        </w:rPr>
        <w:t>4,</w:t>
      </w:r>
      <w:r w:rsidR="00410019">
        <w:rPr>
          <w:lang w:val="fr-FR"/>
        </w:rPr>
        <w:t xml:space="preserve"> </w:t>
      </w:r>
      <w:r w:rsidR="00410019" w:rsidRPr="00267741">
        <w:rPr>
          <w:lang w:val="fr-FR"/>
        </w:rPr>
        <w:t>5.1,</w:t>
      </w:r>
      <w:r w:rsidR="00410019">
        <w:rPr>
          <w:lang w:val="fr-FR"/>
        </w:rPr>
        <w:t xml:space="preserve"> </w:t>
      </w:r>
      <w:r w:rsidR="00410019" w:rsidRPr="00267741">
        <w:rPr>
          <w:lang w:val="fr-FR"/>
        </w:rPr>
        <w:t>5.2,</w:t>
      </w:r>
      <w:r w:rsidR="00410019">
        <w:rPr>
          <w:lang w:val="fr-FR"/>
        </w:rPr>
        <w:t xml:space="preserve"> </w:t>
      </w:r>
      <w:r w:rsidR="00410019" w:rsidRPr="00267741">
        <w:rPr>
          <w:lang w:val="fr-FR"/>
        </w:rPr>
        <w:t>6,</w:t>
      </w:r>
      <w:r w:rsidR="00410019">
        <w:rPr>
          <w:lang w:val="fr-FR"/>
        </w:rPr>
        <w:t xml:space="preserve"> </w:t>
      </w:r>
      <w:r w:rsidR="00410019" w:rsidRPr="00267741">
        <w:rPr>
          <w:lang w:val="fr-FR"/>
        </w:rPr>
        <w:t>7,</w:t>
      </w:r>
      <w:r w:rsidR="00410019">
        <w:rPr>
          <w:lang w:val="fr-FR"/>
        </w:rPr>
        <w:t xml:space="preserve"> </w:t>
      </w:r>
      <w:r w:rsidR="00410019" w:rsidRPr="00267741">
        <w:rPr>
          <w:lang w:val="fr-FR"/>
        </w:rPr>
        <w:t>8 ou 9, selon le cas. Toutefois, pour l</w:t>
      </w:r>
      <w:r w:rsidR="00410019">
        <w:rPr>
          <w:lang w:val="fr-FR"/>
        </w:rPr>
        <w:t>’</w:t>
      </w:r>
      <w:r w:rsidR="00410019" w:rsidRPr="00267741">
        <w:rPr>
          <w:lang w:val="fr-FR"/>
        </w:rPr>
        <w:t>étiquette du modèle N</w:t>
      </w:r>
      <w:r w:rsidR="00410019" w:rsidRPr="00695330">
        <w:rPr>
          <w:vertAlign w:val="superscript"/>
          <w:lang w:val="fr-FR"/>
        </w:rPr>
        <w:t>o</w:t>
      </w:r>
      <w:r>
        <w:rPr>
          <w:lang w:val="fr-FR"/>
        </w:rPr>
        <w:t> </w:t>
      </w:r>
      <w:r w:rsidR="00410019" w:rsidRPr="00267741">
        <w:rPr>
          <w:lang w:val="fr-FR"/>
        </w:rPr>
        <w:t>9A, la moitié supérieure de l</w:t>
      </w:r>
      <w:r w:rsidR="00410019">
        <w:rPr>
          <w:lang w:val="fr-FR"/>
        </w:rPr>
        <w:t>’</w:t>
      </w:r>
      <w:r w:rsidR="00410019" w:rsidRPr="00267741">
        <w:rPr>
          <w:lang w:val="fr-FR"/>
        </w:rPr>
        <w:t xml:space="preserve">étiquette ne doit contenir que les sept lignes verticales du signe conventionnel et la moitié inférieure doit contenir le groupe de piles du signe conventionnel et le numéro de la classe. </w:t>
      </w:r>
      <w:r w:rsidR="00410019" w:rsidRPr="00267741">
        <w:rPr>
          <w:u w:val="single"/>
          <w:lang w:val="fr-FR"/>
        </w:rPr>
        <w:t>Les étiquettes des divisions 2.1 et 2.3 doivent contenir le symbole de la bouteille à gaz dans leur moitié inférieure.</w:t>
      </w:r>
      <w:r w:rsidR="00410019" w:rsidRPr="00267741">
        <w:rPr>
          <w:lang w:val="fr-FR"/>
        </w:rPr>
        <w:t xml:space="preserve"> Sauf pour le modèle N</w:t>
      </w:r>
      <w:r w:rsidR="00410019" w:rsidRPr="00695330">
        <w:rPr>
          <w:vertAlign w:val="superscript"/>
          <w:lang w:val="fr-FR"/>
        </w:rPr>
        <w:t>o</w:t>
      </w:r>
      <w:r>
        <w:rPr>
          <w:lang w:val="fr-FR"/>
        </w:rPr>
        <w:t> </w:t>
      </w:r>
      <w:r w:rsidR="00410019" w:rsidRPr="00267741">
        <w:rPr>
          <w:lang w:val="fr-FR"/>
        </w:rPr>
        <w:t xml:space="preserve">9, les étiquettes peuvent contenir du texte comme le numéro ONU ou des mots décrivant la classe de danger (par exemple </w:t>
      </w:r>
      <w:r>
        <w:rPr>
          <w:lang w:val="fr-FR"/>
        </w:rPr>
        <w:t>“</w:t>
      </w:r>
      <w:r w:rsidR="00410019" w:rsidRPr="00267741">
        <w:rPr>
          <w:lang w:val="fr-FR"/>
        </w:rPr>
        <w:t>inflammable</w:t>
      </w:r>
      <w:r>
        <w:rPr>
          <w:lang w:val="fr-FR"/>
        </w:rPr>
        <w:t>”</w:t>
      </w:r>
      <w:r w:rsidR="00410019" w:rsidRPr="00267741">
        <w:rPr>
          <w:lang w:val="fr-FR"/>
        </w:rPr>
        <w:t>) conformément au 5.2.2.2.1.5 à condition que ce texte ne masque pas ou ne diminue pas l</w:t>
      </w:r>
      <w:r w:rsidR="00410019">
        <w:rPr>
          <w:lang w:val="fr-FR"/>
        </w:rPr>
        <w:t>’</w:t>
      </w:r>
      <w:r w:rsidR="00410019" w:rsidRPr="00267741">
        <w:rPr>
          <w:lang w:val="fr-FR"/>
        </w:rPr>
        <w:t>importance des autres informations devant figurer sur l</w:t>
      </w:r>
      <w:r w:rsidR="00410019">
        <w:rPr>
          <w:lang w:val="fr-FR"/>
        </w:rPr>
        <w:t>’</w:t>
      </w:r>
      <w:r w:rsidR="00410019" w:rsidRPr="00267741">
        <w:rPr>
          <w:lang w:val="fr-FR"/>
        </w:rPr>
        <w:t>étiquette.</w:t>
      </w:r>
      <w:r>
        <w:rPr>
          <w:lang w:val="fr-FR"/>
        </w:rPr>
        <w:t> ».</w:t>
      </w:r>
    </w:p>
    <w:p w14:paraId="00F8A076" w14:textId="77777777" w:rsidR="00410019" w:rsidRPr="00267741" w:rsidRDefault="00410019" w:rsidP="00695330">
      <w:pPr>
        <w:pStyle w:val="SingleTxtG"/>
      </w:pPr>
      <w:r w:rsidRPr="00267741">
        <w:rPr>
          <w:lang w:val="fr-FR"/>
        </w:rPr>
        <w:t>18.</w:t>
      </w:r>
      <w:r w:rsidRPr="00267741">
        <w:rPr>
          <w:lang w:val="fr-FR"/>
        </w:rPr>
        <w:tab/>
        <w:t>En outre</w:t>
      </w:r>
      <w:r>
        <w:rPr>
          <w:lang w:val="fr-FR"/>
        </w:rPr>
        <w:t xml:space="preserve">, </w:t>
      </w:r>
      <w:r w:rsidRPr="00267741">
        <w:rPr>
          <w:lang w:val="fr-FR"/>
        </w:rPr>
        <w:t>une période transitoire d</w:t>
      </w:r>
      <w:r>
        <w:rPr>
          <w:lang w:val="fr-FR"/>
        </w:rPr>
        <w:t>’</w:t>
      </w:r>
      <w:r w:rsidRPr="00267741">
        <w:rPr>
          <w:lang w:val="fr-FR"/>
        </w:rPr>
        <w:t xml:space="preserve">au moins </w:t>
      </w:r>
      <w:r w:rsidR="00695330">
        <w:rPr>
          <w:lang w:val="fr-FR"/>
        </w:rPr>
        <w:t>quatre</w:t>
      </w:r>
      <w:r w:rsidRPr="00267741">
        <w:rPr>
          <w:lang w:val="fr-FR"/>
        </w:rPr>
        <w:t xml:space="preserve"> ans, pendant laquelle les anciens modèles d</w:t>
      </w:r>
      <w:r>
        <w:rPr>
          <w:lang w:val="fr-FR"/>
        </w:rPr>
        <w:t>’</w:t>
      </w:r>
      <w:r w:rsidRPr="00267741">
        <w:rPr>
          <w:lang w:val="fr-FR"/>
        </w:rPr>
        <w:t>étiquette continueraient à être utilisés</w:t>
      </w:r>
      <w:r>
        <w:rPr>
          <w:lang w:val="fr-FR"/>
        </w:rPr>
        <w:t>, devrait être prévue</w:t>
      </w:r>
      <w:r w:rsidRPr="00267741">
        <w:rPr>
          <w:lang w:val="fr-FR"/>
        </w:rPr>
        <w:t xml:space="preserve">. </w:t>
      </w:r>
      <w:r>
        <w:rPr>
          <w:lang w:val="fr-FR"/>
        </w:rPr>
        <w:t>Il est proposé d’a</w:t>
      </w:r>
      <w:r w:rsidRPr="00267741">
        <w:rPr>
          <w:lang w:val="fr-FR"/>
        </w:rPr>
        <w:t>jouter une note au 5.2.2.2.2</w:t>
      </w:r>
      <w:r>
        <w:rPr>
          <w:lang w:val="fr-FR"/>
        </w:rPr>
        <w:t>, libellée comme suit </w:t>
      </w:r>
      <w:r w:rsidRPr="00267741">
        <w:rPr>
          <w:lang w:val="fr-FR"/>
        </w:rPr>
        <w:t>:</w:t>
      </w:r>
    </w:p>
    <w:p w14:paraId="5D3073E1" w14:textId="77777777" w:rsidR="00C43AEA" w:rsidRPr="00E149F1" w:rsidRDefault="00695330" w:rsidP="00695330">
      <w:pPr>
        <w:pStyle w:val="SingleTxtG"/>
        <w:ind w:left="1701"/>
        <w:rPr>
          <w:lang w:val="fr-FR"/>
        </w:rPr>
      </w:pPr>
      <w:r w:rsidRPr="00695330">
        <w:rPr>
          <w:u w:val="single"/>
          <w:lang w:val="fr-FR"/>
        </w:rPr>
        <w:t>« </w:t>
      </w:r>
      <w:r w:rsidR="00410019" w:rsidRPr="00E149F1">
        <w:rPr>
          <w:b/>
          <w:i/>
          <w:u w:val="single"/>
          <w:lang w:val="fr-FR"/>
        </w:rPr>
        <w:t>NOTA</w:t>
      </w:r>
      <w:r w:rsidRPr="00695330">
        <w:rPr>
          <w:i/>
          <w:u w:val="single"/>
          <w:lang w:val="fr-FR"/>
        </w:rPr>
        <w:t> </w:t>
      </w:r>
      <w:r w:rsidR="00410019" w:rsidRPr="00695330">
        <w:rPr>
          <w:i/>
          <w:u w:val="single"/>
          <w:lang w:val="fr-FR"/>
        </w:rPr>
        <w:t>: Les dispositions du 5.2.2.2.2 de la vingt et unième édition révisée des Recommandations relatives au transport des marchandises dangereuses, Règlement type, resteront applicables jusqu’au 31</w:t>
      </w:r>
      <w:r w:rsidRPr="00695330">
        <w:rPr>
          <w:i/>
          <w:u w:val="single"/>
          <w:lang w:val="fr-FR"/>
        </w:rPr>
        <w:t> </w:t>
      </w:r>
      <w:r w:rsidR="00410019" w:rsidRPr="00695330">
        <w:rPr>
          <w:i/>
          <w:u w:val="single"/>
          <w:lang w:val="fr-FR"/>
        </w:rPr>
        <w:t>décembre 2025</w:t>
      </w:r>
      <w:r w:rsidR="00410019" w:rsidRPr="00695330">
        <w:rPr>
          <w:u w:val="single"/>
          <w:lang w:val="fr-FR"/>
        </w:rPr>
        <w:t>.</w:t>
      </w:r>
      <w:r w:rsidRPr="00695330">
        <w:rPr>
          <w:u w:val="single"/>
          <w:lang w:val="fr-FR"/>
        </w:rPr>
        <w:t> »</w:t>
      </w:r>
      <w:r w:rsidR="00E149F1">
        <w:rPr>
          <w:lang w:val="fr-FR"/>
        </w:rPr>
        <w:t>.</w:t>
      </w:r>
    </w:p>
    <w:p w14:paraId="26DA749A" w14:textId="77777777" w:rsidR="00695330" w:rsidRPr="00695330" w:rsidRDefault="00695330" w:rsidP="00695330">
      <w:pPr>
        <w:pStyle w:val="SingleTxtG"/>
        <w:spacing w:before="240" w:after="0"/>
        <w:jc w:val="center"/>
        <w:rPr>
          <w:u w:val="single"/>
        </w:rPr>
      </w:pPr>
      <w:r>
        <w:rPr>
          <w:u w:val="single"/>
        </w:rPr>
        <w:tab/>
      </w:r>
      <w:r>
        <w:rPr>
          <w:u w:val="single"/>
        </w:rPr>
        <w:tab/>
      </w:r>
      <w:r>
        <w:rPr>
          <w:u w:val="single"/>
        </w:rPr>
        <w:tab/>
      </w:r>
    </w:p>
    <w:sectPr w:rsidR="00695330" w:rsidRPr="00695330" w:rsidSect="001C2A69">
      <w:headerReference w:type="even" r:id="rId25"/>
      <w:headerReference w:type="default" r:id="rId26"/>
      <w:footerReference w:type="even" r:id="rId27"/>
      <w:footerReference w:type="default" r:id="rId28"/>
      <w:footerReference w:type="first" r:id="rId2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951BD" w14:textId="77777777" w:rsidR="00977FB8" w:rsidRDefault="00977FB8" w:rsidP="00F95C08">
      <w:pPr>
        <w:spacing w:line="240" w:lineRule="auto"/>
      </w:pPr>
    </w:p>
  </w:endnote>
  <w:endnote w:type="continuationSeparator" w:id="0">
    <w:p w14:paraId="16833F30" w14:textId="77777777" w:rsidR="00977FB8" w:rsidRPr="00AC3823" w:rsidRDefault="00977FB8" w:rsidP="00AC3823">
      <w:pPr>
        <w:pStyle w:val="Footer"/>
      </w:pPr>
    </w:p>
  </w:endnote>
  <w:endnote w:type="continuationNotice" w:id="1">
    <w:p w14:paraId="7CFE7D91" w14:textId="77777777" w:rsidR="00977FB8" w:rsidRDefault="00977F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C83D" w14:textId="77777777" w:rsidR="001C2A69" w:rsidRPr="001C2A69" w:rsidRDefault="001C2A69" w:rsidP="001C2A69">
    <w:pPr>
      <w:pStyle w:val="Footer"/>
      <w:tabs>
        <w:tab w:val="right" w:pos="9638"/>
      </w:tabs>
    </w:pPr>
    <w:r w:rsidRPr="001C2A69">
      <w:rPr>
        <w:b/>
        <w:sz w:val="18"/>
      </w:rPr>
      <w:fldChar w:fldCharType="begin"/>
    </w:r>
    <w:r w:rsidRPr="001C2A69">
      <w:rPr>
        <w:b/>
        <w:sz w:val="18"/>
      </w:rPr>
      <w:instrText xml:space="preserve"> PAGE  \* MERGEFORMAT </w:instrText>
    </w:r>
    <w:r w:rsidRPr="001C2A69">
      <w:rPr>
        <w:b/>
        <w:sz w:val="18"/>
      </w:rPr>
      <w:fldChar w:fldCharType="separate"/>
    </w:r>
    <w:r w:rsidRPr="001C2A69">
      <w:rPr>
        <w:b/>
        <w:noProof/>
        <w:sz w:val="18"/>
      </w:rPr>
      <w:t>2</w:t>
    </w:r>
    <w:r w:rsidRPr="001C2A69">
      <w:rPr>
        <w:b/>
        <w:sz w:val="18"/>
      </w:rPr>
      <w:fldChar w:fldCharType="end"/>
    </w:r>
    <w:r>
      <w:rPr>
        <w:b/>
        <w:sz w:val="18"/>
      </w:rPr>
      <w:tab/>
    </w:r>
    <w:r>
      <w:t>GE.19-05744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1325" w14:textId="77777777" w:rsidR="001C2A69" w:rsidRPr="001C2A69" w:rsidRDefault="001C2A69" w:rsidP="001C2A69">
    <w:pPr>
      <w:pStyle w:val="Footer"/>
      <w:tabs>
        <w:tab w:val="right" w:pos="9638"/>
      </w:tabs>
      <w:rPr>
        <w:b/>
        <w:sz w:val="18"/>
      </w:rPr>
    </w:pPr>
    <w:r>
      <w:t>GE.19-05744</w:t>
    </w:r>
    <w:r>
      <w:tab/>
    </w:r>
    <w:r w:rsidRPr="001C2A69">
      <w:rPr>
        <w:b/>
        <w:sz w:val="18"/>
      </w:rPr>
      <w:fldChar w:fldCharType="begin"/>
    </w:r>
    <w:r w:rsidRPr="001C2A69">
      <w:rPr>
        <w:b/>
        <w:sz w:val="18"/>
      </w:rPr>
      <w:instrText xml:space="preserve"> PAGE  \* MERGEFORMAT </w:instrText>
    </w:r>
    <w:r w:rsidRPr="001C2A69">
      <w:rPr>
        <w:b/>
        <w:sz w:val="18"/>
      </w:rPr>
      <w:fldChar w:fldCharType="separate"/>
    </w:r>
    <w:r w:rsidRPr="001C2A69">
      <w:rPr>
        <w:b/>
        <w:noProof/>
        <w:sz w:val="18"/>
      </w:rPr>
      <w:t>3</w:t>
    </w:r>
    <w:r w:rsidRPr="001C2A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C8E6" w14:textId="77777777" w:rsidR="0068456F" w:rsidRPr="001C2A69" w:rsidRDefault="001C2A69" w:rsidP="001C2A69">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03A54B3" wp14:editId="08D0542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05744  (</w:t>
    </w:r>
    <w:proofErr w:type="gramEnd"/>
    <w:r>
      <w:rPr>
        <w:sz w:val="20"/>
      </w:rPr>
      <w:t>F)    070519    090519</w:t>
    </w:r>
    <w:r>
      <w:rPr>
        <w:sz w:val="20"/>
      </w:rPr>
      <w:br/>
    </w:r>
    <w:r w:rsidRPr="001C2A69">
      <w:rPr>
        <w:rFonts w:ascii="C39T30Lfz" w:hAnsi="C39T30Lfz"/>
        <w:sz w:val="56"/>
      </w:rPr>
      <w:t></w:t>
    </w:r>
    <w:r w:rsidRPr="001C2A69">
      <w:rPr>
        <w:rFonts w:ascii="C39T30Lfz" w:hAnsi="C39T30Lfz"/>
        <w:sz w:val="56"/>
      </w:rPr>
      <w:t></w:t>
    </w:r>
    <w:r w:rsidRPr="001C2A69">
      <w:rPr>
        <w:rFonts w:ascii="C39T30Lfz" w:hAnsi="C39T30Lfz"/>
        <w:sz w:val="56"/>
      </w:rPr>
      <w:t></w:t>
    </w:r>
    <w:r w:rsidRPr="001C2A69">
      <w:rPr>
        <w:rFonts w:ascii="C39T30Lfz" w:hAnsi="C39T30Lfz"/>
        <w:sz w:val="56"/>
      </w:rPr>
      <w:t></w:t>
    </w:r>
    <w:r w:rsidRPr="001C2A69">
      <w:rPr>
        <w:rFonts w:ascii="C39T30Lfz" w:hAnsi="C39T30Lfz"/>
        <w:sz w:val="56"/>
      </w:rPr>
      <w:t></w:t>
    </w:r>
    <w:r w:rsidRPr="001C2A69">
      <w:rPr>
        <w:rFonts w:ascii="C39T30Lfz" w:hAnsi="C39T30Lfz"/>
        <w:sz w:val="56"/>
      </w:rPr>
      <w:t></w:t>
    </w:r>
    <w:r w:rsidRPr="001C2A69">
      <w:rPr>
        <w:rFonts w:ascii="C39T30Lfz" w:hAnsi="C39T30Lfz"/>
        <w:sz w:val="56"/>
      </w:rPr>
      <w:t></w:t>
    </w:r>
    <w:r w:rsidRPr="001C2A69">
      <w:rPr>
        <w:rFonts w:ascii="C39T30Lfz" w:hAnsi="C39T30Lfz"/>
        <w:sz w:val="56"/>
      </w:rPr>
      <w:t></w:t>
    </w:r>
    <w:r w:rsidRPr="001C2A69">
      <w:rPr>
        <w:rFonts w:ascii="C39T30Lfz" w:hAnsi="C39T30Lfz"/>
        <w:sz w:val="56"/>
      </w:rPr>
      <w:t></w:t>
    </w:r>
    <w:r>
      <w:rPr>
        <w:noProof/>
        <w:sz w:val="20"/>
      </w:rPr>
      <w:drawing>
        <wp:anchor distT="0" distB="0" distL="114300" distR="114300" simplePos="0" relativeHeight="251658240" behindDoc="0" locked="0" layoutInCell="1" allowOverlap="1" wp14:anchorId="3B39698F" wp14:editId="2493636D">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18127" w14:textId="77777777" w:rsidR="00977FB8" w:rsidRPr="00AC3823" w:rsidRDefault="00977FB8" w:rsidP="00AC3823">
      <w:pPr>
        <w:pStyle w:val="Footer"/>
        <w:tabs>
          <w:tab w:val="right" w:pos="2155"/>
        </w:tabs>
        <w:spacing w:after="80" w:line="240" w:lineRule="atLeast"/>
        <w:ind w:left="680"/>
        <w:rPr>
          <w:u w:val="single"/>
        </w:rPr>
      </w:pPr>
      <w:r>
        <w:rPr>
          <w:u w:val="single"/>
        </w:rPr>
        <w:tab/>
      </w:r>
    </w:p>
  </w:footnote>
  <w:footnote w:type="continuationSeparator" w:id="0">
    <w:p w14:paraId="03CD8BB6" w14:textId="77777777" w:rsidR="00977FB8" w:rsidRPr="00AC3823" w:rsidRDefault="00977FB8" w:rsidP="00AC3823">
      <w:pPr>
        <w:pStyle w:val="Footer"/>
        <w:tabs>
          <w:tab w:val="right" w:pos="2155"/>
        </w:tabs>
        <w:spacing w:after="80" w:line="240" w:lineRule="atLeast"/>
        <w:ind w:left="680"/>
        <w:rPr>
          <w:u w:val="single"/>
        </w:rPr>
      </w:pPr>
      <w:r>
        <w:rPr>
          <w:u w:val="single"/>
        </w:rPr>
        <w:tab/>
      </w:r>
    </w:p>
  </w:footnote>
  <w:footnote w:type="continuationNotice" w:id="1">
    <w:p w14:paraId="5A215F8F" w14:textId="77777777" w:rsidR="00977FB8" w:rsidRPr="00AC3823" w:rsidRDefault="00977FB8">
      <w:pPr>
        <w:spacing w:line="240" w:lineRule="auto"/>
        <w:rPr>
          <w:sz w:val="2"/>
          <w:szCs w:val="2"/>
        </w:rPr>
      </w:pPr>
    </w:p>
  </w:footnote>
  <w:footnote w:id="2">
    <w:p w14:paraId="455A0338" w14:textId="77777777" w:rsidR="00C458B0" w:rsidRPr="00C458B0" w:rsidRDefault="00C458B0">
      <w:pPr>
        <w:pStyle w:val="FootnoteText"/>
      </w:pPr>
      <w:r>
        <w:rPr>
          <w:rStyle w:val="FootnoteReference"/>
        </w:rPr>
        <w:tab/>
      </w:r>
      <w:r w:rsidRPr="00C458B0">
        <w:rPr>
          <w:rStyle w:val="FootnoteReference"/>
          <w:sz w:val="20"/>
          <w:vertAlign w:val="baseline"/>
        </w:rPr>
        <w:t>*</w:t>
      </w:r>
      <w:r>
        <w:rPr>
          <w:rStyle w:val="FootnoteReference"/>
          <w:sz w:val="20"/>
          <w:vertAlign w:val="baseline"/>
        </w:rPr>
        <w:tab/>
      </w:r>
      <w:r>
        <w:rPr>
          <w:lang w:val="fr-FR"/>
        </w:rPr>
        <w:t>Conformément au programme de travail du Sous-Comité des transports intérieurs pour la période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7EAC" w14:textId="6438412D" w:rsidR="001C2A69" w:rsidRPr="001C2A69" w:rsidRDefault="00863C26">
    <w:pPr>
      <w:pStyle w:val="Header"/>
    </w:pPr>
    <w:fldSimple w:instr=" TITLE  \* MERGEFORMAT ">
      <w:r w:rsidR="0082787C">
        <w:t>ST/SG/AC.10/C.3/2019/19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F83B9" w14:textId="14E99613" w:rsidR="001C2A69" w:rsidRPr="001C2A69" w:rsidRDefault="00863C26" w:rsidP="001C2A69">
    <w:pPr>
      <w:pStyle w:val="Header"/>
      <w:jc w:val="right"/>
    </w:pPr>
    <w:fldSimple w:instr=" TITLE  \* MERGEFORMAT ">
      <w:r w:rsidR="0082787C">
        <w:t>ST/SG/AC.10/C.3/2019/19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B8"/>
    <w:rsid w:val="00017F94"/>
    <w:rsid w:val="00023842"/>
    <w:rsid w:val="000305D3"/>
    <w:rsid w:val="000334F9"/>
    <w:rsid w:val="0007796D"/>
    <w:rsid w:val="00097007"/>
    <w:rsid w:val="000B7790"/>
    <w:rsid w:val="00111F2F"/>
    <w:rsid w:val="00132EA9"/>
    <w:rsid w:val="0014365E"/>
    <w:rsid w:val="00176178"/>
    <w:rsid w:val="001C2A69"/>
    <w:rsid w:val="001F525A"/>
    <w:rsid w:val="00223272"/>
    <w:rsid w:val="0024779E"/>
    <w:rsid w:val="00274D32"/>
    <w:rsid w:val="00283190"/>
    <w:rsid w:val="002832AC"/>
    <w:rsid w:val="002D7C93"/>
    <w:rsid w:val="003456D4"/>
    <w:rsid w:val="00385070"/>
    <w:rsid w:val="00410019"/>
    <w:rsid w:val="00431113"/>
    <w:rsid w:val="00441C3B"/>
    <w:rsid w:val="004427F3"/>
    <w:rsid w:val="00446FE5"/>
    <w:rsid w:val="00452396"/>
    <w:rsid w:val="0047186D"/>
    <w:rsid w:val="004E468C"/>
    <w:rsid w:val="005033B3"/>
    <w:rsid w:val="005505B7"/>
    <w:rsid w:val="00573BE5"/>
    <w:rsid w:val="00584DC4"/>
    <w:rsid w:val="00586ED3"/>
    <w:rsid w:val="00596AA9"/>
    <w:rsid w:val="005C0423"/>
    <w:rsid w:val="0063255B"/>
    <w:rsid w:val="0068456F"/>
    <w:rsid w:val="00695330"/>
    <w:rsid w:val="0071601D"/>
    <w:rsid w:val="007A62E6"/>
    <w:rsid w:val="007F376A"/>
    <w:rsid w:val="0080684C"/>
    <w:rsid w:val="0082787C"/>
    <w:rsid w:val="00855A0D"/>
    <w:rsid w:val="00863C26"/>
    <w:rsid w:val="00871C75"/>
    <w:rsid w:val="008776DC"/>
    <w:rsid w:val="008B40CD"/>
    <w:rsid w:val="009208AB"/>
    <w:rsid w:val="009705C8"/>
    <w:rsid w:val="00977FB8"/>
    <w:rsid w:val="009C1CF4"/>
    <w:rsid w:val="00A30353"/>
    <w:rsid w:val="00A853E4"/>
    <w:rsid w:val="00AC3823"/>
    <w:rsid w:val="00AE323C"/>
    <w:rsid w:val="00B00181"/>
    <w:rsid w:val="00B00B0D"/>
    <w:rsid w:val="00B765F7"/>
    <w:rsid w:val="00BA0CA9"/>
    <w:rsid w:val="00BB4323"/>
    <w:rsid w:val="00C02897"/>
    <w:rsid w:val="00C43AEA"/>
    <w:rsid w:val="00C458B0"/>
    <w:rsid w:val="00CB717F"/>
    <w:rsid w:val="00D3439C"/>
    <w:rsid w:val="00D5453B"/>
    <w:rsid w:val="00DB1831"/>
    <w:rsid w:val="00DD3BFD"/>
    <w:rsid w:val="00DF6678"/>
    <w:rsid w:val="00E109DD"/>
    <w:rsid w:val="00E149F1"/>
    <w:rsid w:val="00E15A6D"/>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8B7157"/>
  <w15:docId w15:val="{D30A4B64-8D29-4E20-80C9-99C07E22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C43AEA"/>
    <w:rPr>
      <w:rFonts w:ascii="Times New Roman" w:eastAsiaTheme="minorHAnsi" w:hAnsi="Times New Roman" w:cs="Times New Roman"/>
      <w:sz w:val="20"/>
      <w:szCs w:val="20"/>
      <w:lang w:eastAsia="en-US"/>
    </w:rPr>
  </w:style>
  <w:style w:type="table" w:customStyle="1" w:styleId="TableNormal1">
    <w:name w:val="Table Normal1"/>
    <w:uiPriority w:val="2"/>
    <w:semiHidden/>
    <w:unhideWhenUsed/>
    <w:qFormat/>
    <w:rsid w:val="0041001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9.gif"/><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78CF-69B7-4E71-BAC8-0A59D816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1303</Words>
  <Characters>7432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ST/SG/AC.10/C.3/2019/19</vt:lpstr>
      <vt:lpstr>ST/SG/AC.10/C.3/2019/19</vt:lpstr>
    </vt:vector>
  </TitlesOfParts>
  <Company>DCM</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ST/SG/AC.10/C.3/2019/19</dc:title>
  <dc:subject/>
  <dc:creator>xx</dc:creator>
  <cp:keywords/>
  <cp:lastModifiedBy>Laurence Berthet</cp:lastModifiedBy>
  <cp:revision>3</cp:revision>
  <cp:lastPrinted>2019-05-09T08:38:00Z</cp:lastPrinted>
  <dcterms:created xsi:type="dcterms:W3CDTF">2019-05-09T08:38:00Z</dcterms:created>
  <dcterms:modified xsi:type="dcterms:W3CDTF">2019-05-09T08:41:00Z</dcterms:modified>
</cp:coreProperties>
</file>