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4260AE" w:rsidRPr="006500BA" w14:paraId="3B73B713" w14:textId="77777777" w:rsidTr="00D67D06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0FA12D" w14:textId="77777777" w:rsidR="004260AE" w:rsidRPr="006500BA" w:rsidRDefault="004260AE" w:rsidP="004260AE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A6FA36" w14:textId="77777777" w:rsidR="004260AE" w:rsidRPr="006D12B1" w:rsidRDefault="004260AE" w:rsidP="004260AE">
            <w:pPr>
              <w:spacing w:after="80" w:line="340" w:lineRule="exact"/>
              <w:rPr>
                <w:sz w:val="28"/>
                <w:szCs w:val="28"/>
              </w:rPr>
            </w:pPr>
            <w:r w:rsidRPr="006D12B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D9D2AB" w14:textId="56F4EC5A" w:rsidR="004260AE" w:rsidRPr="00862B52" w:rsidRDefault="004260AE" w:rsidP="006F750F">
            <w:pPr>
              <w:jc w:val="right"/>
            </w:pPr>
            <w:r w:rsidRPr="00862B52">
              <w:rPr>
                <w:sz w:val="40"/>
              </w:rPr>
              <w:t>ST</w:t>
            </w:r>
            <w:r w:rsidR="005B5E31">
              <w:t>/SG/AC.10/C.3/2019</w:t>
            </w:r>
            <w:r w:rsidRPr="00862B52">
              <w:t>/</w:t>
            </w:r>
            <w:r w:rsidR="000475ED">
              <w:t>1</w:t>
            </w:r>
            <w:r w:rsidR="00A20A7B">
              <w:t>6</w:t>
            </w:r>
          </w:p>
        </w:tc>
      </w:tr>
      <w:tr w:rsidR="004260AE" w:rsidRPr="006500BA" w14:paraId="665FFBE2" w14:textId="77777777" w:rsidTr="00D67D06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1431C48" w14:textId="77777777" w:rsidR="004260AE" w:rsidRPr="006500BA" w:rsidRDefault="004260AE" w:rsidP="004260AE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571E02F" wp14:editId="0CB258FF">
                  <wp:extent cx="704850" cy="59055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6A0E1D3" w14:textId="77777777" w:rsidR="004260AE" w:rsidRPr="006D12B1" w:rsidRDefault="004260AE" w:rsidP="004260AE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5045C87" w14:textId="77777777" w:rsidR="004260AE" w:rsidRPr="00862B52" w:rsidRDefault="004260AE" w:rsidP="004260AE">
            <w:pPr>
              <w:spacing w:before="240" w:line="240" w:lineRule="exact"/>
            </w:pPr>
            <w:r w:rsidRPr="00862B52">
              <w:t>Distr.: General</w:t>
            </w:r>
          </w:p>
          <w:p w14:paraId="535E9111" w14:textId="0E5196C2" w:rsidR="004260AE" w:rsidRPr="00862B52" w:rsidRDefault="00D2408F" w:rsidP="004260AE">
            <w:pPr>
              <w:spacing w:line="240" w:lineRule="exact"/>
            </w:pPr>
            <w:r>
              <w:t>5</w:t>
            </w:r>
            <w:r w:rsidR="000475ED">
              <w:t xml:space="preserve"> April</w:t>
            </w:r>
            <w:r w:rsidR="00831BD4">
              <w:t xml:space="preserve"> </w:t>
            </w:r>
            <w:r w:rsidR="004260AE" w:rsidRPr="00862B52">
              <w:t>201</w:t>
            </w:r>
            <w:r w:rsidR="005B5E31">
              <w:t>9</w:t>
            </w:r>
          </w:p>
          <w:p w14:paraId="6DF013D6" w14:textId="77777777" w:rsidR="004260AE" w:rsidRPr="00862B52" w:rsidRDefault="004260AE" w:rsidP="004260AE">
            <w:pPr>
              <w:spacing w:line="240" w:lineRule="exact"/>
            </w:pPr>
          </w:p>
          <w:p w14:paraId="2E35F0B4" w14:textId="77777777" w:rsidR="004260AE" w:rsidRPr="00862B52" w:rsidRDefault="004260AE" w:rsidP="004260AE">
            <w:pPr>
              <w:spacing w:line="240" w:lineRule="exact"/>
            </w:pPr>
            <w:r w:rsidRPr="00862B52">
              <w:t>Original: English</w:t>
            </w:r>
          </w:p>
        </w:tc>
      </w:tr>
    </w:tbl>
    <w:p w14:paraId="0B4F0CC8" w14:textId="77777777" w:rsidR="004260AE" w:rsidRDefault="004260AE" w:rsidP="004260AE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260AE" w14:paraId="02FDAFE3" w14:textId="77777777" w:rsidTr="00D67D06">
        <w:tc>
          <w:tcPr>
            <w:tcW w:w="9639" w:type="dxa"/>
            <w:shd w:val="clear" w:color="auto" w:fill="auto"/>
          </w:tcPr>
          <w:p w14:paraId="72AA1BE9" w14:textId="77777777" w:rsidR="004260AE" w:rsidRPr="00527B6F" w:rsidRDefault="004260AE" w:rsidP="004260AE">
            <w:pPr>
              <w:spacing w:before="120" w:after="120"/>
              <w:ind w:right="57"/>
              <w:rPr>
                <w:b/>
              </w:rPr>
            </w:pPr>
            <w:r w:rsidRPr="00527B6F">
              <w:rPr>
                <w:b/>
              </w:rPr>
              <w:t xml:space="preserve">Sub-Committee of Experts on the Transport of Dangerous Goods </w:t>
            </w:r>
          </w:p>
        </w:tc>
      </w:tr>
      <w:tr w:rsidR="004260AE" w:rsidRPr="00876878" w14:paraId="1C98698A" w14:textId="77777777" w:rsidTr="00D67D06">
        <w:tc>
          <w:tcPr>
            <w:tcW w:w="9639" w:type="dxa"/>
            <w:shd w:val="clear" w:color="auto" w:fill="auto"/>
          </w:tcPr>
          <w:p w14:paraId="59513CDA" w14:textId="19C21E41" w:rsidR="004260AE" w:rsidRPr="00527B6F" w:rsidRDefault="00DC0474" w:rsidP="004260AE">
            <w:pPr>
              <w:ind w:right="57"/>
              <w:rPr>
                <w:b/>
              </w:rPr>
            </w:pPr>
            <w:r w:rsidRPr="00527B6F">
              <w:rPr>
                <w:b/>
              </w:rPr>
              <w:t>Fifty-fifth</w:t>
            </w:r>
            <w:r w:rsidR="004260AE" w:rsidRPr="00527B6F">
              <w:rPr>
                <w:b/>
              </w:rPr>
              <w:t xml:space="preserve"> session</w:t>
            </w:r>
          </w:p>
        </w:tc>
      </w:tr>
      <w:tr w:rsidR="004260AE" w:rsidRPr="00CE57DA" w14:paraId="2AE05DF5" w14:textId="77777777" w:rsidTr="00D67D06">
        <w:tc>
          <w:tcPr>
            <w:tcW w:w="9639" w:type="dxa"/>
            <w:shd w:val="clear" w:color="auto" w:fill="auto"/>
          </w:tcPr>
          <w:p w14:paraId="1E15A4A8" w14:textId="5CDE0B54" w:rsidR="004260AE" w:rsidRPr="00527B6F" w:rsidRDefault="004260AE" w:rsidP="004260AE">
            <w:pPr>
              <w:ind w:right="57"/>
            </w:pPr>
            <w:r w:rsidRPr="00527B6F">
              <w:t xml:space="preserve">Geneva, </w:t>
            </w:r>
            <w:r w:rsidR="00DC0474" w:rsidRPr="00527B6F">
              <w:t>1</w:t>
            </w:r>
            <w:r w:rsidR="000475ED">
              <w:t>-</w:t>
            </w:r>
            <w:r w:rsidR="00DC0474" w:rsidRPr="00527B6F">
              <w:t>5</w:t>
            </w:r>
            <w:r w:rsidR="00831BD4" w:rsidRPr="00527B6F">
              <w:t xml:space="preserve"> </w:t>
            </w:r>
            <w:r w:rsidR="00DC0474" w:rsidRPr="00527B6F">
              <w:t>July 2019</w:t>
            </w:r>
          </w:p>
          <w:p w14:paraId="3F5A8C7C" w14:textId="07D12255" w:rsidR="004260AE" w:rsidRPr="00527B6F" w:rsidRDefault="004260AE" w:rsidP="004260AE">
            <w:pPr>
              <w:ind w:right="57"/>
            </w:pPr>
            <w:r w:rsidRPr="00527B6F">
              <w:t xml:space="preserve">Item </w:t>
            </w:r>
            <w:r w:rsidR="00D2408F">
              <w:t>6 (e)</w:t>
            </w:r>
            <w:r w:rsidRPr="00527B6F">
              <w:t xml:space="preserve"> of the provisional agenda</w:t>
            </w:r>
          </w:p>
          <w:p w14:paraId="0FCC4784" w14:textId="416DE43A" w:rsidR="004260AE" w:rsidRPr="00D2408F" w:rsidRDefault="00D2408F" w:rsidP="004260AE">
            <w:pPr>
              <w:spacing w:after="120"/>
              <w:ind w:right="199"/>
              <w:rPr>
                <w:b/>
                <w:bCs/>
              </w:rPr>
            </w:pPr>
            <w:r w:rsidRPr="00D2408F">
              <w:rPr>
                <w:b/>
                <w:bCs/>
              </w:rPr>
              <w:t xml:space="preserve">Miscellaneous proposals for amendments to the Model Regulations </w:t>
            </w:r>
            <w:r w:rsidRPr="00D2408F">
              <w:rPr>
                <w:b/>
                <w:bCs/>
              </w:rPr>
              <w:br/>
              <w:t>on the Transport of Dangerous Goods: other miscellaneous proposals</w:t>
            </w:r>
          </w:p>
        </w:tc>
      </w:tr>
    </w:tbl>
    <w:p w14:paraId="6E47753D" w14:textId="121CD39C" w:rsidR="00A20A7B" w:rsidRPr="0009295A" w:rsidRDefault="0079173A" w:rsidP="0079173A">
      <w:pPr>
        <w:pStyle w:val="HChG"/>
      </w:pPr>
      <w:r>
        <w:rPr>
          <w:lang w:val="en"/>
        </w:rPr>
        <w:tab/>
      </w:r>
      <w:r>
        <w:rPr>
          <w:lang w:val="en"/>
        </w:rPr>
        <w:tab/>
      </w:r>
      <w:r w:rsidR="00A20A7B">
        <w:rPr>
          <w:lang w:val="en"/>
        </w:rPr>
        <w:t>Modification to</w:t>
      </w:r>
      <w:r w:rsidR="00A20A7B" w:rsidRPr="0009295A">
        <w:rPr>
          <w:lang w:val="en"/>
        </w:rPr>
        <w:t xml:space="preserve"> </w:t>
      </w:r>
      <w:r w:rsidR="00A20A7B" w:rsidRPr="0009295A">
        <w:t xml:space="preserve">the definition of a </w:t>
      </w:r>
      <w:r w:rsidR="00D2408F">
        <w:t>l</w:t>
      </w:r>
      <w:r w:rsidR="00A20A7B" w:rsidRPr="0009295A">
        <w:t xml:space="preserve">arge </w:t>
      </w:r>
      <w:r w:rsidR="00D2408F">
        <w:t>p</w:t>
      </w:r>
      <w:r w:rsidR="00A20A7B" w:rsidRPr="0009295A">
        <w:t>ackaging</w:t>
      </w:r>
    </w:p>
    <w:p w14:paraId="4669A643" w14:textId="43BDDE03" w:rsidR="00A20A7B" w:rsidRPr="0009295A" w:rsidRDefault="00A20A7B" w:rsidP="00A20A7B">
      <w:pPr>
        <w:pStyle w:val="H1G"/>
        <w:rPr>
          <w:sz w:val="22"/>
          <w:szCs w:val="22"/>
        </w:rPr>
      </w:pPr>
      <w:r w:rsidRPr="0009295A">
        <w:rPr>
          <w:sz w:val="22"/>
          <w:szCs w:val="22"/>
        </w:rPr>
        <w:tab/>
      </w:r>
      <w:r w:rsidRPr="0009295A">
        <w:rPr>
          <w:sz w:val="22"/>
          <w:szCs w:val="22"/>
        </w:rPr>
        <w:tab/>
        <w:t>Transmitted by the expert from Canada</w:t>
      </w:r>
      <w:r w:rsidR="00C1521E">
        <w:rPr>
          <w:rStyle w:val="FootnoteReference"/>
          <w:szCs w:val="22"/>
        </w:rPr>
        <w:footnoteReference w:customMarkFollows="1" w:id="2"/>
        <w:t>*</w:t>
      </w:r>
    </w:p>
    <w:p w14:paraId="7A8FE273" w14:textId="419CE4F9" w:rsidR="00A20A7B" w:rsidRPr="0009295A" w:rsidRDefault="00A20A7B" w:rsidP="00A20A7B">
      <w:pPr>
        <w:pStyle w:val="HChG"/>
        <w:rPr>
          <w:lang w:val="en-US"/>
        </w:rPr>
      </w:pPr>
      <w:r>
        <w:tab/>
      </w:r>
      <w:r>
        <w:tab/>
      </w:r>
      <w:r w:rsidRPr="0009295A">
        <w:t xml:space="preserve">Introduction </w:t>
      </w:r>
    </w:p>
    <w:p w14:paraId="03132355" w14:textId="21354C31" w:rsidR="00A20A7B" w:rsidRPr="0009295A" w:rsidRDefault="00A20A7B" w:rsidP="00A20A7B">
      <w:pPr>
        <w:pStyle w:val="SingleTxtG"/>
        <w:numPr>
          <w:ilvl w:val="0"/>
          <w:numId w:val="19"/>
        </w:numPr>
        <w:ind w:left="1134" w:firstLine="0"/>
      </w:pPr>
      <w:r w:rsidRPr="0009295A">
        <w:t xml:space="preserve">This </w:t>
      </w:r>
      <w:r w:rsidR="00D2408F">
        <w:t>document</w:t>
      </w:r>
      <w:r w:rsidRPr="0009295A">
        <w:t xml:space="preserve"> proposes a modification to the definition of a “large packaging” set out in Chapter 1.2 of the Model Regulations. </w:t>
      </w:r>
    </w:p>
    <w:p w14:paraId="63794CD9" w14:textId="7BF5686F" w:rsidR="00A20A7B" w:rsidRPr="00A20A7B" w:rsidRDefault="00A20A7B" w:rsidP="00A20A7B">
      <w:pPr>
        <w:pStyle w:val="H23G"/>
        <w:rPr>
          <w:i/>
          <w:iCs/>
        </w:rPr>
      </w:pPr>
      <w:r w:rsidRPr="00A20A7B">
        <w:rPr>
          <w:i/>
          <w:iCs/>
        </w:rPr>
        <w:tab/>
      </w:r>
      <w:r w:rsidRPr="00A20A7B">
        <w:rPr>
          <w:i/>
          <w:iCs/>
        </w:rPr>
        <w:tab/>
        <w:t>Defining large packaging</w:t>
      </w:r>
    </w:p>
    <w:p w14:paraId="17214E48" w14:textId="2FF3057A" w:rsidR="00A20A7B" w:rsidRPr="0009295A" w:rsidRDefault="00A20A7B" w:rsidP="00A20A7B">
      <w:pPr>
        <w:pStyle w:val="SingleTxtG"/>
        <w:numPr>
          <w:ilvl w:val="0"/>
          <w:numId w:val="19"/>
        </w:numPr>
        <w:ind w:left="1134" w:firstLine="0"/>
      </w:pPr>
      <w:r w:rsidRPr="0009295A">
        <w:rPr>
          <w:lang w:eastAsia="en-CA"/>
        </w:rPr>
        <w:t>The definition of a “large packaging” in Chapter 1.2 of the Model Regulations includes the minimum mass and capacity limits that a large packaging must exceed to be qualified as a large packaging. However, t</w:t>
      </w:r>
      <w:r w:rsidRPr="0009295A">
        <w:t xml:space="preserve">he minimum threshold is not a binary one, a large packaging is defined either by the exceedance of 400kg net mass or by the exceedance of 450L capacity. </w:t>
      </w:r>
      <w:r w:rsidRPr="0009295A">
        <w:rPr>
          <w:lang w:eastAsia="en-CA"/>
        </w:rPr>
        <w:t xml:space="preserve">The definition of a large packaging </w:t>
      </w:r>
      <w:r w:rsidR="00D2408F">
        <w:rPr>
          <w:lang w:eastAsia="en-CA"/>
        </w:rPr>
        <w:t>in</w:t>
      </w:r>
      <w:r w:rsidRPr="0009295A">
        <w:rPr>
          <w:lang w:eastAsia="en-CA"/>
        </w:rPr>
        <w:t xml:space="preserve"> 1.2.1 is as follows</w:t>
      </w:r>
      <w:r w:rsidRPr="0009295A">
        <w:t>:</w:t>
      </w:r>
      <w:r w:rsidRPr="0009295A">
        <w:rPr>
          <w:lang w:eastAsia="en-CA"/>
        </w:rPr>
        <w:t xml:space="preserve"> </w:t>
      </w:r>
    </w:p>
    <w:p w14:paraId="626A8ED7" w14:textId="77777777" w:rsidR="00A20A7B" w:rsidRPr="00A20A7B" w:rsidRDefault="00A20A7B" w:rsidP="00A20A7B">
      <w:pPr>
        <w:pStyle w:val="SingleTxtG"/>
        <w:ind w:left="1701"/>
        <w:rPr>
          <w:i/>
          <w:iCs/>
        </w:rPr>
      </w:pPr>
      <w:r w:rsidRPr="00A20A7B">
        <w:rPr>
          <w:i/>
          <w:iCs/>
        </w:rPr>
        <w:t xml:space="preserve">“Large packaging means a packaging consisting of an outer packaging which contains articles or inner </w:t>
      </w:r>
      <w:proofErr w:type="spellStart"/>
      <w:r w:rsidRPr="00A20A7B">
        <w:rPr>
          <w:i/>
          <w:iCs/>
        </w:rPr>
        <w:t>packagings</w:t>
      </w:r>
      <w:proofErr w:type="spellEnd"/>
      <w:r w:rsidRPr="00A20A7B">
        <w:rPr>
          <w:i/>
          <w:iCs/>
        </w:rPr>
        <w:t xml:space="preserve"> and which</w:t>
      </w:r>
    </w:p>
    <w:p w14:paraId="2CF6AD0B" w14:textId="3CB48B1F" w:rsidR="00A20A7B" w:rsidRPr="00A20A7B" w:rsidRDefault="00A20A7B" w:rsidP="00A20A7B">
      <w:pPr>
        <w:pStyle w:val="SingleTxtG"/>
        <w:ind w:firstLine="567"/>
        <w:rPr>
          <w:i/>
          <w:iCs/>
        </w:rPr>
      </w:pPr>
      <w:r w:rsidRPr="00A20A7B">
        <w:rPr>
          <w:i/>
          <w:iCs/>
        </w:rPr>
        <w:t xml:space="preserve">(a) </w:t>
      </w:r>
      <w:r>
        <w:rPr>
          <w:i/>
          <w:iCs/>
        </w:rPr>
        <w:tab/>
      </w:r>
      <w:r w:rsidRPr="00A20A7B">
        <w:rPr>
          <w:i/>
          <w:iCs/>
        </w:rPr>
        <w:t>is designed for mechanical handling; and</w:t>
      </w:r>
    </w:p>
    <w:p w14:paraId="0E5937CC" w14:textId="30E4FBFD" w:rsidR="00A20A7B" w:rsidRPr="00A20A7B" w:rsidRDefault="00A20A7B" w:rsidP="00A20A7B">
      <w:pPr>
        <w:pStyle w:val="SingleTxtG"/>
        <w:ind w:left="2268" w:hanging="567"/>
        <w:rPr>
          <w:i/>
          <w:iCs/>
        </w:rPr>
      </w:pPr>
      <w:r w:rsidRPr="00A20A7B">
        <w:rPr>
          <w:i/>
          <w:iCs/>
        </w:rPr>
        <w:t xml:space="preserve">(b) </w:t>
      </w:r>
      <w:r>
        <w:rPr>
          <w:i/>
          <w:iCs/>
        </w:rPr>
        <w:tab/>
      </w:r>
      <w:r w:rsidRPr="00A20A7B">
        <w:rPr>
          <w:i/>
          <w:iCs/>
        </w:rPr>
        <w:t>exceeds 400 kg net mass or 450 litres capacity but has a volume of not more than 3 m</w:t>
      </w:r>
      <w:r w:rsidRPr="00D2408F">
        <w:rPr>
          <w:i/>
          <w:iCs/>
          <w:vertAlign w:val="superscript"/>
        </w:rPr>
        <w:t>3</w:t>
      </w:r>
      <w:r w:rsidRPr="00A20A7B">
        <w:rPr>
          <w:i/>
          <w:iCs/>
        </w:rPr>
        <w:t>;”</w:t>
      </w:r>
    </w:p>
    <w:p w14:paraId="0EEEE11E" w14:textId="379F6FB9" w:rsidR="00A20A7B" w:rsidRPr="00A20A7B" w:rsidRDefault="00A20A7B" w:rsidP="00A20A7B">
      <w:pPr>
        <w:pStyle w:val="H23G"/>
        <w:rPr>
          <w:i/>
          <w:iCs/>
        </w:rPr>
      </w:pPr>
      <w:r w:rsidRPr="00A20A7B">
        <w:rPr>
          <w:i/>
          <w:iCs/>
        </w:rPr>
        <w:lastRenderedPageBreak/>
        <w:tab/>
      </w:r>
      <w:r w:rsidRPr="00A20A7B">
        <w:rPr>
          <w:i/>
          <w:iCs/>
        </w:rPr>
        <w:tab/>
        <w:t>Defining combination packaging</w:t>
      </w:r>
    </w:p>
    <w:p w14:paraId="74B0EDAE" w14:textId="79A04628" w:rsidR="00A20A7B" w:rsidRPr="0009295A" w:rsidRDefault="00D2408F" w:rsidP="00A20A7B">
      <w:pPr>
        <w:pStyle w:val="SingleTxtG"/>
        <w:numPr>
          <w:ilvl w:val="0"/>
          <w:numId w:val="19"/>
        </w:numPr>
        <w:ind w:left="1701" w:hanging="567"/>
      </w:pPr>
      <w:r>
        <w:rPr>
          <w:lang w:eastAsia="en-CA"/>
        </w:rPr>
        <w:t>Section</w:t>
      </w:r>
      <w:r w:rsidR="00A20A7B" w:rsidRPr="0009295A">
        <w:rPr>
          <w:lang w:eastAsia="en-CA"/>
        </w:rPr>
        <w:t xml:space="preserve"> 1.2.1 also includes the following </w:t>
      </w:r>
      <w:r w:rsidR="00A20A7B" w:rsidRPr="0009295A">
        <w:t>definition</w:t>
      </w:r>
      <w:r w:rsidR="00A20A7B" w:rsidRPr="0009295A">
        <w:rPr>
          <w:lang w:eastAsia="en-CA"/>
        </w:rPr>
        <w:t xml:space="preserve"> of a “combination packaging”</w:t>
      </w:r>
      <w:r>
        <w:rPr>
          <w:lang w:eastAsia="en-CA"/>
        </w:rPr>
        <w:t>:</w:t>
      </w:r>
    </w:p>
    <w:p w14:paraId="532F50D8" w14:textId="77777777" w:rsidR="00A20A7B" w:rsidRPr="00A20A7B" w:rsidRDefault="00A20A7B" w:rsidP="00A20A7B">
      <w:pPr>
        <w:pStyle w:val="SingleTxtG"/>
        <w:ind w:left="1701"/>
        <w:rPr>
          <w:i/>
          <w:iCs/>
        </w:rPr>
      </w:pPr>
      <w:r w:rsidRPr="00A20A7B">
        <w:rPr>
          <w:i/>
          <w:iCs/>
        </w:rPr>
        <w:t xml:space="preserve">“Combination packaging means a combination of </w:t>
      </w:r>
      <w:proofErr w:type="spellStart"/>
      <w:r w:rsidRPr="00A20A7B">
        <w:rPr>
          <w:i/>
          <w:iCs/>
        </w:rPr>
        <w:t>packagings</w:t>
      </w:r>
      <w:proofErr w:type="spellEnd"/>
      <w:r w:rsidRPr="00A20A7B">
        <w:rPr>
          <w:i/>
          <w:iCs/>
        </w:rPr>
        <w:t xml:space="preserve"> for transport purposes, consisting of one or more inner </w:t>
      </w:r>
      <w:proofErr w:type="spellStart"/>
      <w:r w:rsidRPr="00A20A7B">
        <w:rPr>
          <w:i/>
          <w:iCs/>
        </w:rPr>
        <w:t>packagings</w:t>
      </w:r>
      <w:proofErr w:type="spellEnd"/>
      <w:r w:rsidRPr="00A20A7B">
        <w:rPr>
          <w:i/>
          <w:iCs/>
        </w:rPr>
        <w:t xml:space="preserve"> secured in an outer packaging in accordance with 4.1.1.5.”</w:t>
      </w:r>
    </w:p>
    <w:p w14:paraId="206D6077" w14:textId="44A234A8" w:rsidR="00A20A7B" w:rsidRPr="0009295A" w:rsidRDefault="00A20A7B" w:rsidP="00D579B1">
      <w:pPr>
        <w:pStyle w:val="SingleTxtG"/>
        <w:numPr>
          <w:ilvl w:val="0"/>
          <w:numId w:val="19"/>
        </w:numPr>
        <w:ind w:left="1134" w:firstLine="0"/>
      </w:pPr>
      <w:r w:rsidRPr="0009295A">
        <w:rPr>
          <w:lang w:eastAsia="en-CA"/>
        </w:rPr>
        <w:t xml:space="preserve">The maximum limits set for a combination packaging’s net mass and capacity are not described with its definition, rather they are set out in Chapter 6.1. Specifically, </w:t>
      </w:r>
      <w:r w:rsidR="00D2408F">
        <w:rPr>
          <w:lang w:eastAsia="en-CA"/>
        </w:rPr>
        <w:t>paragraph</w:t>
      </w:r>
      <w:r w:rsidRPr="0009295A">
        <w:rPr>
          <w:lang w:eastAsia="en-CA"/>
        </w:rPr>
        <w:t xml:space="preserve"> 6.1.1.1 sets the maximum net mass limit and the maximum capacity limit for packaging as follows: </w:t>
      </w:r>
    </w:p>
    <w:p w14:paraId="57A4E615" w14:textId="0CFB1C44" w:rsidR="00A20A7B" w:rsidRPr="00D579B1" w:rsidRDefault="00A20A7B" w:rsidP="00D579B1">
      <w:pPr>
        <w:pStyle w:val="SingleTxtG"/>
        <w:rPr>
          <w:i/>
          <w:iCs/>
        </w:rPr>
      </w:pPr>
      <w:r w:rsidRPr="00D579B1">
        <w:rPr>
          <w:i/>
          <w:iCs/>
        </w:rPr>
        <w:tab/>
      </w:r>
      <w:r w:rsidRPr="00D579B1">
        <w:rPr>
          <w:i/>
          <w:iCs/>
        </w:rPr>
        <w:tab/>
        <w:t xml:space="preserve">“(c) </w:t>
      </w:r>
      <w:r w:rsidR="00D579B1">
        <w:rPr>
          <w:i/>
          <w:iCs/>
        </w:rPr>
        <w:tab/>
      </w:r>
      <w:r w:rsidRPr="00D579B1">
        <w:rPr>
          <w:i/>
          <w:iCs/>
        </w:rPr>
        <w:t>Packages whose net mass exceeds 400 kg;</w:t>
      </w:r>
    </w:p>
    <w:p w14:paraId="6C1B9A94" w14:textId="1EC43DF2" w:rsidR="00A20A7B" w:rsidRPr="00D579B1" w:rsidRDefault="00A20A7B" w:rsidP="00D579B1">
      <w:pPr>
        <w:pStyle w:val="SingleTxtG"/>
        <w:ind w:left="2268" w:hanging="567"/>
        <w:rPr>
          <w:i/>
          <w:iCs/>
        </w:rPr>
      </w:pPr>
      <w:r w:rsidRPr="00D579B1">
        <w:rPr>
          <w:i/>
          <w:iCs/>
        </w:rPr>
        <w:t xml:space="preserve">(d) </w:t>
      </w:r>
      <w:r w:rsidR="00D579B1">
        <w:rPr>
          <w:i/>
          <w:iCs/>
        </w:rPr>
        <w:tab/>
      </w:r>
      <w:proofErr w:type="spellStart"/>
      <w:r w:rsidRPr="00D579B1">
        <w:rPr>
          <w:i/>
          <w:iCs/>
        </w:rPr>
        <w:t>Packagings</w:t>
      </w:r>
      <w:proofErr w:type="spellEnd"/>
      <w:r w:rsidRPr="00D579B1">
        <w:rPr>
          <w:i/>
          <w:iCs/>
        </w:rPr>
        <w:t xml:space="preserve"> for liquids, other than combination </w:t>
      </w:r>
      <w:proofErr w:type="spellStart"/>
      <w:r w:rsidRPr="00D579B1">
        <w:rPr>
          <w:i/>
          <w:iCs/>
        </w:rPr>
        <w:t>packagings</w:t>
      </w:r>
      <w:proofErr w:type="spellEnd"/>
      <w:r w:rsidRPr="00D579B1">
        <w:rPr>
          <w:i/>
          <w:iCs/>
        </w:rPr>
        <w:t>, with a capacity     exceeding 450 litres.”</w:t>
      </w:r>
    </w:p>
    <w:p w14:paraId="55929B08" w14:textId="363DA004" w:rsidR="00A20A7B" w:rsidRPr="0009295A" w:rsidRDefault="000040A6" w:rsidP="000040A6">
      <w:pPr>
        <w:pStyle w:val="SingleTxtG"/>
      </w:pPr>
      <w:r>
        <w:t>5.</w:t>
      </w:r>
      <w:r>
        <w:tab/>
      </w:r>
      <w:r w:rsidR="00A20A7B" w:rsidRPr="0009295A">
        <w:t xml:space="preserve">A comparison of the definitions of “combination packaging” and “large packaging” makes evident that a large packaging can be thought of as a bulk combination packaging as it is a combination packaging that exceeds the maximum limits set out in 6.1.1.1.  </w:t>
      </w:r>
    </w:p>
    <w:p w14:paraId="19FA9901" w14:textId="7530917E" w:rsidR="00A20A7B" w:rsidRPr="0009295A" w:rsidRDefault="000040A6" w:rsidP="000040A6">
      <w:pPr>
        <w:pStyle w:val="SingleTxtG"/>
      </w:pPr>
      <w:r>
        <w:rPr>
          <w:lang w:val="en-CA" w:eastAsia="en-CA"/>
        </w:rPr>
        <w:t>6.</w:t>
      </w:r>
      <w:r>
        <w:rPr>
          <w:lang w:val="en-CA" w:eastAsia="en-CA"/>
        </w:rPr>
        <w:tab/>
      </w:r>
      <w:r w:rsidR="00A20A7B" w:rsidRPr="0009295A">
        <w:rPr>
          <w:lang w:val="en-CA" w:eastAsia="en-CA"/>
        </w:rPr>
        <w:t xml:space="preserve">It </w:t>
      </w:r>
      <w:r w:rsidR="00A20A7B" w:rsidRPr="0009295A">
        <w:rPr>
          <w:lang w:eastAsia="en-CA"/>
        </w:rPr>
        <w:t>is</w:t>
      </w:r>
      <w:r w:rsidR="00A20A7B" w:rsidRPr="0009295A">
        <w:rPr>
          <w:lang w:val="en-CA" w:eastAsia="en-CA"/>
        </w:rPr>
        <w:t xml:space="preserve"> </w:t>
      </w:r>
      <w:r w:rsidR="00A20A7B">
        <w:rPr>
          <w:lang w:val="en-CA" w:eastAsia="en-CA"/>
        </w:rPr>
        <w:t>collectively understood</w:t>
      </w:r>
      <w:r w:rsidR="00A20A7B" w:rsidRPr="0009295A">
        <w:rPr>
          <w:lang w:val="en-CA" w:eastAsia="en-CA"/>
        </w:rPr>
        <w:t xml:space="preserve"> that the maximum volumetric capacity limit of 450 L set out in 6.1.1.1 applies to </w:t>
      </w:r>
      <w:proofErr w:type="spellStart"/>
      <w:r w:rsidR="00A20A7B" w:rsidRPr="0009295A">
        <w:rPr>
          <w:lang w:val="en-CA" w:eastAsia="en-CA"/>
        </w:rPr>
        <w:t>packagings</w:t>
      </w:r>
      <w:proofErr w:type="spellEnd"/>
      <w:r w:rsidR="00A20A7B" w:rsidRPr="0009295A">
        <w:rPr>
          <w:lang w:val="en-CA" w:eastAsia="en-CA"/>
        </w:rPr>
        <w:t xml:space="preserve"> for liquids, while the maximum net mass limit of 400 kg applies to packaging for solids. Combination </w:t>
      </w:r>
      <w:proofErr w:type="spellStart"/>
      <w:r w:rsidR="00A20A7B" w:rsidRPr="0009295A">
        <w:rPr>
          <w:lang w:val="en-CA" w:eastAsia="en-CA"/>
        </w:rPr>
        <w:t>packagings</w:t>
      </w:r>
      <w:proofErr w:type="spellEnd"/>
      <w:r w:rsidR="00A20A7B" w:rsidRPr="0009295A">
        <w:rPr>
          <w:lang w:val="en-CA" w:eastAsia="en-CA"/>
        </w:rPr>
        <w:t xml:space="preserve"> are treated as </w:t>
      </w:r>
      <w:proofErr w:type="spellStart"/>
      <w:r w:rsidR="00A20A7B" w:rsidRPr="0009295A">
        <w:rPr>
          <w:lang w:val="en-CA" w:eastAsia="en-CA"/>
        </w:rPr>
        <w:t>packagings</w:t>
      </w:r>
      <w:proofErr w:type="spellEnd"/>
      <w:r w:rsidR="00A20A7B" w:rsidRPr="0009295A">
        <w:rPr>
          <w:lang w:val="en-CA" w:eastAsia="en-CA"/>
        </w:rPr>
        <w:t xml:space="preserve"> for solids and are tested and marked as such, even when inner </w:t>
      </w:r>
      <w:proofErr w:type="spellStart"/>
      <w:r w:rsidR="00A20A7B" w:rsidRPr="0009295A">
        <w:rPr>
          <w:lang w:val="en-CA" w:eastAsia="en-CA"/>
        </w:rPr>
        <w:t>packagings</w:t>
      </w:r>
      <w:proofErr w:type="spellEnd"/>
      <w:r w:rsidR="00A20A7B" w:rsidRPr="0009295A">
        <w:rPr>
          <w:lang w:val="en-CA" w:eastAsia="en-CA"/>
        </w:rPr>
        <w:t xml:space="preserve"> contain liquid. </w:t>
      </w:r>
    </w:p>
    <w:p w14:paraId="69E9DB90" w14:textId="07D5B45A" w:rsidR="00A20A7B" w:rsidRPr="00E96049" w:rsidRDefault="000040A6" w:rsidP="00306F11">
      <w:pPr>
        <w:pStyle w:val="SingleTxtG"/>
      </w:pPr>
      <w:r>
        <w:rPr>
          <w:lang w:val="en-CA" w:eastAsia="en-CA"/>
        </w:rPr>
        <w:t>7.</w:t>
      </w:r>
      <w:r>
        <w:rPr>
          <w:lang w:val="en-CA" w:eastAsia="en-CA"/>
        </w:rPr>
        <w:tab/>
      </w:r>
      <w:r w:rsidR="00A20A7B">
        <w:rPr>
          <w:lang w:val="en-CA" w:eastAsia="en-CA"/>
        </w:rPr>
        <w:t>Over the years, v</w:t>
      </w:r>
      <w:r w:rsidR="00A20A7B" w:rsidRPr="0009295A">
        <w:rPr>
          <w:lang w:val="en-CA" w:eastAsia="en-CA"/>
        </w:rPr>
        <w:t>arious proposals (</w:t>
      </w:r>
      <w:r>
        <w:rPr>
          <w:lang w:val="en-CA" w:eastAsia="en-CA"/>
        </w:rPr>
        <w:t xml:space="preserve">informal documents </w:t>
      </w:r>
      <w:r w:rsidR="00A20A7B" w:rsidRPr="00E96049">
        <w:rPr>
          <w:lang w:val="en-CA" w:eastAsia="en-CA"/>
        </w:rPr>
        <w:t>INF.5</w:t>
      </w:r>
      <w:r>
        <w:rPr>
          <w:lang w:val="en-CA" w:eastAsia="en-CA"/>
        </w:rPr>
        <w:t xml:space="preserve"> (</w:t>
      </w:r>
      <w:r w:rsidR="00306F11">
        <w:rPr>
          <w:lang w:val="en-CA" w:eastAsia="en-CA"/>
        </w:rPr>
        <w:t>twenty-</w:t>
      </w:r>
      <w:r w:rsidR="00306F11" w:rsidRPr="00306F11">
        <w:t>fifth</w:t>
      </w:r>
      <w:r>
        <w:rPr>
          <w:lang w:val="en-CA" w:eastAsia="en-CA"/>
        </w:rPr>
        <w:t xml:space="preserve"> session)</w:t>
      </w:r>
      <w:r w:rsidR="00A20A7B" w:rsidRPr="00E96049">
        <w:rPr>
          <w:lang w:val="en-CA" w:eastAsia="en-CA"/>
        </w:rPr>
        <w:t>, INF.19</w:t>
      </w:r>
      <w:r>
        <w:rPr>
          <w:lang w:val="en-CA" w:eastAsia="en-CA"/>
        </w:rPr>
        <w:t xml:space="preserve"> (</w:t>
      </w:r>
      <w:r w:rsidR="00306F11">
        <w:rPr>
          <w:lang w:val="en-CA" w:eastAsia="en-CA"/>
        </w:rPr>
        <w:t>thirty-eight</w:t>
      </w:r>
      <w:r>
        <w:rPr>
          <w:lang w:val="en-CA" w:eastAsia="en-CA"/>
        </w:rPr>
        <w:t xml:space="preserve"> session)</w:t>
      </w:r>
      <w:r w:rsidR="00A20A7B" w:rsidRPr="00E96049">
        <w:rPr>
          <w:lang w:val="en-CA" w:eastAsia="en-CA"/>
        </w:rPr>
        <w:t>, ST/SG/AC.10/C.3/2011/11, INF.12</w:t>
      </w:r>
      <w:r>
        <w:rPr>
          <w:lang w:val="en-CA" w:eastAsia="en-CA"/>
        </w:rPr>
        <w:t xml:space="preserve"> (</w:t>
      </w:r>
      <w:r w:rsidR="00306F11">
        <w:rPr>
          <w:lang w:val="en-CA" w:eastAsia="en-CA"/>
        </w:rPr>
        <w:t>thirty-ninth</w:t>
      </w:r>
      <w:r>
        <w:rPr>
          <w:lang w:val="en-CA" w:eastAsia="en-CA"/>
        </w:rPr>
        <w:t xml:space="preserve"> session)</w:t>
      </w:r>
      <w:r w:rsidR="00A20A7B" w:rsidRPr="00E96049">
        <w:rPr>
          <w:lang w:val="en-CA" w:eastAsia="en-CA"/>
        </w:rPr>
        <w:t xml:space="preserve">, ST/SG/AC.10/C.3/2011/34) have introduced modifications to the maximum limits set out in 6.1.1.1 to clarify the </w:t>
      </w:r>
      <w:r w:rsidR="00A20A7B">
        <w:rPr>
          <w:lang w:val="en-CA" w:eastAsia="en-CA"/>
        </w:rPr>
        <w:t>view</w:t>
      </w:r>
      <w:r w:rsidR="00A20A7B" w:rsidRPr="00E96049">
        <w:rPr>
          <w:lang w:val="en-CA" w:eastAsia="en-CA"/>
        </w:rPr>
        <w:t xml:space="preserve"> described in paragraph 6. The resulting modifications have </w:t>
      </w:r>
      <w:r w:rsidR="00A20A7B">
        <w:rPr>
          <w:lang w:val="en-CA" w:eastAsia="en-CA"/>
        </w:rPr>
        <w:t>made clear</w:t>
      </w:r>
      <w:r w:rsidR="00A20A7B" w:rsidRPr="00E96049">
        <w:rPr>
          <w:lang w:val="en-CA" w:eastAsia="en-CA"/>
        </w:rPr>
        <w:t xml:space="preserve"> that a combination packaging is not restricted by a maximum capacity of 450 L but rather by a maximum net mass of 400kg. This is clearly described by the exclusion of combination packaging from 6.1.1.1 (d).</w:t>
      </w:r>
      <w:r w:rsidR="00A20A7B" w:rsidRPr="00E96049">
        <w:t xml:space="preserve"> </w:t>
      </w:r>
    </w:p>
    <w:p w14:paraId="4C701693" w14:textId="6E6A572F" w:rsidR="00A20A7B" w:rsidRPr="0009295A" w:rsidRDefault="000040A6" w:rsidP="000040A6">
      <w:pPr>
        <w:pStyle w:val="SingleTxtG"/>
      </w:pPr>
      <w:r>
        <w:t>8.</w:t>
      </w:r>
      <w:r>
        <w:tab/>
      </w:r>
      <w:r w:rsidR="00A20A7B" w:rsidRPr="0009295A">
        <w:t xml:space="preserve">Without a maximum capacity limit for combination </w:t>
      </w:r>
      <w:proofErr w:type="spellStart"/>
      <w:r w:rsidR="00A20A7B" w:rsidRPr="0009295A">
        <w:t>packaging</w:t>
      </w:r>
      <w:r w:rsidR="00306F11">
        <w:t>s</w:t>
      </w:r>
      <w:proofErr w:type="spellEnd"/>
      <w:r w:rsidR="00A20A7B" w:rsidRPr="0009295A">
        <w:t xml:space="preserve"> and by </w:t>
      </w:r>
      <w:r w:rsidR="00A20A7B">
        <w:t>an</w:t>
      </w:r>
      <w:r w:rsidR="00A20A7B" w:rsidRPr="0009295A">
        <w:t xml:space="preserve"> optional minimum net mass or capacity threshold for large </w:t>
      </w:r>
      <w:proofErr w:type="spellStart"/>
      <w:r w:rsidR="00A20A7B" w:rsidRPr="0009295A">
        <w:t>packaging</w:t>
      </w:r>
      <w:r w:rsidR="00306F11">
        <w:t>s</w:t>
      </w:r>
      <w:proofErr w:type="spellEnd"/>
      <w:r w:rsidR="00A20A7B" w:rsidRPr="0009295A">
        <w:t xml:space="preserve">, the distinction between the testing and marking requirements </w:t>
      </w:r>
      <w:r w:rsidR="00A20A7B">
        <w:t xml:space="preserve">of </w:t>
      </w:r>
      <w:r w:rsidR="00A20A7B" w:rsidRPr="0009295A">
        <w:t xml:space="preserve">combination </w:t>
      </w:r>
      <w:proofErr w:type="spellStart"/>
      <w:r w:rsidR="00A20A7B" w:rsidRPr="0009295A">
        <w:t>packaging</w:t>
      </w:r>
      <w:r w:rsidR="00306F11">
        <w:t>s</w:t>
      </w:r>
      <w:proofErr w:type="spellEnd"/>
      <w:r w:rsidR="00A20A7B" w:rsidRPr="0009295A">
        <w:t xml:space="preserve"> and large </w:t>
      </w:r>
      <w:proofErr w:type="spellStart"/>
      <w:r w:rsidR="00A20A7B" w:rsidRPr="0009295A">
        <w:t>packaging</w:t>
      </w:r>
      <w:r w:rsidR="00306F11">
        <w:t>s</w:t>
      </w:r>
      <w:proofErr w:type="spellEnd"/>
      <w:r w:rsidR="00A20A7B" w:rsidRPr="0009295A">
        <w:t xml:space="preserve"> is </w:t>
      </w:r>
      <w:r w:rsidR="00A20A7B">
        <w:t>unclear and</w:t>
      </w:r>
      <w:r w:rsidR="00A20A7B" w:rsidRPr="0009295A">
        <w:t xml:space="preserve"> creates unnecessary ambiguity. </w:t>
      </w:r>
    </w:p>
    <w:p w14:paraId="51FFA3DA" w14:textId="1525F575" w:rsidR="00A20A7B" w:rsidRPr="0009295A" w:rsidRDefault="000040A6" w:rsidP="000040A6">
      <w:pPr>
        <w:pStyle w:val="SingleTxtG"/>
        <w:rPr>
          <w:lang w:val="en-CA"/>
        </w:rPr>
      </w:pPr>
      <w:r>
        <w:t>9.</w:t>
      </w:r>
      <w:r>
        <w:tab/>
      </w:r>
      <w:r w:rsidR="00A20A7B" w:rsidRPr="0009295A">
        <w:t>As an example, a combination packaging consisting of an outer packaging in the shape of a box that weighs less than 400kg but has a capacity of more than 450L could be tested as a box under Chapter 6.1 and be subject to the drop test in five different orientations</w:t>
      </w:r>
      <w:r w:rsidR="00306F11">
        <w:t>. H</w:t>
      </w:r>
      <w:r w:rsidR="00A20A7B" w:rsidRPr="0009295A">
        <w:t xml:space="preserve">owever, given that the volume exceeds the lower threshold set out in the definition of a large packaging, this same packaging could also be treated as a large packaging and be subject to the drop test in a single orientation. As a result, by including a minimum volumetric capacity threshold in the definition of large packaging, a packaging that should be certified under Chapter 6.1 could instead be certified under Chapter 6.6 as a large packaging and undergo less stringent testing. </w:t>
      </w:r>
    </w:p>
    <w:p w14:paraId="758ED783" w14:textId="618F2D76" w:rsidR="00A20A7B" w:rsidRPr="00A73E3D" w:rsidRDefault="000040A6" w:rsidP="000040A6">
      <w:pPr>
        <w:pStyle w:val="SingleTxtG"/>
      </w:pPr>
      <w:r>
        <w:t>10.</w:t>
      </w:r>
      <w:r>
        <w:tab/>
      </w:r>
      <w:r w:rsidR="00A20A7B" w:rsidRPr="00A73E3D">
        <w:t xml:space="preserve">Given that a combination packaging is confined only by a maximum net mass limit and not by a maximum capacity limit, by extension, a large packaging should be defined by the exceedance of a minimum net mass threshold and not optionally by a minimum capacity threshold. </w:t>
      </w:r>
      <w:r w:rsidR="00A20A7B" w:rsidRPr="0009295A">
        <w:t>The minimum capacity limit of 450 L within the definition of a large packaging is unnecessary and creates needless uncertainty.</w:t>
      </w:r>
      <w:r w:rsidR="00A20A7B">
        <w:t xml:space="preserve"> </w:t>
      </w:r>
      <w:r w:rsidR="00A20A7B" w:rsidRPr="00A73E3D">
        <w:t>A large packaging should begin where a combination packaging ends, at 400 kg. The proposed modification below creates this clear boundary on the continuum of combination pack</w:t>
      </w:r>
      <w:r w:rsidR="00306F11">
        <w:t>ag</w:t>
      </w:r>
      <w:r w:rsidR="00A20A7B" w:rsidRPr="00A73E3D">
        <w:t xml:space="preserve">ing and large packaging. </w:t>
      </w:r>
    </w:p>
    <w:p w14:paraId="4D06825B" w14:textId="77777777" w:rsidR="000040A6" w:rsidRDefault="000040A6">
      <w:pPr>
        <w:suppressAutoHyphens w:val="0"/>
        <w:spacing w:line="240" w:lineRule="auto"/>
        <w:rPr>
          <w:b/>
          <w:sz w:val="28"/>
        </w:rPr>
      </w:pPr>
      <w:r>
        <w:br w:type="page"/>
      </w:r>
    </w:p>
    <w:p w14:paraId="7715BD5A" w14:textId="7398EE9A" w:rsidR="00A20A7B" w:rsidRPr="0009295A" w:rsidRDefault="000040A6" w:rsidP="000040A6">
      <w:pPr>
        <w:pStyle w:val="HChG"/>
      </w:pPr>
      <w:r>
        <w:lastRenderedPageBreak/>
        <w:tab/>
      </w:r>
      <w:r>
        <w:tab/>
      </w:r>
      <w:r w:rsidR="00A20A7B" w:rsidRPr="0009295A">
        <w:t>Proposal</w:t>
      </w:r>
    </w:p>
    <w:p w14:paraId="70976878" w14:textId="7CC6D9A8" w:rsidR="00A20A7B" w:rsidRPr="0009295A" w:rsidRDefault="000040A6" w:rsidP="000040A6">
      <w:pPr>
        <w:pStyle w:val="SingleTxtG"/>
      </w:pPr>
      <w:r>
        <w:t>11.</w:t>
      </w:r>
      <w:r>
        <w:tab/>
      </w:r>
      <w:r w:rsidR="00A20A7B" w:rsidRPr="0009295A">
        <w:t xml:space="preserve">Amend the definition of a large packaging in 1.2.1 to read as follows (deleted text in </w:t>
      </w:r>
      <w:r w:rsidR="00A20A7B" w:rsidRPr="00E12446">
        <w:rPr>
          <w:strike/>
        </w:rPr>
        <w:t>strikethrough</w:t>
      </w:r>
      <w:r w:rsidR="00A20A7B" w:rsidRPr="0009295A">
        <w:t>):</w:t>
      </w:r>
      <w:bookmarkStart w:id="0" w:name="_GoBack"/>
      <w:bookmarkEnd w:id="0"/>
    </w:p>
    <w:p w14:paraId="69037678" w14:textId="77777777" w:rsidR="00A20A7B" w:rsidRPr="0009295A" w:rsidRDefault="00A20A7B" w:rsidP="000040A6">
      <w:pPr>
        <w:pStyle w:val="SingleTxtG"/>
        <w:ind w:left="1701"/>
      </w:pPr>
      <w:r w:rsidRPr="0009295A">
        <w:t xml:space="preserve">“Large packaging means a packaging consisting of an outer packaging which contains articles or inner </w:t>
      </w:r>
      <w:proofErr w:type="spellStart"/>
      <w:r w:rsidRPr="0009295A">
        <w:t>packagings</w:t>
      </w:r>
      <w:proofErr w:type="spellEnd"/>
      <w:r w:rsidRPr="0009295A">
        <w:t xml:space="preserve"> and which</w:t>
      </w:r>
    </w:p>
    <w:p w14:paraId="44E4D886" w14:textId="25E25B99" w:rsidR="00A20A7B" w:rsidRPr="0009295A" w:rsidRDefault="00A20A7B" w:rsidP="000040A6">
      <w:pPr>
        <w:pStyle w:val="SingleTxtG"/>
        <w:ind w:left="1701"/>
      </w:pPr>
      <w:r w:rsidRPr="0009295A">
        <w:t xml:space="preserve">(a) </w:t>
      </w:r>
      <w:r w:rsidR="000040A6">
        <w:tab/>
      </w:r>
      <w:r w:rsidRPr="0009295A">
        <w:t>is designed for mechanical handling; and</w:t>
      </w:r>
    </w:p>
    <w:p w14:paraId="1A535AFB" w14:textId="22B18559" w:rsidR="00A20A7B" w:rsidRPr="000040A6" w:rsidRDefault="00A20A7B" w:rsidP="00134187">
      <w:pPr>
        <w:pStyle w:val="SingleTxtG"/>
        <w:ind w:left="2268" w:hanging="567"/>
        <w:rPr>
          <w:rStyle w:val="SingleTxtGChar"/>
          <w:rFonts w:asciiTheme="majorBidi" w:hAnsiTheme="majorBidi" w:cstheme="majorBidi"/>
        </w:rPr>
      </w:pPr>
      <w:r w:rsidRPr="000040A6">
        <w:rPr>
          <w:rStyle w:val="SingleTxtGChar"/>
          <w:rFonts w:asciiTheme="majorBidi" w:hAnsiTheme="majorBidi" w:cstheme="majorBidi"/>
        </w:rPr>
        <w:t xml:space="preserve">(b) </w:t>
      </w:r>
      <w:r w:rsidR="000040A6">
        <w:rPr>
          <w:rStyle w:val="SingleTxtGChar"/>
          <w:rFonts w:asciiTheme="majorBidi" w:hAnsiTheme="majorBidi" w:cstheme="majorBidi"/>
        </w:rPr>
        <w:tab/>
      </w:r>
      <w:r w:rsidRPr="000040A6">
        <w:rPr>
          <w:rStyle w:val="SingleTxtGChar"/>
          <w:rFonts w:asciiTheme="majorBidi" w:hAnsiTheme="majorBidi" w:cstheme="majorBidi"/>
        </w:rPr>
        <w:t xml:space="preserve">exceeds 400 kg net mass </w:t>
      </w:r>
      <w:r w:rsidRPr="00B40C43">
        <w:rPr>
          <w:rStyle w:val="SingleTxtGChar"/>
          <w:rFonts w:asciiTheme="majorBidi" w:hAnsiTheme="majorBidi" w:cstheme="majorBidi"/>
          <w:strike/>
        </w:rPr>
        <w:t>or 450 litres capacity</w:t>
      </w:r>
      <w:r w:rsidRPr="000040A6">
        <w:rPr>
          <w:rStyle w:val="SingleTxtGChar"/>
          <w:rFonts w:asciiTheme="majorBidi" w:hAnsiTheme="majorBidi" w:cstheme="majorBidi"/>
        </w:rPr>
        <w:t xml:space="preserve"> but has a volume of not more than 3 m</w:t>
      </w:r>
      <w:r w:rsidRPr="00E12446">
        <w:rPr>
          <w:rStyle w:val="SingleTxtGChar"/>
          <w:rFonts w:asciiTheme="majorBidi" w:hAnsiTheme="majorBidi" w:cstheme="majorBidi"/>
          <w:vertAlign w:val="superscript"/>
        </w:rPr>
        <w:t>3</w:t>
      </w:r>
      <w:r w:rsidRPr="000040A6">
        <w:rPr>
          <w:rStyle w:val="SingleTxtGChar"/>
          <w:rFonts w:asciiTheme="majorBidi" w:hAnsiTheme="majorBidi" w:cstheme="majorBidi"/>
        </w:rPr>
        <w:t>;”</w:t>
      </w:r>
    </w:p>
    <w:p w14:paraId="0AD621E8" w14:textId="00941461" w:rsidR="00A20A7B" w:rsidRPr="00384F4D" w:rsidRDefault="00384F4D" w:rsidP="00384F4D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7D44DA26" w14:textId="35BF1722" w:rsidR="00F905A8" w:rsidRDefault="00F905A8" w:rsidP="00A20A7B">
      <w:pPr>
        <w:pStyle w:val="HChG"/>
        <w:rPr>
          <w:lang w:eastAsia="de-DE"/>
        </w:rPr>
      </w:pPr>
    </w:p>
    <w:p w14:paraId="7EE74EE9" w14:textId="0ACB3F80" w:rsidR="00A20A7B" w:rsidRDefault="00A20A7B" w:rsidP="00A20A7B">
      <w:pPr>
        <w:rPr>
          <w:lang w:eastAsia="de-DE"/>
        </w:rPr>
      </w:pPr>
    </w:p>
    <w:p w14:paraId="324FD8E8" w14:textId="3C411A18" w:rsidR="00A20A7B" w:rsidRDefault="00A20A7B" w:rsidP="00A20A7B">
      <w:pPr>
        <w:rPr>
          <w:lang w:eastAsia="de-DE"/>
        </w:rPr>
      </w:pPr>
    </w:p>
    <w:p w14:paraId="2892CE15" w14:textId="22F8BA6C" w:rsidR="00A20A7B" w:rsidRDefault="00A20A7B" w:rsidP="00A20A7B">
      <w:pPr>
        <w:rPr>
          <w:lang w:eastAsia="de-DE"/>
        </w:rPr>
      </w:pPr>
    </w:p>
    <w:p w14:paraId="3B147CF4" w14:textId="1C0A6D91" w:rsidR="00A20A7B" w:rsidRDefault="00A20A7B" w:rsidP="00A20A7B">
      <w:pPr>
        <w:rPr>
          <w:lang w:eastAsia="de-DE"/>
        </w:rPr>
      </w:pPr>
    </w:p>
    <w:p w14:paraId="571A0DBE" w14:textId="77777777" w:rsidR="00A20A7B" w:rsidRPr="00A20A7B" w:rsidRDefault="00A20A7B" w:rsidP="00A20A7B">
      <w:pPr>
        <w:rPr>
          <w:lang w:eastAsia="de-DE"/>
        </w:rPr>
      </w:pPr>
    </w:p>
    <w:sectPr w:rsidR="00A20A7B" w:rsidRPr="00A20A7B" w:rsidSect="007917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Fmt w:val="chicago"/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D11FE" w14:textId="77777777" w:rsidR="00E12446" w:rsidRDefault="00E12446"/>
  </w:endnote>
  <w:endnote w:type="continuationSeparator" w:id="0">
    <w:p w14:paraId="03BCFA6C" w14:textId="77777777" w:rsidR="00E12446" w:rsidRDefault="00E12446"/>
  </w:endnote>
  <w:endnote w:type="continuationNotice" w:id="1">
    <w:p w14:paraId="38FC1217" w14:textId="77777777" w:rsidR="00E12446" w:rsidRDefault="00E124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</w:rPr>
      <w:id w:val="-827513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1F152E" w14:textId="528F51AF" w:rsidR="00E12446" w:rsidRPr="0079173A" w:rsidRDefault="00E12446">
        <w:pPr>
          <w:pStyle w:val="Footer"/>
          <w:rPr>
            <w:b/>
            <w:bCs/>
          </w:rPr>
        </w:pPr>
        <w:r w:rsidRPr="0079173A">
          <w:rPr>
            <w:b/>
            <w:bCs/>
          </w:rPr>
          <w:fldChar w:fldCharType="begin"/>
        </w:r>
        <w:r w:rsidRPr="0079173A">
          <w:rPr>
            <w:b/>
            <w:bCs/>
          </w:rPr>
          <w:instrText xml:space="preserve"> PAGE   \* MERGEFORMAT </w:instrText>
        </w:r>
        <w:r w:rsidRPr="0079173A">
          <w:rPr>
            <w:b/>
            <w:bCs/>
          </w:rPr>
          <w:fldChar w:fldCharType="separate"/>
        </w:r>
        <w:r w:rsidRPr="0079173A">
          <w:rPr>
            <w:b/>
            <w:bCs/>
            <w:noProof/>
          </w:rPr>
          <w:t>2</w:t>
        </w:r>
        <w:r w:rsidRPr="0079173A">
          <w:rPr>
            <w:b/>
            <w:bCs/>
            <w:noProof/>
          </w:rPr>
          <w:fldChar w:fldCharType="end"/>
        </w:r>
      </w:p>
    </w:sdtContent>
  </w:sdt>
  <w:p w14:paraId="1DCDBB87" w14:textId="77777777" w:rsidR="00E12446" w:rsidRPr="0025260A" w:rsidRDefault="00E12446" w:rsidP="00252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18"/>
        <w:szCs w:val="18"/>
      </w:rPr>
      <w:id w:val="58989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BD1F1B" w14:textId="08C4D23D" w:rsidR="00E12446" w:rsidRPr="0079173A" w:rsidRDefault="00E12446">
        <w:pPr>
          <w:pStyle w:val="Footer"/>
          <w:jc w:val="right"/>
          <w:rPr>
            <w:b/>
            <w:bCs/>
            <w:sz w:val="18"/>
            <w:szCs w:val="18"/>
          </w:rPr>
        </w:pPr>
        <w:r w:rsidRPr="0079173A">
          <w:rPr>
            <w:b/>
            <w:bCs/>
            <w:sz w:val="18"/>
            <w:szCs w:val="18"/>
          </w:rPr>
          <w:fldChar w:fldCharType="begin"/>
        </w:r>
        <w:r w:rsidRPr="0079173A">
          <w:rPr>
            <w:b/>
            <w:bCs/>
            <w:sz w:val="18"/>
            <w:szCs w:val="18"/>
          </w:rPr>
          <w:instrText xml:space="preserve"> PAGE   \* MERGEFORMAT </w:instrText>
        </w:r>
        <w:r w:rsidRPr="0079173A">
          <w:rPr>
            <w:b/>
            <w:bCs/>
            <w:sz w:val="18"/>
            <w:szCs w:val="18"/>
          </w:rPr>
          <w:fldChar w:fldCharType="separate"/>
        </w:r>
        <w:r w:rsidRPr="0079173A">
          <w:rPr>
            <w:b/>
            <w:bCs/>
            <w:noProof/>
            <w:sz w:val="18"/>
            <w:szCs w:val="18"/>
          </w:rPr>
          <w:t>2</w:t>
        </w:r>
        <w:r w:rsidRPr="0079173A">
          <w:rPr>
            <w:b/>
            <w:bCs/>
            <w:noProof/>
            <w:sz w:val="18"/>
            <w:szCs w:val="18"/>
          </w:rPr>
          <w:fldChar w:fldCharType="end"/>
        </w:r>
      </w:p>
    </w:sdtContent>
  </w:sdt>
  <w:p w14:paraId="295AF979" w14:textId="30D92DC1" w:rsidR="00E12446" w:rsidRPr="0025260A" w:rsidRDefault="00E12446" w:rsidP="00252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CF406" w14:textId="77777777" w:rsidR="00E12446" w:rsidRPr="000B175B" w:rsidRDefault="00E1244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4415A84" w14:textId="77777777" w:rsidR="00E12446" w:rsidRPr="00FC68B7" w:rsidRDefault="00E1244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51BA491" w14:textId="77777777" w:rsidR="00E12446" w:rsidRDefault="00E12446"/>
  </w:footnote>
  <w:footnote w:id="2">
    <w:p w14:paraId="65FAEF55" w14:textId="0C1E3635" w:rsidR="00E12446" w:rsidRPr="00C1521E" w:rsidRDefault="00E12446" w:rsidP="00C859C5">
      <w:pPr>
        <w:pStyle w:val="FootnoteText"/>
        <w:ind w:firstLine="0"/>
        <w:rPr>
          <w:lang w:val="fr-CH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>
        <w:rPr>
          <w:lang w:val="en-US"/>
        </w:rPr>
        <w:t xml:space="preserve">In accordance with </w:t>
      </w:r>
      <w:r w:rsidRPr="00C77DF8">
        <w:t>the programme</w:t>
      </w:r>
      <w:r>
        <w:rPr>
          <w:lang w:val="en-US"/>
        </w:rPr>
        <w:t xml:space="preserve"> of work of the Sub-Committee for 2019-2020 approved by the Committee at its ninth session (see ST/SG/AC.10/C.3/108, paragraph 141 and ST/SG/AC.10/46, paragraph 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B8079" w14:textId="497A7F53" w:rsidR="00E12446" w:rsidRPr="0079173A" w:rsidRDefault="00E12446" w:rsidP="0079173A">
    <w:pPr>
      <w:pBdr>
        <w:bottom w:val="single" w:sz="4" w:space="1" w:color="auto"/>
      </w:pBdr>
      <w:rPr>
        <w:b/>
        <w:bCs/>
      </w:rPr>
    </w:pPr>
    <w:r w:rsidRPr="0079173A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BBD552" wp14:editId="7B737B39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2289D538" w14:textId="77777777" w:rsidR="00E12446" w:rsidRPr="006D12B1" w:rsidRDefault="00E12446" w:rsidP="0025260A">
                          <w:pPr>
                            <w:pStyle w:val="Header"/>
                          </w:pPr>
                          <w:r w:rsidRPr="006F750F">
                            <w:t>ST/SG/AC.10/C.3/2018/</w:t>
                          </w:r>
                          <w:r>
                            <w:t>29</w:t>
                          </w:r>
                        </w:p>
                        <w:p w14:paraId="1CC58A0E" w14:textId="77777777" w:rsidR="00E12446" w:rsidRDefault="00E12446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BBD5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1pt;margin-top:0;width:17pt;height:481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" fillcolor="white [3212]" stroked="f">
              <v:stroke joinstyle="round"/>
              <v:textbox style="layout-flow:vertical" inset="0,0,0,0">
                <w:txbxContent>
                  <w:p w14:paraId="2289D538" w14:textId="77777777" w:rsidR="00E12446" w:rsidRPr="006D12B1" w:rsidRDefault="00E12446" w:rsidP="0025260A">
                    <w:pPr>
                      <w:pStyle w:val="Header"/>
                    </w:pPr>
                    <w:r w:rsidRPr="006F750F">
                      <w:t>ST/SG/AC.10/C.3/2018/</w:t>
                    </w:r>
                    <w:r>
                      <w:t>29</w:t>
                    </w:r>
                  </w:p>
                  <w:p w14:paraId="1CC58A0E" w14:textId="77777777" w:rsidR="00E12446" w:rsidRDefault="00E12446"/>
                </w:txbxContent>
              </v:textbox>
              <w10:wrap anchorx="page" anchory="margin"/>
            </v:shape>
          </w:pict>
        </mc:Fallback>
      </mc:AlternateContent>
    </w:r>
    <w:r w:rsidRPr="0079173A">
      <w:rPr>
        <w:b/>
        <w:bCs/>
      </w:rPr>
      <w:t>ST/SG/AC.10/C.3/2019/16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9A3B" w14:textId="1AB13D88" w:rsidR="00E12446" w:rsidRPr="0079173A" w:rsidRDefault="00E12446" w:rsidP="0079173A">
    <w:pPr>
      <w:pStyle w:val="Header"/>
      <w:pBdr>
        <w:bottom w:val="single" w:sz="4" w:space="1" w:color="auto"/>
      </w:pBdr>
      <w:jc w:val="right"/>
      <w:rPr>
        <w:szCs w:val="18"/>
      </w:rPr>
    </w:pPr>
    <w:r w:rsidRPr="0079173A">
      <w:rPr>
        <w:szCs w:val="18"/>
      </w:rPr>
      <w:t>ST/SG/AC.10/C.3/2019/16</w:t>
    </w:r>
  </w:p>
  <w:p w14:paraId="04CDEF8D" w14:textId="6C26A0C5" w:rsidR="00E12446" w:rsidRPr="0025260A" w:rsidRDefault="00E12446" w:rsidP="0025260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6CF45" w14:textId="77777777" w:rsidR="00E12446" w:rsidRDefault="00E12446" w:rsidP="00AC1D2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8D23E50"/>
    <w:multiLevelType w:val="hybridMultilevel"/>
    <w:tmpl w:val="0AB2D2BE"/>
    <w:lvl w:ilvl="0" w:tplc="1520E006">
      <w:start w:val="1"/>
      <w:numFmt w:val="decimal"/>
      <w:lvlText w:val="%1."/>
      <w:lvlJc w:val="left"/>
      <w:pPr>
        <w:ind w:left="189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4D9A41FA"/>
    <w:multiLevelType w:val="hybridMultilevel"/>
    <w:tmpl w:val="AE6CE278"/>
    <w:lvl w:ilvl="0" w:tplc="7F044F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863F3"/>
    <w:multiLevelType w:val="hybridMultilevel"/>
    <w:tmpl w:val="B852DAF0"/>
    <w:lvl w:ilvl="0" w:tplc="0DB8C6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A25AD"/>
    <w:multiLevelType w:val="hybridMultilevel"/>
    <w:tmpl w:val="F628E23C"/>
    <w:lvl w:ilvl="0" w:tplc="40E858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1"/>
  </w:num>
  <w:num w:numId="13">
    <w:abstractNumId w:val="10"/>
  </w:num>
  <w:num w:numId="14">
    <w:abstractNumId w:val="15"/>
  </w:num>
  <w:num w:numId="15">
    <w:abstractNumId w:val="17"/>
  </w:num>
  <w:num w:numId="16">
    <w:abstractNumId w:val="18"/>
  </w:num>
  <w:num w:numId="17">
    <w:abstractNumId w:val="13"/>
  </w:num>
  <w:num w:numId="18">
    <w:abstractNumId w:val="12"/>
  </w:num>
  <w:num w:numId="19">
    <w:abstractNumId w:val="16"/>
  </w:num>
  <w:numIdMacAtCleanup w:val="16"/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17291277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fr-CA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n-CA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dataType w:val="native"/>
    <w:connectString w:val="Provider=Microsoft.ACE.OLEDB.12.0;User ID=Admin;Data Source=&quot;&quot;;Mode=Share Deny None;Extended Properties=&quot;Outlook 9.0;MAPILEVEL=milagros.riscoquiroz@tc.gc.ca|;TABLETYPE=0;DATABASE=C:\Users\riscoqm\AppData\Local\Temp\OfficeMMergeTempDir\OLK56E6.tmp;COLSETVE"/>
    <w:query w:val="SELECT * FROM `Contacts` "/>
    <w:odso>
      <w:udl w:val="Provider=Microsoft.ACE.OLEDB.12.0;User ID=Admin;Data Source=&quot;&quot;;Mode=Share Deny None;Extended Properties=&quot;Outlook 9.0;MAPILEVEL=milagros.riscoquiroz@tc.gc.ca|;TABLETYPE=0;DATABASE=C:\Users\riscoqm\AppData\Local\Temp\OfficeMMergeTempDir\OLK56E6.tmp;COLSETVE"/>
      <w:table w:val="Contacts"/>
      <w:src r:id="rId2"/>
      <w:colDelim w:val="9"/>
      <w:type w:val="email"/>
      <w:fHdr/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/Partner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3"/>
    </w:odso>
  </w:mailMerge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numFmt w:val="chicago"/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B1"/>
    <w:rsid w:val="00000317"/>
    <w:rsid w:val="000007DC"/>
    <w:rsid w:val="00001841"/>
    <w:rsid w:val="0000228F"/>
    <w:rsid w:val="00002D04"/>
    <w:rsid w:val="00002D67"/>
    <w:rsid w:val="0000394A"/>
    <w:rsid w:val="000040A6"/>
    <w:rsid w:val="00004370"/>
    <w:rsid w:val="00005D57"/>
    <w:rsid w:val="000074BE"/>
    <w:rsid w:val="000107E9"/>
    <w:rsid w:val="000166A0"/>
    <w:rsid w:val="000166D2"/>
    <w:rsid w:val="00017869"/>
    <w:rsid w:val="00023E64"/>
    <w:rsid w:val="00023F08"/>
    <w:rsid w:val="00024541"/>
    <w:rsid w:val="00044590"/>
    <w:rsid w:val="000471E5"/>
    <w:rsid w:val="000475ED"/>
    <w:rsid w:val="00047F82"/>
    <w:rsid w:val="000504CE"/>
    <w:rsid w:val="00050F6B"/>
    <w:rsid w:val="00051C19"/>
    <w:rsid w:val="00053E46"/>
    <w:rsid w:val="0005466E"/>
    <w:rsid w:val="000557B6"/>
    <w:rsid w:val="000572CA"/>
    <w:rsid w:val="000610C4"/>
    <w:rsid w:val="00062553"/>
    <w:rsid w:val="0006297D"/>
    <w:rsid w:val="000631DD"/>
    <w:rsid w:val="000659A5"/>
    <w:rsid w:val="000671C6"/>
    <w:rsid w:val="00072C8C"/>
    <w:rsid w:val="00080870"/>
    <w:rsid w:val="000821D6"/>
    <w:rsid w:val="000827B2"/>
    <w:rsid w:val="00082AB3"/>
    <w:rsid w:val="00083B73"/>
    <w:rsid w:val="000851D1"/>
    <w:rsid w:val="0009058E"/>
    <w:rsid w:val="00091419"/>
    <w:rsid w:val="000922E0"/>
    <w:rsid w:val="000931C0"/>
    <w:rsid w:val="000A250E"/>
    <w:rsid w:val="000A35A9"/>
    <w:rsid w:val="000A6CD8"/>
    <w:rsid w:val="000B0B2E"/>
    <w:rsid w:val="000B175B"/>
    <w:rsid w:val="000B2C16"/>
    <w:rsid w:val="000B39BB"/>
    <w:rsid w:val="000B3A0F"/>
    <w:rsid w:val="000B4B1A"/>
    <w:rsid w:val="000B533C"/>
    <w:rsid w:val="000B6298"/>
    <w:rsid w:val="000B6B6F"/>
    <w:rsid w:val="000B724B"/>
    <w:rsid w:val="000C1109"/>
    <w:rsid w:val="000C2086"/>
    <w:rsid w:val="000C49B0"/>
    <w:rsid w:val="000C75EA"/>
    <w:rsid w:val="000D247D"/>
    <w:rsid w:val="000D58F6"/>
    <w:rsid w:val="000D62DA"/>
    <w:rsid w:val="000D734E"/>
    <w:rsid w:val="000D77E6"/>
    <w:rsid w:val="000E0011"/>
    <w:rsid w:val="000E0415"/>
    <w:rsid w:val="000E2A34"/>
    <w:rsid w:val="000E44BD"/>
    <w:rsid w:val="000E5116"/>
    <w:rsid w:val="000F0309"/>
    <w:rsid w:val="000F2446"/>
    <w:rsid w:val="000F5B2C"/>
    <w:rsid w:val="000F6C26"/>
    <w:rsid w:val="000F7AB3"/>
    <w:rsid w:val="00101626"/>
    <w:rsid w:val="00102677"/>
    <w:rsid w:val="00105236"/>
    <w:rsid w:val="001071A8"/>
    <w:rsid w:val="0011251D"/>
    <w:rsid w:val="00117787"/>
    <w:rsid w:val="00120F92"/>
    <w:rsid w:val="00122880"/>
    <w:rsid w:val="00130FC4"/>
    <w:rsid w:val="00131D42"/>
    <w:rsid w:val="001323D2"/>
    <w:rsid w:val="00134187"/>
    <w:rsid w:val="00155934"/>
    <w:rsid w:val="00155B65"/>
    <w:rsid w:val="0015647E"/>
    <w:rsid w:val="00157DBF"/>
    <w:rsid w:val="00160A3A"/>
    <w:rsid w:val="00161711"/>
    <w:rsid w:val="001633FB"/>
    <w:rsid w:val="001651AC"/>
    <w:rsid w:val="00167786"/>
    <w:rsid w:val="00170655"/>
    <w:rsid w:val="001715C8"/>
    <w:rsid w:val="00171FFE"/>
    <w:rsid w:val="00172389"/>
    <w:rsid w:val="001733F9"/>
    <w:rsid w:val="001748A5"/>
    <w:rsid w:val="00174C67"/>
    <w:rsid w:val="00176C7F"/>
    <w:rsid w:val="00176E35"/>
    <w:rsid w:val="001810F7"/>
    <w:rsid w:val="0018275A"/>
    <w:rsid w:val="001847B8"/>
    <w:rsid w:val="00184E75"/>
    <w:rsid w:val="001907BC"/>
    <w:rsid w:val="00191888"/>
    <w:rsid w:val="00191BF8"/>
    <w:rsid w:val="0019233D"/>
    <w:rsid w:val="001924C5"/>
    <w:rsid w:val="00197E66"/>
    <w:rsid w:val="001A23B8"/>
    <w:rsid w:val="001A537C"/>
    <w:rsid w:val="001A578B"/>
    <w:rsid w:val="001A5989"/>
    <w:rsid w:val="001A6020"/>
    <w:rsid w:val="001B379A"/>
    <w:rsid w:val="001B392C"/>
    <w:rsid w:val="001B4B04"/>
    <w:rsid w:val="001C35FF"/>
    <w:rsid w:val="001C3E76"/>
    <w:rsid w:val="001C47E0"/>
    <w:rsid w:val="001C5204"/>
    <w:rsid w:val="001C5695"/>
    <w:rsid w:val="001C6663"/>
    <w:rsid w:val="001C69C5"/>
    <w:rsid w:val="001C7526"/>
    <w:rsid w:val="001C7895"/>
    <w:rsid w:val="001C789F"/>
    <w:rsid w:val="001D26DF"/>
    <w:rsid w:val="001D2C9C"/>
    <w:rsid w:val="001D2FDC"/>
    <w:rsid w:val="001D4140"/>
    <w:rsid w:val="001D45D9"/>
    <w:rsid w:val="001D4FA6"/>
    <w:rsid w:val="001D5B71"/>
    <w:rsid w:val="001D5C75"/>
    <w:rsid w:val="001D754B"/>
    <w:rsid w:val="001D79DB"/>
    <w:rsid w:val="001E0B44"/>
    <w:rsid w:val="001E735A"/>
    <w:rsid w:val="001F2926"/>
    <w:rsid w:val="001F3FA0"/>
    <w:rsid w:val="001F6AFE"/>
    <w:rsid w:val="001F6BDE"/>
    <w:rsid w:val="001F7F9A"/>
    <w:rsid w:val="00201F4E"/>
    <w:rsid w:val="00202F07"/>
    <w:rsid w:val="002044E4"/>
    <w:rsid w:val="00204BF4"/>
    <w:rsid w:val="002054C0"/>
    <w:rsid w:val="00210B9C"/>
    <w:rsid w:val="00211033"/>
    <w:rsid w:val="00211E0B"/>
    <w:rsid w:val="002137CD"/>
    <w:rsid w:val="00213AFD"/>
    <w:rsid w:val="0021419C"/>
    <w:rsid w:val="00224A78"/>
    <w:rsid w:val="002260C1"/>
    <w:rsid w:val="002309A7"/>
    <w:rsid w:val="002314C8"/>
    <w:rsid w:val="0023193F"/>
    <w:rsid w:val="00232EC4"/>
    <w:rsid w:val="00232FBE"/>
    <w:rsid w:val="0023334A"/>
    <w:rsid w:val="002349DF"/>
    <w:rsid w:val="00234AEB"/>
    <w:rsid w:val="00237785"/>
    <w:rsid w:val="00240131"/>
    <w:rsid w:val="00240442"/>
    <w:rsid w:val="00241466"/>
    <w:rsid w:val="00247ECF"/>
    <w:rsid w:val="0025260A"/>
    <w:rsid w:val="00253C6A"/>
    <w:rsid w:val="00254AD0"/>
    <w:rsid w:val="00255C1E"/>
    <w:rsid w:val="00256559"/>
    <w:rsid w:val="00257EFA"/>
    <w:rsid w:val="00260855"/>
    <w:rsid w:val="00262682"/>
    <w:rsid w:val="0026301B"/>
    <w:rsid w:val="002656C7"/>
    <w:rsid w:val="002706C7"/>
    <w:rsid w:val="002725CA"/>
    <w:rsid w:val="00272F17"/>
    <w:rsid w:val="00274950"/>
    <w:rsid w:val="00277A29"/>
    <w:rsid w:val="00280EB7"/>
    <w:rsid w:val="00281C3B"/>
    <w:rsid w:val="0028476B"/>
    <w:rsid w:val="00285E86"/>
    <w:rsid w:val="00290594"/>
    <w:rsid w:val="002A04DA"/>
    <w:rsid w:val="002A0D53"/>
    <w:rsid w:val="002A20A9"/>
    <w:rsid w:val="002A24BE"/>
    <w:rsid w:val="002A2F69"/>
    <w:rsid w:val="002A67AC"/>
    <w:rsid w:val="002A67DE"/>
    <w:rsid w:val="002A6915"/>
    <w:rsid w:val="002A7EEA"/>
    <w:rsid w:val="002B0C8F"/>
    <w:rsid w:val="002B1CDA"/>
    <w:rsid w:val="002B4076"/>
    <w:rsid w:val="002B64D4"/>
    <w:rsid w:val="002C1797"/>
    <w:rsid w:val="002C1AE8"/>
    <w:rsid w:val="002C2549"/>
    <w:rsid w:val="002C358A"/>
    <w:rsid w:val="002C62EE"/>
    <w:rsid w:val="002D0EBC"/>
    <w:rsid w:val="002D109E"/>
    <w:rsid w:val="002D460D"/>
    <w:rsid w:val="002D5966"/>
    <w:rsid w:val="002E5B87"/>
    <w:rsid w:val="002F05C3"/>
    <w:rsid w:val="002F0BCB"/>
    <w:rsid w:val="002F26BA"/>
    <w:rsid w:val="002F2BD7"/>
    <w:rsid w:val="002F356C"/>
    <w:rsid w:val="002F4ABF"/>
    <w:rsid w:val="002F7275"/>
    <w:rsid w:val="0030197D"/>
    <w:rsid w:val="0030379C"/>
    <w:rsid w:val="00305C10"/>
    <w:rsid w:val="00306F11"/>
    <w:rsid w:val="003107FA"/>
    <w:rsid w:val="00311C04"/>
    <w:rsid w:val="0031519F"/>
    <w:rsid w:val="00315456"/>
    <w:rsid w:val="0032058E"/>
    <w:rsid w:val="003214E2"/>
    <w:rsid w:val="003227D3"/>
    <w:rsid w:val="0032293B"/>
    <w:rsid w:val="003229D8"/>
    <w:rsid w:val="00323424"/>
    <w:rsid w:val="00323B87"/>
    <w:rsid w:val="0032486A"/>
    <w:rsid w:val="00327234"/>
    <w:rsid w:val="0032724E"/>
    <w:rsid w:val="00337633"/>
    <w:rsid w:val="00337FD0"/>
    <w:rsid w:val="0034155F"/>
    <w:rsid w:val="00342094"/>
    <w:rsid w:val="0034759C"/>
    <w:rsid w:val="00356A12"/>
    <w:rsid w:val="00356EED"/>
    <w:rsid w:val="003572BF"/>
    <w:rsid w:val="0036093B"/>
    <w:rsid w:val="0036127B"/>
    <w:rsid w:val="00361CCE"/>
    <w:rsid w:val="003637DE"/>
    <w:rsid w:val="003642EC"/>
    <w:rsid w:val="00367FE7"/>
    <w:rsid w:val="003713EE"/>
    <w:rsid w:val="00371BAA"/>
    <w:rsid w:val="0037481E"/>
    <w:rsid w:val="00374968"/>
    <w:rsid w:val="00375E5A"/>
    <w:rsid w:val="00375E8A"/>
    <w:rsid w:val="00380674"/>
    <w:rsid w:val="00383E92"/>
    <w:rsid w:val="00384F4D"/>
    <w:rsid w:val="003862EC"/>
    <w:rsid w:val="003870A0"/>
    <w:rsid w:val="003920BD"/>
    <w:rsid w:val="0039277A"/>
    <w:rsid w:val="00392D73"/>
    <w:rsid w:val="00392F28"/>
    <w:rsid w:val="00393809"/>
    <w:rsid w:val="003941EC"/>
    <w:rsid w:val="00395000"/>
    <w:rsid w:val="00395562"/>
    <w:rsid w:val="003972E0"/>
    <w:rsid w:val="003A0013"/>
    <w:rsid w:val="003A0447"/>
    <w:rsid w:val="003A0715"/>
    <w:rsid w:val="003A0C75"/>
    <w:rsid w:val="003A1BC0"/>
    <w:rsid w:val="003A5CDB"/>
    <w:rsid w:val="003B60ED"/>
    <w:rsid w:val="003B79A3"/>
    <w:rsid w:val="003C2CC4"/>
    <w:rsid w:val="003C46DC"/>
    <w:rsid w:val="003D330F"/>
    <w:rsid w:val="003D4B23"/>
    <w:rsid w:val="003D679A"/>
    <w:rsid w:val="003E15FE"/>
    <w:rsid w:val="003E3191"/>
    <w:rsid w:val="003E3C81"/>
    <w:rsid w:val="003E5A57"/>
    <w:rsid w:val="003F776B"/>
    <w:rsid w:val="00403141"/>
    <w:rsid w:val="00403EE5"/>
    <w:rsid w:val="004043C0"/>
    <w:rsid w:val="00410C3D"/>
    <w:rsid w:val="004165F4"/>
    <w:rsid w:val="0041772D"/>
    <w:rsid w:val="0042233A"/>
    <w:rsid w:val="00423C90"/>
    <w:rsid w:val="004251AA"/>
    <w:rsid w:val="00425935"/>
    <w:rsid w:val="004260AE"/>
    <w:rsid w:val="004262E2"/>
    <w:rsid w:val="00427852"/>
    <w:rsid w:val="004319D4"/>
    <w:rsid w:val="00431FA3"/>
    <w:rsid w:val="004325CB"/>
    <w:rsid w:val="00432930"/>
    <w:rsid w:val="004339E2"/>
    <w:rsid w:val="00434474"/>
    <w:rsid w:val="00435245"/>
    <w:rsid w:val="004361A5"/>
    <w:rsid w:val="004377D0"/>
    <w:rsid w:val="00437F3F"/>
    <w:rsid w:val="00440000"/>
    <w:rsid w:val="00442DF8"/>
    <w:rsid w:val="00444298"/>
    <w:rsid w:val="00445D6A"/>
    <w:rsid w:val="00446DE4"/>
    <w:rsid w:val="00451925"/>
    <w:rsid w:val="00454036"/>
    <w:rsid w:val="004540E2"/>
    <w:rsid w:val="00454594"/>
    <w:rsid w:val="0046122A"/>
    <w:rsid w:val="00461FA4"/>
    <w:rsid w:val="00465AFB"/>
    <w:rsid w:val="00466628"/>
    <w:rsid w:val="00470BF5"/>
    <w:rsid w:val="00472C55"/>
    <w:rsid w:val="004748A4"/>
    <w:rsid w:val="00477D30"/>
    <w:rsid w:val="004818A8"/>
    <w:rsid w:val="00483009"/>
    <w:rsid w:val="00484670"/>
    <w:rsid w:val="004846CE"/>
    <w:rsid w:val="00485E8C"/>
    <w:rsid w:val="00490EF3"/>
    <w:rsid w:val="004914ED"/>
    <w:rsid w:val="00494711"/>
    <w:rsid w:val="00497603"/>
    <w:rsid w:val="00497CF9"/>
    <w:rsid w:val="004A01E4"/>
    <w:rsid w:val="004A0C51"/>
    <w:rsid w:val="004A15B3"/>
    <w:rsid w:val="004A21F6"/>
    <w:rsid w:val="004B13AB"/>
    <w:rsid w:val="004B2C9D"/>
    <w:rsid w:val="004B329F"/>
    <w:rsid w:val="004B3FBD"/>
    <w:rsid w:val="004B64A7"/>
    <w:rsid w:val="004B7305"/>
    <w:rsid w:val="004C2282"/>
    <w:rsid w:val="004C29BD"/>
    <w:rsid w:val="004C35BA"/>
    <w:rsid w:val="004C4EC4"/>
    <w:rsid w:val="004C5DF6"/>
    <w:rsid w:val="004C5E2B"/>
    <w:rsid w:val="004C6FBA"/>
    <w:rsid w:val="004C71B6"/>
    <w:rsid w:val="004D279B"/>
    <w:rsid w:val="004D5135"/>
    <w:rsid w:val="004D5146"/>
    <w:rsid w:val="004D7089"/>
    <w:rsid w:val="004D7F89"/>
    <w:rsid w:val="004E05DD"/>
    <w:rsid w:val="004E2AA4"/>
    <w:rsid w:val="004E2F7D"/>
    <w:rsid w:val="004E38B5"/>
    <w:rsid w:val="004E5F43"/>
    <w:rsid w:val="004E68C8"/>
    <w:rsid w:val="004F0095"/>
    <w:rsid w:val="004F0881"/>
    <w:rsid w:val="004F1C4D"/>
    <w:rsid w:val="004F2F63"/>
    <w:rsid w:val="004F5402"/>
    <w:rsid w:val="004F60F8"/>
    <w:rsid w:val="005011CC"/>
    <w:rsid w:val="00501D25"/>
    <w:rsid w:val="00505A41"/>
    <w:rsid w:val="005076F4"/>
    <w:rsid w:val="005101B1"/>
    <w:rsid w:val="005114CD"/>
    <w:rsid w:val="00515E41"/>
    <w:rsid w:val="00521E30"/>
    <w:rsid w:val="00522AC0"/>
    <w:rsid w:val="005248AD"/>
    <w:rsid w:val="00524C5A"/>
    <w:rsid w:val="00525DE7"/>
    <w:rsid w:val="00527910"/>
    <w:rsid w:val="00527B6F"/>
    <w:rsid w:val="005420F2"/>
    <w:rsid w:val="005458AF"/>
    <w:rsid w:val="00547C8F"/>
    <w:rsid w:val="005500DD"/>
    <w:rsid w:val="005501BE"/>
    <w:rsid w:val="00555259"/>
    <w:rsid w:val="00562335"/>
    <w:rsid w:val="00563498"/>
    <w:rsid w:val="00563641"/>
    <w:rsid w:val="00564E59"/>
    <w:rsid w:val="005714C2"/>
    <w:rsid w:val="00572B56"/>
    <w:rsid w:val="00574763"/>
    <w:rsid w:val="00575C40"/>
    <w:rsid w:val="00576502"/>
    <w:rsid w:val="00583E2F"/>
    <w:rsid w:val="00585279"/>
    <w:rsid w:val="0059013F"/>
    <w:rsid w:val="00590144"/>
    <w:rsid w:val="0059422A"/>
    <w:rsid w:val="0059588D"/>
    <w:rsid w:val="00597EAD"/>
    <w:rsid w:val="00597FF3"/>
    <w:rsid w:val="005A11CC"/>
    <w:rsid w:val="005A3CFA"/>
    <w:rsid w:val="005A4196"/>
    <w:rsid w:val="005A4975"/>
    <w:rsid w:val="005B03C6"/>
    <w:rsid w:val="005B13E0"/>
    <w:rsid w:val="005B23F5"/>
    <w:rsid w:val="005B3DB3"/>
    <w:rsid w:val="005B5306"/>
    <w:rsid w:val="005B5E31"/>
    <w:rsid w:val="005B77D7"/>
    <w:rsid w:val="005B77F6"/>
    <w:rsid w:val="005B7997"/>
    <w:rsid w:val="005C4A54"/>
    <w:rsid w:val="005C4B47"/>
    <w:rsid w:val="005C6796"/>
    <w:rsid w:val="005C7602"/>
    <w:rsid w:val="005D2018"/>
    <w:rsid w:val="005D207E"/>
    <w:rsid w:val="005D5DD6"/>
    <w:rsid w:val="005E4DAB"/>
    <w:rsid w:val="005E5473"/>
    <w:rsid w:val="005E5A6F"/>
    <w:rsid w:val="005E731E"/>
    <w:rsid w:val="005F0984"/>
    <w:rsid w:val="005F1CBC"/>
    <w:rsid w:val="005F457B"/>
    <w:rsid w:val="0060185B"/>
    <w:rsid w:val="00602B1D"/>
    <w:rsid w:val="00604E72"/>
    <w:rsid w:val="006058EA"/>
    <w:rsid w:val="00610F36"/>
    <w:rsid w:val="00611FC4"/>
    <w:rsid w:val="00614BED"/>
    <w:rsid w:val="006176FB"/>
    <w:rsid w:val="006200EB"/>
    <w:rsid w:val="006204D9"/>
    <w:rsid w:val="006257DE"/>
    <w:rsid w:val="00625E3D"/>
    <w:rsid w:val="0062719D"/>
    <w:rsid w:val="00630C9C"/>
    <w:rsid w:val="0063158E"/>
    <w:rsid w:val="0063267D"/>
    <w:rsid w:val="00632868"/>
    <w:rsid w:val="0063419C"/>
    <w:rsid w:val="00634406"/>
    <w:rsid w:val="00634859"/>
    <w:rsid w:val="00634B75"/>
    <w:rsid w:val="0063648E"/>
    <w:rsid w:val="0063684C"/>
    <w:rsid w:val="006377C4"/>
    <w:rsid w:val="00640B26"/>
    <w:rsid w:val="006428D0"/>
    <w:rsid w:val="006459DE"/>
    <w:rsid w:val="00646840"/>
    <w:rsid w:val="006500BA"/>
    <w:rsid w:val="006531B9"/>
    <w:rsid w:val="00657913"/>
    <w:rsid w:val="00663E0E"/>
    <w:rsid w:val="00663EED"/>
    <w:rsid w:val="00665835"/>
    <w:rsid w:val="00666D2E"/>
    <w:rsid w:val="00666E76"/>
    <w:rsid w:val="00671C62"/>
    <w:rsid w:val="00673F39"/>
    <w:rsid w:val="00676449"/>
    <w:rsid w:val="00677B83"/>
    <w:rsid w:val="006829E2"/>
    <w:rsid w:val="00691F02"/>
    <w:rsid w:val="006923B5"/>
    <w:rsid w:val="00697658"/>
    <w:rsid w:val="006A0A3C"/>
    <w:rsid w:val="006A1372"/>
    <w:rsid w:val="006A32C7"/>
    <w:rsid w:val="006A7392"/>
    <w:rsid w:val="006A769D"/>
    <w:rsid w:val="006B1EFC"/>
    <w:rsid w:val="006B4408"/>
    <w:rsid w:val="006C0D34"/>
    <w:rsid w:val="006C27C4"/>
    <w:rsid w:val="006C2B3B"/>
    <w:rsid w:val="006C2BF3"/>
    <w:rsid w:val="006C3B12"/>
    <w:rsid w:val="006C649C"/>
    <w:rsid w:val="006D08B3"/>
    <w:rsid w:val="006D12B1"/>
    <w:rsid w:val="006D164D"/>
    <w:rsid w:val="006D2997"/>
    <w:rsid w:val="006E3859"/>
    <w:rsid w:val="006E49BF"/>
    <w:rsid w:val="006E564B"/>
    <w:rsid w:val="006F11B0"/>
    <w:rsid w:val="006F54C7"/>
    <w:rsid w:val="006F5664"/>
    <w:rsid w:val="006F60E6"/>
    <w:rsid w:val="006F6583"/>
    <w:rsid w:val="006F6850"/>
    <w:rsid w:val="006F750F"/>
    <w:rsid w:val="0070193B"/>
    <w:rsid w:val="00702140"/>
    <w:rsid w:val="00704177"/>
    <w:rsid w:val="00704CDB"/>
    <w:rsid w:val="007059BB"/>
    <w:rsid w:val="00705B77"/>
    <w:rsid w:val="007070C2"/>
    <w:rsid w:val="00711C13"/>
    <w:rsid w:val="00715D30"/>
    <w:rsid w:val="0071787C"/>
    <w:rsid w:val="00724AC6"/>
    <w:rsid w:val="00724AF6"/>
    <w:rsid w:val="0072632A"/>
    <w:rsid w:val="007277E4"/>
    <w:rsid w:val="007300E6"/>
    <w:rsid w:val="0073409B"/>
    <w:rsid w:val="007413E7"/>
    <w:rsid w:val="007419A2"/>
    <w:rsid w:val="00741D86"/>
    <w:rsid w:val="007434BC"/>
    <w:rsid w:val="00744314"/>
    <w:rsid w:val="00746D34"/>
    <w:rsid w:val="00755B9F"/>
    <w:rsid w:val="00755EE7"/>
    <w:rsid w:val="007575D9"/>
    <w:rsid w:val="00762E58"/>
    <w:rsid w:val="00762FF8"/>
    <w:rsid w:val="00770F8A"/>
    <w:rsid w:val="00771638"/>
    <w:rsid w:val="00772E16"/>
    <w:rsid w:val="00775504"/>
    <w:rsid w:val="00783107"/>
    <w:rsid w:val="007836A5"/>
    <w:rsid w:val="00783C68"/>
    <w:rsid w:val="00784A79"/>
    <w:rsid w:val="00787D6E"/>
    <w:rsid w:val="00790791"/>
    <w:rsid w:val="00790B34"/>
    <w:rsid w:val="00790C6F"/>
    <w:rsid w:val="0079173A"/>
    <w:rsid w:val="007965DD"/>
    <w:rsid w:val="00796AE1"/>
    <w:rsid w:val="0079781D"/>
    <w:rsid w:val="007A11A6"/>
    <w:rsid w:val="007A215C"/>
    <w:rsid w:val="007A2402"/>
    <w:rsid w:val="007A3C66"/>
    <w:rsid w:val="007A3F1A"/>
    <w:rsid w:val="007A3F9B"/>
    <w:rsid w:val="007A466F"/>
    <w:rsid w:val="007A7FCD"/>
    <w:rsid w:val="007B0212"/>
    <w:rsid w:val="007B08A0"/>
    <w:rsid w:val="007B08BC"/>
    <w:rsid w:val="007B0AE1"/>
    <w:rsid w:val="007B0CAE"/>
    <w:rsid w:val="007B12CA"/>
    <w:rsid w:val="007B1A7E"/>
    <w:rsid w:val="007B1E32"/>
    <w:rsid w:val="007B1F90"/>
    <w:rsid w:val="007B259D"/>
    <w:rsid w:val="007B6205"/>
    <w:rsid w:val="007B6BA5"/>
    <w:rsid w:val="007C1DB9"/>
    <w:rsid w:val="007C2CDD"/>
    <w:rsid w:val="007C3390"/>
    <w:rsid w:val="007C3478"/>
    <w:rsid w:val="007C4F4B"/>
    <w:rsid w:val="007C5AD6"/>
    <w:rsid w:val="007C71E7"/>
    <w:rsid w:val="007D061C"/>
    <w:rsid w:val="007D1711"/>
    <w:rsid w:val="007D51AB"/>
    <w:rsid w:val="007D6060"/>
    <w:rsid w:val="007E0CD6"/>
    <w:rsid w:val="007E2030"/>
    <w:rsid w:val="007E2510"/>
    <w:rsid w:val="007E3306"/>
    <w:rsid w:val="007E47BC"/>
    <w:rsid w:val="007E47F0"/>
    <w:rsid w:val="007E4DC1"/>
    <w:rsid w:val="007E5605"/>
    <w:rsid w:val="007E6BE9"/>
    <w:rsid w:val="007E6F7A"/>
    <w:rsid w:val="007F1BEF"/>
    <w:rsid w:val="007F6611"/>
    <w:rsid w:val="007F6894"/>
    <w:rsid w:val="007F6CFC"/>
    <w:rsid w:val="007F779F"/>
    <w:rsid w:val="00803A83"/>
    <w:rsid w:val="00807E27"/>
    <w:rsid w:val="00811590"/>
    <w:rsid w:val="00812689"/>
    <w:rsid w:val="00814626"/>
    <w:rsid w:val="008175E9"/>
    <w:rsid w:val="00823B1A"/>
    <w:rsid w:val="008242D7"/>
    <w:rsid w:val="00824C37"/>
    <w:rsid w:val="00831BD4"/>
    <w:rsid w:val="0083214F"/>
    <w:rsid w:val="008336E9"/>
    <w:rsid w:val="00833861"/>
    <w:rsid w:val="00837A4D"/>
    <w:rsid w:val="0084209B"/>
    <w:rsid w:val="00845E22"/>
    <w:rsid w:val="008462CE"/>
    <w:rsid w:val="008468C9"/>
    <w:rsid w:val="00846CAC"/>
    <w:rsid w:val="00847442"/>
    <w:rsid w:val="00847CE3"/>
    <w:rsid w:val="00847F74"/>
    <w:rsid w:val="00854B0D"/>
    <w:rsid w:val="00860540"/>
    <w:rsid w:val="00862B52"/>
    <w:rsid w:val="00867465"/>
    <w:rsid w:val="00871FD5"/>
    <w:rsid w:val="00873517"/>
    <w:rsid w:val="008735F4"/>
    <w:rsid w:val="00874248"/>
    <w:rsid w:val="008742CA"/>
    <w:rsid w:val="00875CA0"/>
    <w:rsid w:val="00875EAC"/>
    <w:rsid w:val="008807E1"/>
    <w:rsid w:val="0088389B"/>
    <w:rsid w:val="00884FD0"/>
    <w:rsid w:val="008860CF"/>
    <w:rsid w:val="00886126"/>
    <w:rsid w:val="00886C8B"/>
    <w:rsid w:val="008904EE"/>
    <w:rsid w:val="00894BC2"/>
    <w:rsid w:val="00895E97"/>
    <w:rsid w:val="008979B1"/>
    <w:rsid w:val="008A5C03"/>
    <w:rsid w:val="008A6720"/>
    <w:rsid w:val="008A6793"/>
    <w:rsid w:val="008A6B25"/>
    <w:rsid w:val="008A6C4F"/>
    <w:rsid w:val="008A7848"/>
    <w:rsid w:val="008B1090"/>
    <w:rsid w:val="008B18FB"/>
    <w:rsid w:val="008B57B7"/>
    <w:rsid w:val="008B6305"/>
    <w:rsid w:val="008C1297"/>
    <w:rsid w:val="008C1C03"/>
    <w:rsid w:val="008C31F8"/>
    <w:rsid w:val="008C6C09"/>
    <w:rsid w:val="008D1AA7"/>
    <w:rsid w:val="008D52F5"/>
    <w:rsid w:val="008D53CE"/>
    <w:rsid w:val="008E0E46"/>
    <w:rsid w:val="008E426B"/>
    <w:rsid w:val="008E4815"/>
    <w:rsid w:val="008E6D4B"/>
    <w:rsid w:val="008E6E62"/>
    <w:rsid w:val="008F007C"/>
    <w:rsid w:val="008F34EF"/>
    <w:rsid w:val="008F3E5A"/>
    <w:rsid w:val="008F4264"/>
    <w:rsid w:val="008F77DF"/>
    <w:rsid w:val="008F79EE"/>
    <w:rsid w:val="00901358"/>
    <w:rsid w:val="00903583"/>
    <w:rsid w:val="00904311"/>
    <w:rsid w:val="00904FD7"/>
    <w:rsid w:val="009073A2"/>
    <w:rsid w:val="009077A9"/>
    <w:rsid w:val="00921AFE"/>
    <w:rsid w:val="00922880"/>
    <w:rsid w:val="00926BE4"/>
    <w:rsid w:val="00927A34"/>
    <w:rsid w:val="00927DB4"/>
    <w:rsid w:val="0093415A"/>
    <w:rsid w:val="00934D43"/>
    <w:rsid w:val="00935225"/>
    <w:rsid w:val="009358FF"/>
    <w:rsid w:val="00935B7E"/>
    <w:rsid w:val="00935E36"/>
    <w:rsid w:val="00944C34"/>
    <w:rsid w:val="009452E5"/>
    <w:rsid w:val="00945A5D"/>
    <w:rsid w:val="0094634D"/>
    <w:rsid w:val="00946539"/>
    <w:rsid w:val="00946A04"/>
    <w:rsid w:val="00950FF0"/>
    <w:rsid w:val="00951107"/>
    <w:rsid w:val="00952FE5"/>
    <w:rsid w:val="00953226"/>
    <w:rsid w:val="009535FB"/>
    <w:rsid w:val="00953ABB"/>
    <w:rsid w:val="00953BD1"/>
    <w:rsid w:val="00957117"/>
    <w:rsid w:val="0096173D"/>
    <w:rsid w:val="00962AD6"/>
    <w:rsid w:val="00963CBA"/>
    <w:rsid w:val="0096654C"/>
    <w:rsid w:val="00970B71"/>
    <w:rsid w:val="00970F67"/>
    <w:rsid w:val="0097213C"/>
    <w:rsid w:val="0097321C"/>
    <w:rsid w:val="0097518C"/>
    <w:rsid w:val="009854F2"/>
    <w:rsid w:val="00986450"/>
    <w:rsid w:val="00986958"/>
    <w:rsid w:val="0099124E"/>
    <w:rsid w:val="00991261"/>
    <w:rsid w:val="00995009"/>
    <w:rsid w:val="00996143"/>
    <w:rsid w:val="0099618E"/>
    <w:rsid w:val="009A0768"/>
    <w:rsid w:val="009A1C82"/>
    <w:rsid w:val="009A7B63"/>
    <w:rsid w:val="009B0B1C"/>
    <w:rsid w:val="009B406B"/>
    <w:rsid w:val="009B5AD1"/>
    <w:rsid w:val="009B66D4"/>
    <w:rsid w:val="009C1782"/>
    <w:rsid w:val="009C48E5"/>
    <w:rsid w:val="009C71E2"/>
    <w:rsid w:val="009D1AAE"/>
    <w:rsid w:val="009D344E"/>
    <w:rsid w:val="009D3E53"/>
    <w:rsid w:val="009D4B18"/>
    <w:rsid w:val="009E142D"/>
    <w:rsid w:val="009E3730"/>
    <w:rsid w:val="009E38E3"/>
    <w:rsid w:val="009E42A4"/>
    <w:rsid w:val="009F0F06"/>
    <w:rsid w:val="009F1F45"/>
    <w:rsid w:val="009F3A76"/>
    <w:rsid w:val="009F435B"/>
    <w:rsid w:val="009F4402"/>
    <w:rsid w:val="009F7E4B"/>
    <w:rsid w:val="00A02014"/>
    <w:rsid w:val="00A04228"/>
    <w:rsid w:val="00A133AD"/>
    <w:rsid w:val="00A1427D"/>
    <w:rsid w:val="00A15703"/>
    <w:rsid w:val="00A16EE1"/>
    <w:rsid w:val="00A20A7B"/>
    <w:rsid w:val="00A2398C"/>
    <w:rsid w:val="00A5014C"/>
    <w:rsid w:val="00A530EE"/>
    <w:rsid w:val="00A606E3"/>
    <w:rsid w:val="00A6356E"/>
    <w:rsid w:val="00A66896"/>
    <w:rsid w:val="00A7050B"/>
    <w:rsid w:val="00A72F22"/>
    <w:rsid w:val="00A73040"/>
    <w:rsid w:val="00A748A6"/>
    <w:rsid w:val="00A74E68"/>
    <w:rsid w:val="00A75B6F"/>
    <w:rsid w:val="00A75EC9"/>
    <w:rsid w:val="00A80C86"/>
    <w:rsid w:val="00A8205B"/>
    <w:rsid w:val="00A84143"/>
    <w:rsid w:val="00A84761"/>
    <w:rsid w:val="00A8523D"/>
    <w:rsid w:val="00A879A4"/>
    <w:rsid w:val="00A87CAE"/>
    <w:rsid w:val="00A900E0"/>
    <w:rsid w:val="00A922AC"/>
    <w:rsid w:val="00A93914"/>
    <w:rsid w:val="00A93B0B"/>
    <w:rsid w:val="00A93EFD"/>
    <w:rsid w:val="00A947BE"/>
    <w:rsid w:val="00A97364"/>
    <w:rsid w:val="00AA04C0"/>
    <w:rsid w:val="00AB28ED"/>
    <w:rsid w:val="00AB2D8E"/>
    <w:rsid w:val="00AC1D2F"/>
    <w:rsid w:val="00AC4B81"/>
    <w:rsid w:val="00AC5C14"/>
    <w:rsid w:val="00AC7C2F"/>
    <w:rsid w:val="00AD09C1"/>
    <w:rsid w:val="00AD17A1"/>
    <w:rsid w:val="00AD22A1"/>
    <w:rsid w:val="00AD4A2A"/>
    <w:rsid w:val="00AD7A50"/>
    <w:rsid w:val="00AE0003"/>
    <w:rsid w:val="00AE06E2"/>
    <w:rsid w:val="00AE3A7F"/>
    <w:rsid w:val="00AE5C5F"/>
    <w:rsid w:val="00AE7C63"/>
    <w:rsid w:val="00AF0D5A"/>
    <w:rsid w:val="00AF130D"/>
    <w:rsid w:val="00AF247B"/>
    <w:rsid w:val="00AF2821"/>
    <w:rsid w:val="00AF30F3"/>
    <w:rsid w:val="00AF3C04"/>
    <w:rsid w:val="00AF523B"/>
    <w:rsid w:val="00AF56F0"/>
    <w:rsid w:val="00AF6438"/>
    <w:rsid w:val="00AF7B3C"/>
    <w:rsid w:val="00B00C30"/>
    <w:rsid w:val="00B01676"/>
    <w:rsid w:val="00B02020"/>
    <w:rsid w:val="00B020FF"/>
    <w:rsid w:val="00B02996"/>
    <w:rsid w:val="00B06A8F"/>
    <w:rsid w:val="00B07817"/>
    <w:rsid w:val="00B12418"/>
    <w:rsid w:val="00B1271B"/>
    <w:rsid w:val="00B13899"/>
    <w:rsid w:val="00B14EA8"/>
    <w:rsid w:val="00B175F1"/>
    <w:rsid w:val="00B20E0A"/>
    <w:rsid w:val="00B20FD5"/>
    <w:rsid w:val="00B21220"/>
    <w:rsid w:val="00B22069"/>
    <w:rsid w:val="00B250D7"/>
    <w:rsid w:val="00B30179"/>
    <w:rsid w:val="00B3094C"/>
    <w:rsid w:val="00B30FA9"/>
    <w:rsid w:val="00B3317B"/>
    <w:rsid w:val="00B3506A"/>
    <w:rsid w:val="00B40C43"/>
    <w:rsid w:val="00B41E3C"/>
    <w:rsid w:val="00B43568"/>
    <w:rsid w:val="00B44060"/>
    <w:rsid w:val="00B453AE"/>
    <w:rsid w:val="00B51A46"/>
    <w:rsid w:val="00B5278E"/>
    <w:rsid w:val="00B55093"/>
    <w:rsid w:val="00B61468"/>
    <w:rsid w:val="00B621E4"/>
    <w:rsid w:val="00B707EC"/>
    <w:rsid w:val="00B73F1A"/>
    <w:rsid w:val="00B748ED"/>
    <w:rsid w:val="00B8002F"/>
    <w:rsid w:val="00B808D9"/>
    <w:rsid w:val="00B80C2E"/>
    <w:rsid w:val="00B810D8"/>
    <w:rsid w:val="00B81E12"/>
    <w:rsid w:val="00B85163"/>
    <w:rsid w:val="00B93068"/>
    <w:rsid w:val="00B93BCD"/>
    <w:rsid w:val="00B948E3"/>
    <w:rsid w:val="00B960C8"/>
    <w:rsid w:val="00B96709"/>
    <w:rsid w:val="00BA097C"/>
    <w:rsid w:val="00BA2C06"/>
    <w:rsid w:val="00BA6930"/>
    <w:rsid w:val="00BB0133"/>
    <w:rsid w:val="00BB027F"/>
    <w:rsid w:val="00BB0BB7"/>
    <w:rsid w:val="00BB3537"/>
    <w:rsid w:val="00BB5CA5"/>
    <w:rsid w:val="00BB643D"/>
    <w:rsid w:val="00BC0378"/>
    <w:rsid w:val="00BC11BC"/>
    <w:rsid w:val="00BC1BF4"/>
    <w:rsid w:val="00BC37E5"/>
    <w:rsid w:val="00BC4EA5"/>
    <w:rsid w:val="00BC5CDE"/>
    <w:rsid w:val="00BC6633"/>
    <w:rsid w:val="00BC74E9"/>
    <w:rsid w:val="00BC7A06"/>
    <w:rsid w:val="00BD0239"/>
    <w:rsid w:val="00BD1417"/>
    <w:rsid w:val="00BD36D9"/>
    <w:rsid w:val="00BE2050"/>
    <w:rsid w:val="00BE2A38"/>
    <w:rsid w:val="00BE395B"/>
    <w:rsid w:val="00BE48ED"/>
    <w:rsid w:val="00BE618E"/>
    <w:rsid w:val="00BF169C"/>
    <w:rsid w:val="00BF1B47"/>
    <w:rsid w:val="00BF2E97"/>
    <w:rsid w:val="00BF40E0"/>
    <w:rsid w:val="00BF7DE7"/>
    <w:rsid w:val="00C031EF"/>
    <w:rsid w:val="00C03713"/>
    <w:rsid w:val="00C041CC"/>
    <w:rsid w:val="00C05730"/>
    <w:rsid w:val="00C0604F"/>
    <w:rsid w:val="00C06E89"/>
    <w:rsid w:val="00C07080"/>
    <w:rsid w:val="00C0733A"/>
    <w:rsid w:val="00C07513"/>
    <w:rsid w:val="00C07A73"/>
    <w:rsid w:val="00C10F42"/>
    <w:rsid w:val="00C1507E"/>
    <w:rsid w:val="00C1521E"/>
    <w:rsid w:val="00C16486"/>
    <w:rsid w:val="00C166FB"/>
    <w:rsid w:val="00C2092B"/>
    <w:rsid w:val="00C24726"/>
    <w:rsid w:val="00C25EFC"/>
    <w:rsid w:val="00C30313"/>
    <w:rsid w:val="00C35A6D"/>
    <w:rsid w:val="00C376C4"/>
    <w:rsid w:val="00C41BE9"/>
    <w:rsid w:val="00C42151"/>
    <w:rsid w:val="00C43125"/>
    <w:rsid w:val="00C44164"/>
    <w:rsid w:val="00C44E98"/>
    <w:rsid w:val="00C4557C"/>
    <w:rsid w:val="00C463DD"/>
    <w:rsid w:val="00C518F9"/>
    <w:rsid w:val="00C54862"/>
    <w:rsid w:val="00C55F0B"/>
    <w:rsid w:val="00C567D9"/>
    <w:rsid w:val="00C60B1B"/>
    <w:rsid w:val="00C62F76"/>
    <w:rsid w:val="00C65943"/>
    <w:rsid w:val="00C667C8"/>
    <w:rsid w:val="00C67542"/>
    <w:rsid w:val="00C675C9"/>
    <w:rsid w:val="00C70190"/>
    <w:rsid w:val="00C715AC"/>
    <w:rsid w:val="00C727BE"/>
    <w:rsid w:val="00C740D6"/>
    <w:rsid w:val="00C745C3"/>
    <w:rsid w:val="00C80FF4"/>
    <w:rsid w:val="00C859C5"/>
    <w:rsid w:val="00C876E9"/>
    <w:rsid w:val="00C90A8F"/>
    <w:rsid w:val="00C94877"/>
    <w:rsid w:val="00CA0304"/>
    <w:rsid w:val="00CA2FB6"/>
    <w:rsid w:val="00CA7394"/>
    <w:rsid w:val="00CA7A85"/>
    <w:rsid w:val="00CA7D57"/>
    <w:rsid w:val="00CB164C"/>
    <w:rsid w:val="00CB2FC3"/>
    <w:rsid w:val="00CB3924"/>
    <w:rsid w:val="00CB44CD"/>
    <w:rsid w:val="00CB4E01"/>
    <w:rsid w:val="00CB567B"/>
    <w:rsid w:val="00CB5FA9"/>
    <w:rsid w:val="00CB6EE3"/>
    <w:rsid w:val="00CB7926"/>
    <w:rsid w:val="00CC0530"/>
    <w:rsid w:val="00CC0762"/>
    <w:rsid w:val="00CC1FB9"/>
    <w:rsid w:val="00CC38F0"/>
    <w:rsid w:val="00CC3AA0"/>
    <w:rsid w:val="00CC4060"/>
    <w:rsid w:val="00CC5473"/>
    <w:rsid w:val="00CC6EB8"/>
    <w:rsid w:val="00CC7352"/>
    <w:rsid w:val="00CD3225"/>
    <w:rsid w:val="00CD401B"/>
    <w:rsid w:val="00CD4DBA"/>
    <w:rsid w:val="00CD5FED"/>
    <w:rsid w:val="00CD6E3A"/>
    <w:rsid w:val="00CD71AF"/>
    <w:rsid w:val="00CE0E6B"/>
    <w:rsid w:val="00CE2B43"/>
    <w:rsid w:val="00CE2F69"/>
    <w:rsid w:val="00CE46BA"/>
    <w:rsid w:val="00CE4A8F"/>
    <w:rsid w:val="00CE5C55"/>
    <w:rsid w:val="00CE5C76"/>
    <w:rsid w:val="00CE79BA"/>
    <w:rsid w:val="00CF1038"/>
    <w:rsid w:val="00CF28AE"/>
    <w:rsid w:val="00CF4A88"/>
    <w:rsid w:val="00CF5E82"/>
    <w:rsid w:val="00CF74F9"/>
    <w:rsid w:val="00CF7E49"/>
    <w:rsid w:val="00D00418"/>
    <w:rsid w:val="00D029D2"/>
    <w:rsid w:val="00D05763"/>
    <w:rsid w:val="00D07CFD"/>
    <w:rsid w:val="00D10AE3"/>
    <w:rsid w:val="00D111F2"/>
    <w:rsid w:val="00D12328"/>
    <w:rsid w:val="00D1254E"/>
    <w:rsid w:val="00D13427"/>
    <w:rsid w:val="00D1524C"/>
    <w:rsid w:val="00D1552F"/>
    <w:rsid w:val="00D16675"/>
    <w:rsid w:val="00D20102"/>
    <w:rsid w:val="00D20210"/>
    <w:rsid w:val="00D2031B"/>
    <w:rsid w:val="00D20357"/>
    <w:rsid w:val="00D23745"/>
    <w:rsid w:val="00D2408F"/>
    <w:rsid w:val="00D24605"/>
    <w:rsid w:val="00D25FE2"/>
    <w:rsid w:val="00D265D3"/>
    <w:rsid w:val="00D26BE6"/>
    <w:rsid w:val="00D30B33"/>
    <w:rsid w:val="00D332FE"/>
    <w:rsid w:val="00D36FA5"/>
    <w:rsid w:val="00D37830"/>
    <w:rsid w:val="00D40043"/>
    <w:rsid w:val="00D42E41"/>
    <w:rsid w:val="00D43252"/>
    <w:rsid w:val="00D46231"/>
    <w:rsid w:val="00D46A54"/>
    <w:rsid w:val="00D47212"/>
    <w:rsid w:val="00D567E9"/>
    <w:rsid w:val="00D56BB8"/>
    <w:rsid w:val="00D577E4"/>
    <w:rsid w:val="00D579B1"/>
    <w:rsid w:val="00D6027D"/>
    <w:rsid w:val="00D625F6"/>
    <w:rsid w:val="00D63ED2"/>
    <w:rsid w:val="00D67D06"/>
    <w:rsid w:val="00D70205"/>
    <w:rsid w:val="00D71E33"/>
    <w:rsid w:val="00D729F2"/>
    <w:rsid w:val="00D73EBC"/>
    <w:rsid w:val="00D74166"/>
    <w:rsid w:val="00D753D8"/>
    <w:rsid w:val="00D770FE"/>
    <w:rsid w:val="00D776C0"/>
    <w:rsid w:val="00D84B01"/>
    <w:rsid w:val="00D869E2"/>
    <w:rsid w:val="00D86ACF"/>
    <w:rsid w:val="00D87A38"/>
    <w:rsid w:val="00D90BDF"/>
    <w:rsid w:val="00D92235"/>
    <w:rsid w:val="00D94813"/>
    <w:rsid w:val="00D948D6"/>
    <w:rsid w:val="00D95AEC"/>
    <w:rsid w:val="00D96AE7"/>
    <w:rsid w:val="00D96CC5"/>
    <w:rsid w:val="00D978C6"/>
    <w:rsid w:val="00DA09B4"/>
    <w:rsid w:val="00DA10B3"/>
    <w:rsid w:val="00DA3AB4"/>
    <w:rsid w:val="00DA4AA3"/>
    <w:rsid w:val="00DA5306"/>
    <w:rsid w:val="00DA67AD"/>
    <w:rsid w:val="00DA6D5E"/>
    <w:rsid w:val="00DB0865"/>
    <w:rsid w:val="00DB3E4B"/>
    <w:rsid w:val="00DB41E0"/>
    <w:rsid w:val="00DB4922"/>
    <w:rsid w:val="00DB4B8E"/>
    <w:rsid w:val="00DB59E9"/>
    <w:rsid w:val="00DB601F"/>
    <w:rsid w:val="00DB63BF"/>
    <w:rsid w:val="00DC0474"/>
    <w:rsid w:val="00DC158A"/>
    <w:rsid w:val="00DC1B9C"/>
    <w:rsid w:val="00DC1F53"/>
    <w:rsid w:val="00DC39B0"/>
    <w:rsid w:val="00DC3C44"/>
    <w:rsid w:val="00DC64F9"/>
    <w:rsid w:val="00DD1DBF"/>
    <w:rsid w:val="00DD3691"/>
    <w:rsid w:val="00DD5BF4"/>
    <w:rsid w:val="00DD606D"/>
    <w:rsid w:val="00DD62B9"/>
    <w:rsid w:val="00DD6E07"/>
    <w:rsid w:val="00DE2A33"/>
    <w:rsid w:val="00DE418C"/>
    <w:rsid w:val="00DE58C6"/>
    <w:rsid w:val="00DE71E5"/>
    <w:rsid w:val="00DF073C"/>
    <w:rsid w:val="00DF1C31"/>
    <w:rsid w:val="00DF2191"/>
    <w:rsid w:val="00DF54BE"/>
    <w:rsid w:val="00DF5FD3"/>
    <w:rsid w:val="00DF6FE9"/>
    <w:rsid w:val="00E06B3C"/>
    <w:rsid w:val="00E07504"/>
    <w:rsid w:val="00E12446"/>
    <w:rsid w:val="00E130AB"/>
    <w:rsid w:val="00E1345B"/>
    <w:rsid w:val="00E146C6"/>
    <w:rsid w:val="00E1679E"/>
    <w:rsid w:val="00E17D0C"/>
    <w:rsid w:val="00E24438"/>
    <w:rsid w:val="00E247F3"/>
    <w:rsid w:val="00E25396"/>
    <w:rsid w:val="00E25F96"/>
    <w:rsid w:val="00E26B8D"/>
    <w:rsid w:val="00E31124"/>
    <w:rsid w:val="00E338CC"/>
    <w:rsid w:val="00E33CC4"/>
    <w:rsid w:val="00E44464"/>
    <w:rsid w:val="00E5345F"/>
    <w:rsid w:val="00E557AB"/>
    <w:rsid w:val="00E55A9E"/>
    <w:rsid w:val="00E55B0C"/>
    <w:rsid w:val="00E5644E"/>
    <w:rsid w:val="00E5688A"/>
    <w:rsid w:val="00E616E1"/>
    <w:rsid w:val="00E63C77"/>
    <w:rsid w:val="00E65B02"/>
    <w:rsid w:val="00E7260F"/>
    <w:rsid w:val="00E7562E"/>
    <w:rsid w:val="00E77969"/>
    <w:rsid w:val="00E77CDD"/>
    <w:rsid w:val="00E81230"/>
    <w:rsid w:val="00E82C92"/>
    <w:rsid w:val="00E846C5"/>
    <w:rsid w:val="00E8535A"/>
    <w:rsid w:val="00E877D6"/>
    <w:rsid w:val="00E90DEC"/>
    <w:rsid w:val="00E95E3F"/>
    <w:rsid w:val="00E96630"/>
    <w:rsid w:val="00E96952"/>
    <w:rsid w:val="00E971E3"/>
    <w:rsid w:val="00EA284A"/>
    <w:rsid w:val="00EA3854"/>
    <w:rsid w:val="00EA6E78"/>
    <w:rsid w:val="00EA772F"/>
    <w:rsid w:val="00EA7D7F"/>
    <w:rsid w:val="00EB0693"/>
    <w:rsid w:val="00EB459A"/>
    <w:rsid w:val="00EB6832"/>
    <w:rsid w:val="00EC080E"/>
    <w:rsid w:val="00EC24F8"/>
    <w:rsid w:val="00EC271A"/>
    <w:rsid w:val="00EC2A63"/>
    <w:rsid w:val="00EC3EE6"/>
    <w:rsid w:val="00EC4D9F"/>
    <w:rsid w:val="00EC5672"/>
    <w:rsid w:val="00EC5888"/>
    <w:rsid w:val="00EC6F05"/>
    <w:rsid w:val="00ED14CB"/>
    <w:rsid w:val="00ED4A3F"/>
    <w:rsid w:val="00ED4FCB"/>
    <w:rsid w:val="00ED65CD"/>
    <w:rsid w:val="00ED66E8"/>
    <w:rsid w:val="00ED72A4"/>
    <w:rsid w:val="00ED74FF"/>
    <w:rsid w:val="00ED780D"/>
    <w:rsid w:val="00ED78C0"/>
    <w:rsid w:val="00ED7A2A"/>
    <w:rsid w:val="00ED7CE1"/>
    <w:rsid w:val="00EE0A3C"/>
    <w:rsid w:val="00EE2823"/>
    <w:rsid w:val="00EE2CD6"/>
    <w:rsid w:val="00EE42B5"/>
    <w:rsid w:val="00EE7AAC"/>
    <w:rsid w:val="00EF1D7F"/>
    <w:rsid w:val="00EF51AD"/>
    <w:rsid w:val="00EF6FD9"/>
    <w:rsid w:val="00F0135D"/>
    <w:rsid w:val="00F02814"/>
    <w:rsid w:val="00F049D6"/>
    <w:rsid w:val="00F0522F"/>
    <w:rsid w:val="00F120E2"/>
    <w:rsid w:val="00F12B97"/>
    <w:rsid w:val="00F1385D"/>
    <w:rsid w:val="00F163A9"/>
    <w:rsid w:val="00F17258"/>
    <w:rsid w:val="00F24FD9"/>
    <w:rsid w:val="00F257A9"/>
    <w:rsid w:val="00F278B6"/>
    <w:rsid w:val="00F32F83"/>
    <w:rsid w:val="00F339DD"/>
    <w:rsid w:val="00F33FDB"/>
    <w:rsid w:val="00F33FF3"/>
    <w:rsid w:val="00F36E55"/>
    <w:rsid w:val="00F37B72"/>
    <w:rsid w:val="00F40614"/>
    <w:rsid w:val="00F40E75"/>
    <w:rsid w:val="00F41076"/>
    <w:rsid w:val="00F41610"/>
    <w:rsid w:val="00F47D50"/>
    <w:rsid w:val="00F50C00"/>
    <w:rsid w:val="00F52545"/>
    <w:rsid w:val="00F5288B"/>
    <w:rsid w:val="00F54674"/>
    <w:rsid w:val="00F562FD"/>
    <w:rsid w:val="00F608CD"/>
    <w:rsid w:val="00F61166"/>
    <w:rsid w:val="00F61E8B"/>
    <w:rsid w:val="00F63574"/>
    <w:rsid w:val="00F638D8"/>
    <w:rsid w:val="00F638EE"/>
    <w:rsid w:val="00F644AB"/>
    <w:rsid w:val="00F654C6"/>
    <w:rsid w:val="00F65682"/>
    <w:rsid w:val="00F77386"/>
    <w:rsid w:val="00F816DF"/>
    <w:rsid w:val="00F905A8"/>
    <w:rsid w:val="00F93AA0"/>
    <w:rsid w:val="00F9407A"/>
    <w:rsid w:val="00FA0B51"/>
    <w:rsid w:val="00FA174F"/>
    <w:rsid w:val="00FB20F1"/>
    <w:rsid w:val="00FB521E"/>
    <w:rsid w:val="00FB6B66"/>
    <w:rsid w:val="00FB7353"/>
    <w:rsid w:val="00FC0442"/>
    <w:rsid w:val="00FC48A3"/>
    <w:rsid w:val="00FC4D00"/>
    <w:rsid w:val="00FC68B7"/>
    <w:rsid w:val="00FC78F4"/>
    <w:rsid w:val="00FD017F"/>
    <w:rsid w:val="00FD067C"/>
    <w:rsid w:val="00FD1EF9"/>
    <w:rsid w:val="00FD528E"/>
    <w:rsid w:val="00FD6B2B"/>
    <w:rsid w:val="00FE1C5B"/>
    <w:rsid w:val="00FE3279"/>
    <w:rsid w:val="00FE4B06"/>
    <w:rsid w:val="00FE5E58"/>
    <w:rsid w:val="00FE6A1F"/>
    <w:rsid w:val="00FF03BB"/>
    <w:rsid w:val="00FF179E"/>
    <w:rsid w:val="00FF204B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4D5BA4A3"/>
  <w15:docId w15:val="{0BA8FD93-553A-48A6-80F7-09C03AA0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uiPriority w:val="99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uiPriority w:val="99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BodyText3Char">
    <w:name w:val="Body Text 3 Char"/>
    <w:link w:val="BodyText3"/>
    <w:rsid w:val="00CF74F9"/>
    <w:rPr>
      <w:sz w:val="16"/>
      <w:szCs w:val="16"/>
      <w:lang w:eastAsia="en-US"/>
    </w:rPr>
  </w:style>
  <w:style w:type="paragraph" w:customStyle="1" w:styleId="Default">
    <w:name w:val="Default"/>
    <w:rsid w:val="004262E2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Heading2Char">
    <w:name w:val="Heading 2 Char"/>
    <w:link w:val="Heading2"/>
    <w:rsid w:val="006200EB"/>
    <w:rPr>
      <w:lang w:eastAsia="en-US"/>
    </w:rPr>
  </w:style>
  <w:style w:type="character" w:customStyle="1" w:styleId="Heading7Char">
    <w:name w:val="Heading 7 Char"/>
    <w:link w:val="Heading7"/>
    <w:rsid w:val="006200EB"/>
    <w:rPr>
      <w:lang w:eastAsia="en-US"/>
    </w:rPr>
  </w:style>
  <w:style w:type="paragraph" w:customStyle="1" w:styleId="Style1">
    <w:name w:val="Style1"/>
    <w:basedOn w:val="Normal"/>
    <w:rsid w:val="006200EB"/>
    <w:pPr>
      <w:suppressAutoHyphens w:val="0"/>
      <w:spacing w:line="240" w:lineRule="auto"/>
    </w:pPr>
    <w:rPr>
      <w:sz w:val="22"/>
      <w:szCs w:val="24"/>
    </w:rPr>
  </w:style>
  <w:style w:type="table" w:customStyle="1" w:styleId="Tabellenraster1">
    <w:name w:val="Tabellenraster1"/>
    <w:basedOn w:val="TableNormal"/>
    <w:next w:val="TableGrid"/>
    <w:uiPriority w:val="59"/>
    <w:rsid w:val="00CB2FC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1C47E0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C47E0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1C47E0"/>
    <w:rPr>
      <w:b/>
      <w:bCs/>
      <w:lang w:val="en-GB" w:eastAsia="en-US"/>
    </w:rPr>
  </w:style>
  <w:style w:type="table" w:customStyle="1" w:styleId="TableGrid10">
    <w:name w:val="Table Grid1"/>
    <w:basedOn w:val="TableNormal"/>
    <w:next w:val="TableGrid"/>
    <w:uiPriority w:val="59"/>
    <w:rsid w:val="007E251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E24438"/>
    <w:rPr>
      <w:b/>
      <w:sz w:val="18"/>
      <w:lang w:val="en-GB" w:eastAsia="en-US"/>
    </w:rPr>
  </w:style>
  <w:style w:type="paragraph" w:customStyle="1" w:styleId="xl23">
    <w:name w:val="xl23"/>
    <w:basedOn w:val="Normal"/>
    <w:rsid w:val="00AB28ED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79173A"/>
    <w:rPr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4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8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Amira.Sultan@tc.gc.ca|" TargetMode="External"/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43A6C-707B-482C-A953-782039FB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71</TotalTime>
  <Pages>3</Pages>
  <Words>853</Words>
  <Characters>4530</Characters>
  <Application>Microsoft Office Word</Application>
  <DocSecurity>0</DocSecurity>
  <Lines>95</Lines>
  <Paragraphs>38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10</cp:revision>
  <cp:lastPrinted>2019-04-05T07:35:00Z</cp:lastPrinted>
  <dcterms:created xsi:type="dcterms:W3CDTF">2019-04-04T05:52:00Z</dcterms:created>
  <dcterms:modified xsi:type="dcterms:W3CDTF">2019-04-05T07:36:00Z</dcterms:modified>
</cp:coreProperties>
</file>