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EA06C3" w:rsidRPr="00471D64" w14:paraId="6937682F" w14:textId="77777777" w:rsidTr="00D76673">
        <w:trPr>
          <w:trHeight w:val="851"/>
        </w:trPr>
        <w:tc>
          <w:tcPr>
            <w:tcW w:w="1260" w:type="dxa"/>
            <w:tcBorders>
              <w:top w:val="nil"/>
              <w:left w:val="nil"/>
              <w:bottom w:val="single" w:sz="4" w:space="0" w:color="auto"/>
              <w:right w:val="nil"/>
            </w:tcBorders>
          </w:tcPr>
          <w:p w14:paraId="212AD6A9" w14:textId="77777777" w:rsidR="00EA06C3" w:rsidRDefault="00EA06C3" w:rsidP="00EA06C3">
            <w:pPr>
              <w:spacing w:after="80" w:line="340" w:lineRule="exact"/>
            </w:pPr>
            <w:bookmarkStart w:id="0" w:name="_GoBack"/>
            <w:bookmarkEnd w:id="0"/>
          </w:p>
        </w:tc>
        <w:tc>
          <w:tcPr>
            <w:tcW w:w="2237" w:type="dxa"/>
            <w:tcBorders>
              <w:top w:val="nil"/>
              <w:left w:val="nil"/>
              <w:bottom w:val="single" w:sz="4" w:space="0" w:color="auto"/>
              <w:right w:val="nil"/>
            </w:tcBorders>
            <w:vAlign w:val="bottom"/>
            <w:hideMark/>
          </w:tcPr>
          <w:p w14:paraId="0379C985" w14:textId="77777777" w:rsidR="00EA06C3" w:rsidRDefault="00EA06C3" w:rsidP="00EA06C3">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14:paraId="7234A8AA" w14:textId="77777777" w:rsidR="00EA06C3" w:rsidRDefault="00EA06C3" w:rsidP="0001303A">
            <w:pPr>
              <w:suppressAutoHyphens w:val="0"/>
              <w:spacing w:after="20"/>
              <w:jc w:val="right"/>
            </w:pPr>
            <w:r>
              <w:rPr>
                <w:sz w:val="40"/>
                <w:lang w:eastAsia="en-GB"/>
              </w:rPr>
              <w:t>ST</w:t>
            </w:r>
            <w:r w:rsidR="00837843">
              <w:rPr>
                <w:lang w:eastAsia="en-GB"/>
              </w:rPr>
              <w:t>/SG/AC.10/C.3/2019</w:t>
            </w:r>
            <w:r>
              <w:rPr>
                <w:lang w:eastAsia="en-GB"/>
              </w:rPr>
              <w:t>/</w:t>
            </w:r>
            <w:r w:rsidR="00500274">
              <w:rPr>
                <w:lang w:eastAsia="en-GB"/>
              </w:rPr>
              <w:t>14</w:t>
            </w:r>
          </w:p>
        </w:tc>
      </w:tr>
      <w:tr w:rsidR="005E0F7B" w:rsidRPr="005E0F7B" w14:paraId="5A0E1FA0" w14:textId="77777777" w:rsidTr="00D76673">
        <w:trPr>
          <w:trHeight w:val="2835"/>
        </w:trPr>
        <w:tc>
          <w:tcPr>
            <w:tcW w:w="1260" w:type="dxa"/>
            <w:tcBorders>
              <w:top w:val="single" w:sz="4" w:space="0" w:color="auto"/>
              <w:left w:val="nil"/>
              <w:bottom w:val="single" w:sz="12" w:space="0" w:color="auto"/>
              <w:right w:val="nil"/>
            </w:tcBorders>
            <w:hideMark/>
          </w:tcPr>
          <w:p w14:paraId="0DA4B89B" w14:textId="77777777" w:rsidR="005E0F7B" w:rsidRDefault="00FD21A9">
            <w:pPr>
              <w:spacing w:before="120"/>
              <w:jc w:val="center"/>
            </w:pPr>
            <w:r>
              <w:rPr>
                <w:noProof/>
                <w:lang w:val="en-US"/>
              </w:rPr>
              <w:drawing>
                <wp:inline distT="0" distB="0" distL="0" distR="0" wp14:anchorId="5EC35331" wp14:editId="065B7411">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034ACA82"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6747998B" w14:textId="77777777" w:rsidR="005E0F7B" w:rsidRDefault="005E0F7B">
            <w:pPr>
              <w:suppressAutoHyphens w:val="0"/>
              <w:spacing w:before="240" w:line="240" w:lineRule="exact"/>
            </w:pPr>
            <w:r>
              <w:t>Distr.: General</w:t>
            </w:r>
          </w:p>
          <w:p w14:paraId="40DA4BCE" w14:textId="77777777" w:rsidR="005E0F7B" w:rsidRPr="005C67A3" w:rsidRDefault="006C7930">
            <w:pPr>
              <w:suppressAutoHyphens w:val="0"/>
            </w:pPr>
            <w:r>
              <w:t>3</w:t>
            </w:r>
            <w:r w:rsidR="0001303A">
              <w:t xml:space="preserve"> April </w:t>
            </w:r>
            <w:r w:rsidR="006B5CA3">
              <w:t>2019</w:t>
            </w:r>
          </w:p>
          <w:p w14:paraId="119AF44E" w14:textId="77777777" w:rsidR="005E0F7B" w:rsidRDefault="005E0F7B">
            <w:pPr>
              <w:suppressAutoHyphens w:val="0"/>
            </w:pPr>
          </w:p>
          <w:p w14:paraId="009B1F58" w14:textId="77777777" w:rsidR="005E0F7B" w:rsidRDefault="005E0F7B">
            <w:pPr>
              <w:suppressAutoHyphens w:val="0"/>
            </w:pPr>
            <w:r>
              <w:t>Original: English</w:t>
            </w:r>
          </w:p>
        </w:tc>
      </w:tr>
    </w:tbl>
    <w:p w14:paraId="6AE020DA" w14:textId="77777777"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14:paraId="33594DCC" w14:textId="77777777" w:rsidR="00D76673" w:rsidRPr="00D76673" w:rsidRDefault="00D76673" w:rsidP="00D76673">
      <w:pPr>
        <w:spacing w:before="120"/>
        <w:rPr>
          <w:b/>
        </w:rPr>
      </w:pPr>
      <w:r w:rsidRPr="00D76673">
        <w:rPr>
          <w:b/>
        </w:rPr>
        <w:t>Sub-Committee of Experts on the Transport of Dangerous Goods</w:t>
      </w:r>
    </w:p>
    <w:p w14:paraId="040A55AB" w14:textId="77777777" w:rsidR="00AC47CB" w:rsidRPr="00432930" w:rsidRDefault="00AC47CB" w:rsidP="00AC47CB">
      <w:pPr>
        <w:spacing w:before="120"/>
        <w:rPr>
          <w:b/>
        </w:rPr>
      </w:pPr>
      <w:r>
        <w:rPr>
          <w:b/>
        </w:rPr>
        <w:t>Fifty-</w:t>
      </w:r>
      <w:r w:rsidR="006B5CA3">
        <w:rPr>
          <w:b/>
        </w:rPr>
        <w:t>fifth</w:t>
      </w:r>
      <w:r>
        <w:rPr>
          <w:b/>
        </w:rPr>
        <w:t xml:space="preserve"> session</w:t>
      </w:r>
    </w:p>
    <w:p w14:paraId="1B852A56" w14:textId="77777777" w:rsidR="00DE0613" w:rsidRPr="009043FC" w:rsidRDefault="00C1320F" w:rsidP="00AC47CB">
      <w:pPr>
        <w:rPr>
          <w:b/>
          <w:bCs/>
        </w:rPr>
      </w:pPr>
      <w:r w:rsidRPr="00C1320F">
        <w:t xml:space="preserve">Geneva, </w:t>
      </w:r>
      <w:r w:rsidR="006B5CA3">
        <w:t>1-5</w:t>
      </w:r>
      <w:r w:rsidRPr="00C1320F">
        <w:t xml:space="preserve"> </w:t>
      </w:r>
      <w:r w:rsidR="006B5CA3">
        <w:t>July</w:t>
      </w:r>
      <w:r w:rsidR="00A3141D">
        <w:t xml:space="preserve"> 2019</w:t>
      </w:r>
      <w:r w:rsidR="00AC47CB">
        <w:rPr>
          <w:color w:val="333333"/>
        </w:rPr>
        <w:br/>
      </w:r>
      <w:r w:rsidR="00A065BA" w:rsidRPr="00C1320F">
        <w:t xml:space="preserve">Item </w:t>
      </w:r>
      <w:r w:rsidR="00BD0DDC">
        <w:t>2</w:t>
      </w:r>
      <w:r w:rsidR="00500274">
        <w:t xml:space="preserve"> </w:t>
      </w:r>
      <w:r w:rsidR="00BD0DDC">
        <w:t>(l)</w:t>
      </w:r>
      <w:r w:rsidR="00BD0DDC" w:rsidRPr="009D3AC0">
        <w:t xml:space="preserve"> </w:t>
      </w:r>
      <w:r w:rsidR="00A065BA" w:rsidRPr="009D3AC0">
        <w:t>of the provisional agenda</w:t>
      </w:r>
      <w:r w:rsidR="00D76673" w:rsidRPr="00301F46">
        <w:rPr>
          <w:b/>
        </w:rPr>
        <w:br/>
      </w:r>
      <w:r w:rsidR="00BD0DDC" w:rsidRPr="00BD0DDC">
        <w:rPr>
          <w:b/>
          <w:bCs/>
        </w:rPr>
        <w:t>Explosives and related matters:</w:t>
      </w:r>
      <w:r w:rsidR="00BD0DDC">
        <w:rPr>
          <w:b/>
          <w:bCs/>
        </w:rPr>
        <w:t xml:space="preserve"> </w:t>
      </w:r>
      <w:r w:rsidR="00500274">
        <w:rPr>
          <w:b/>
          <w:bCs/>
        </w:rPr>
        <w:t>m</w:t>
      </w:r>
      <w:r w:rsidR="00BD0DDC">
        <w:rPr>
          <w:b/>
          <w:bCs/>
        </w:rPr>
        <w:t>iscellaneous</w:t>
      </w:r>
    </w:p>
    <w:p w14:paraId="5EB5D4F8" w14:textId="77777777" w:rsidR="001649AD" w:rsidRDefault="00363CCA" w:rsidP="001649AD">
      <w:pPr>
        <w:pStyle w:val="HChG"/>
      </w:pPr>
      <w:r>
        <w:tab/>
      </w:r>
      <w:r>
        <w:tab/>
      </w:r>
      <w:r w:rsidR="00DC4CFA">
        <w:t xml:space="preserve">Removing the </w:t>
      </w:r>
      <w:r w:rsidR="006C7930">
        <w:t>n</w:t>
      </w:r>
      <w:r w:rsidR="00DB5113">
        <w:t xml:space="preserve">et </w:t>
      </w:r>
      <w:r w:rsidR="006C7930">
        <w:t>e</w:t>
      </w:r>
      <w:r w:rsidR="00DB5113">
        <w:t xml:space="preserve">xplosives </w:t>
      </w:r>
      <w:r w:rsidR="006C7930">
        <w:t>m</w:t>
      </w:r>
      <w:r w:rsidR="00DB5113">
        <w:t xml:space="preserve">ass </w:t>
      </w:r>
      <w:r w:rsidR="006C7930">
        <w:t>d</w:t>
      </w:r>
      <w:r w:rsidR="00DB5113">
        <w:t xml:space="preserve">ocumentation </w:t>
      </w:r>
      <w:r w:rsidR="006C7930">
        <w:t>r</w:t>
      </w:r>
      <w:r w:rsidR="00DB5113">
        <w:t>equirement</w:t>
      </w:r>
      <w:r w:rsidR="00E055FA">
        <w:t xml:space="preserve"> for Division 1.4</w:t>
      </w:r>
    </w:p>
    <w:p w14:paraId="00B822FC" w14:textId="77777777" w:rsidR="00E41283" w:rsidRDefault="001C21AD" w:rsidP="001C21AD">
      <w:pPr>
        <w:pStyle w:val="H1G"/>
      </w:pPr>
      <w:r>
        <w:tab/>
      </w:r>
      <w:r>
        <w:tab/>
        <w:t xml:space="preserve">Transmitted by </w:t>
      </w:r>
      <w:r w:rsidR="006B5CA3">
        <w:t>the Sporting Arms &amp; Ammunition Manufacturers’ Institute</w:t>
      </w:r>
      <w:r w:rsidR="001649AD">
        <w:t xml:space="preserve"> </w:t>
      </w:r>
      <w:r>
        <w:t>(</w:t>
      </w:r>
      <w:r w:rsidR="006B5CA3">
        <w:t>SAAMI</w:t>
      </w:r>
      <w:r>
        <w:t>)</w:t>
      </w:r>
      <w:r w:rsidR="00500274">
        <w:rPr>
          <w:rStyle w:val="FootnoteReference"/>
        </w:rPr>
        <w:footnoteReference w:customMarkFollows="1" w:id="2"/>
        <w:t>*</w:t>
      </w:r>
    </w:p>
    <w:p w14:paraId="3322DECF" w14:textId="77777777" w:rsidR="001649AD" w:rsidRPr="001649AD" w:rsidRDefault="001649AD" w:rsidP="001C21AD">
      <w:pPr>
        <w:pStyle w:val="HChG"/>
      </w:pPr>
      <w:r>
        <w:tab/>
      </w:r>
      <w:r>
        <w:tab/>
      </w:r>
      <w:r w:rsidRPr="001649AD">
        <w:t>Introduction</w:t>
      </w:r>
    </w:p>
    <w:p w14:paraId="5BCA8D0E" w14:textId="77777777" w:rsidR="00A30AFA" w:rsidRDefault="00F64D68" w:rsidP="001C21AD">
      <w:pPr>
        <w:pStyle w:val="SingleTxtG"/>
        <w:numPr>
          <w:ilvl w:val="0"/>
          <w:numId w:val="48"/>
        </w:numPr>
        <w:ind w:left="1134" w:firstLine="0"/>
      </w:pPr>
      <w:r>
        <w:t>Net explosive mass (NEM) is defined</w:t>
      </w:r>
      <w:r w:rsidR="006D5BE3">
        <w:t xml:space="preserve"> in the Model Regulations, glossary of terms, </w:t>
      </w:r>
      <w:r>
        <w:t>as “</w:t>
      </w:r>
      <w:r w:rsidRPr="00F64D68">
        <w:t>the total mass of the explosive substances, without the packagings, casings, etc.</w:t>
      </w:r>
      <w:r>
        <w:t xml:space="preserve">” </w:t>
      </w:r>
      <w:r w:rsidR="003927C0">
        <w:t xml:space="preserve">The Model Regulations require the NEM to appear in the transport </w:t>
      </w:r>
      <w:r w:rsidR="00765B02">
        <w:t>document.</w:t>
      </w:r>
      <w:r w:rsidR="003927C0">
        <w:t xml:space="preserve"> </w:t>
      </w:r>
      <w:r w:rsidR="00765B02">
        <w:t>T</w:t>
      </w:r>
      <w:r w:rsidR="003927C0">
        <w:t xml:space="preserve">o our knowledge it is </w:t>
      </w:r>
      <w:r>
        <w:t>not a marking requirement</w:t>
      </w:r>
      <w:r w:rsidR="003927C0">
        <w:t xml:space="preserve"> in any international transport regulation</w:t>
      </w:r>
      <w:r>
        <w:t xml:space="preserve">. </w:t>
      </w:r>
    </w:p>
    <w:p w14:paraId="04923FF9" w14:textId="77777777" w:rsidR="008A3117" w:rsidRDefault="008A3117" w:rsidP="001C21AD">
      <w:pPr>
        <w:pStyle w:val="SingleTxtG"/>
        <w:numPr>
          <w:ilvl w:val="0"/>
          <w:numId w:val="48"/>
        </w:numPr>
        <w:ind w:left="1134" w:firstLine="0"/>
      </w:pPr>
      <w:r>
        <w:t xml:space="preserve">NEM is </w:t>
      </w:r>
      <w:r w:rsidR="00890CEF">
        <w:t xml:space="preserve">used </w:t>
      </w:r>
      <w:r w:rsidR="00834462">
        <w:t xml:space="preserve">in risk management </w:t>
      </w:r>
      <w:r>
        <w:t xml:space="preserve">to </w:t>
      </w:r>
      <w:r w:rsidR="00A52990">
        <w:t xml:space="preserve">control the magnitude of </w:t>
      </w:r>
      <w:r>
        <w:t>a mass explosion, fragment</w:t>
      </w:r>
      <w:r w:rsidR="00C066B1">
        <w:t>s</w:t>
      </w:r>
      <w:r>
        <w:t>, or fire</w:t>
      </w:r>
      <w:r w:rsidR="003927C0">
        <w:t>/over-pressure</w:t>
      </w:r>
      <w:r>
        <w:t xml:space="preserve"> hazard by </w:t>
      </w:r>
      <w:r w:rsidR="00A52990">
        <w:t xml:space="preserve">limiting the aggregate </w:t>
      </w:r>
      <w:r>
        <w:t>quanti</w:t>
      </w:r>
      <w:r w:rsidR="00890CEF">
        <w:t>ty</w:t>
      </w:r>
      <w:r w:rsidR="005A7137">
        <w:t xml:space="preserve"> </w:t>
      </w:r>
      <w:r w:rsidR="00A52990">
        <w:t xml:space="preserve">of </w:t>
      </w:r>
      <w:r w:rsidR="00890CEF">
        <w:t xml:space="preserve">explosives in </w:t>
      </w:r>
      <w:r w:rsidR="00A52990">
        <w:t xml:space="preserve">multiple shipments </w:t>
      </w:r>
      <w:r w:rsidR="005A7137">
        <w:t xml:space="preserve">in a given </w:t>
      </w:r>
      <w:r w:rsidR="00A52990">
        <w:t>vicinity</w:t>
      </w:r>
      <w:r>
        <w:t xml:space="preserve">. For example, </w:t>
      </w:r>
      <w:r w:rsidR="00A52990">
        <w:t xml:space="preserve">NEM </w:t>
      </w:r>
      <w:r>
        <w:t>limits commonly exist for the quantity of explosives allowed at an explosives pier at a port</w:t>
      </w:r>
      <w:r w:rsidR="00A52990">
        <w:t>, which</w:t>
      </w:r>
      <w:r w:rsidR="00F93778">
        <w:t xml:space="preserve"> </w:t>
      </w:r>
      <w:r w:rsidR="00765B02">
        <w:t>limit</w:t>
      </w:r>
      <w:r w:rsidR="00A52990">
        <w:t xml:space="preserve"> the effects of a mass explosion </w:t>
      </w:r>
      <w:r w:rsidR="007C5769">
        <w:t>(</w:t>
      </w:r>
      <w:r w:rsidR="00C066B1">
        <w:t xml:space="preserve">potentially including </w:t>
      </w:r>
      <w:r w:rsidR="00A52990">
        <w:t xml:space="preserve">all </w:t>
      </w:r>
      <w:r w:rsidR="00C066B1">
        <w:t>explosives</w:t>
      </w:r>
      <w:r w:rsidR="00A52990">
        <w:t xml:space="preserve"> at the pier</w:t>
      </w:r>
      <w:r w:rsidR="007C5769">
        <w:t>)</w:t>
      </w:r>
      <w:r w:rsidR="00A52990">
        <w:t xml:space="preserve"> to an acceptable level of impact to surrounding infrastructure</w:t>
      </w:r>
      <w:r>
        <w:t>.</w:t>
      </w:r>
    </w:p>
    <w:p w14:paraId="79ACE236" w14:textId="77777777" w:rsidR="000A5078" w:rsidRDefault="000A5078" w:rsidP="000A5078">
      <w:pPr>
        <w:pStyle w:val="SingleTxtG"/>
        <w:numPr>
          <w:ilvl w:val="0"/>
          <w:numId w:val="48"/>
        </w:numPr>
        <w:ind w:left="1134" w:firstLine="0"/>
      </w:pPr>
      <w:r>
        <w:t>There are no limits or requirements linked to the NEM in the Model Regulations. Road, rail, vessel, air (modal) regulation restrictions sometimes include an NEM criterion in a requirement, but these are either related to high hazard explosives outside of Division 1.4, or are niche issues not scientifically based on the NEM.</w:t>
      </w:r>
      <w:r w:rsidDel="00FA0DF5">
        <w:t xml:space="preserve"> </w:t>
      </w:r>
    </w:p>
    <w:p w14:paraId="786F18A4" w14:textId="77777777" w:rsidR="007A2DA0" w:rsidRDefault="005A7137" w:rsidP="006D5BE3">
      <w:pPr>
        <w:pStyle w:val="SingleTxtG"/>
        <w:numPr>
          <w:ilvl w:val="0"/>
          <w:numId w:val="48"/>
        </w:numPr>
        <w:ind w:left="1134" w:firstLine="0"/>
      </w:pPr>
      <w:r>
        <w:lastRenderedPageBreak/>
        <w:t xml:space="preserve">By definition, Division 1.4 explosives present no significant hazard, and </w:t>
      </w:r>
      <w:r w:rsidR="00890CEF">
        <w:t>cannot</w:t>
      </w:r>
      <w:r>
        <w:t xml:space="preserve"> contribute to a mass explosion</w:t>
      </w:r>
      <w:r w:rsidR="00890CEF">
        <w:t>.</w:t>
      </w:r>
      <w:r w:rsidR="00C066B1">
        <w:t xml:space="preserve"> </w:t>
      </w:r>
      <w:r w:rsidR="00890CEF">
        <w:t xml:space="preserve">NEM documentation is superfluous for 1.4 explosives, which </w:t>
      </w:r>
      <w:r w:rsidR="00C066B1">
        <w:t>should not be subject to mass reaction risk management</w:t>
      </w:r>
      <w:r w:rsidR="00890CEF">
        <w:t xml:space="preserve"> controls</w:t>
      </w:r>
      <w:r w:rsidR="003927C0">
        <w:t xml:space="preserve">, or the resulting </w:t>
      </w:r>
      <w:r w:rsidR="007C5769">
        <w:t xml:space="preserve">impediments </w:t>
      </w:r>
      <w:r w:rsidR="003927C0">
        <w:t>to transport</w:t>
      </w:r>
      <w:r>
        <w:t>.</w:t>
      </w:r>
      <w:r w:rsidR="003927C0" w:rsidRPr="003927C0">
        <w:t xml:space="preserve"> </w:t>
      </w:r>
      <w:r w:rsidR="006D5BE3">
        <w:t>Industry is experiencing delay and denial of shipments related to the NEM, including Division 1.4 explosives.</w:t>
      </w:r>
      <w:r w:rsidR="003927C0">
        <w:t xml:space="preserve"> </w:t>
      </w:r>
      <w:r w:rsidR="004A12CD">
        <w:t>The s</w:t>
      </w:r>
      <w:r w:rsidR="003927C0">
        <w:t xml:space="preserve">hipment NEM </w:t>
      </w:r>
      <w:r w:rsidR="004A12CD">
        <w:t xml:space="preserve">is </w:t>
      </w:r>
      <w:r w:rsidR="003927C0">
        <w:t>requested in advance of transport before shipments are finalized</w:t>
      </w:r>
      <w:r w:rsidR="004A12CD">
        <w:t>,</w:t>
      </w:r>
      <w:r w:rsidR="003927C0">
        <w:t xml:space="preserve"> and shipments may be delayed or denied just on the possibility that NEM limits may be exceeded at a particular </w:t>
      </w:r>
      <w:r w:rsidR="007C5769">
        <w:t xml:space="preserve">transit </w:t>
      </w:r>
      <w:r w:rsidR="003927C0">
        <w:t xml:space="preserve">facility. </w:t>
      </w:r>
    </w:p>
    <w:p w14:paraId="5911427D" w14:textId="77777777" w:rsidR="00A565A9" w:rsidRDefault="00A72FDE" w:rsidP="00A72FDE">
      <w:pPr>
        <w:pStyle w:val="SingleTxtG"/>
      </w:pPr>
      <w:r>
        <w:t>5.</w:t>
      </w:r>
      <w:r>
        <w:tab/>
      </w:r>
      <w:r w:rsidR="00880B2B">
        <w:t>Explosives have a robust system of classification. It differentiates hazards based on a high level of investment in testing and observation of specific configurations, with competent authority oversight</w:t>
      </w:r>
      <w:r>
        <w:rPr>
          <w:rStyle w:val="FootnoteReference"/>
        </w:rPr>
        <w:footnoteReference w:customMarkFollows="1" w:id="3"/>
        <w:t>1</w:t>
      </w:r>
      <w:r w:rsidR="00880B2B">
        <w:t xml:space="preserve">. In the field this sophistication is </w:t>
      </w:r>
      <w:r w:rsidR="00B4248C">
        <w:t xml:space="preserve">sometimes </w:t>
      </w:r>
      <w:r w:rsidR="00880B2B">
        <w:t>ignored</w:t>
      </w:r>
      <w:r>
        <w:rPr>
          <w:rStyle w:val="FootnoteReference"/>
        </w:rPr>
        <w:footnoteReference w:customMarkFollows="1" w:id="4"/>
        <w:t>2</w:t>
      </w:r>
      <w:r w:rsidR="00880B2B">
        <w:t xml:space="preserve"> and the Model Regulations should not encourage this by </w:t>
      </w:r>
      <w:r w:rsidR="00880B2B" w:rsidRPr="00A72FDE">
        <w:t>including</w:t>
      </w:r>
      <w:r w:rsidR="00880B2B">
        <w:t xml:space="preserve"> a superfluous requirement</w:t>
      </w:r>
      <w:r w:rsidR="00B05281">
        <w:t xml:space="preserve"> that ignores classification differentiations</w:t>
      </w:r>
      <w:r w:rsidR="00880B2B">
        <w:t xml:space="preserve">. </w:t>
      </w:r>
    </w:p>
    <w:p w14:paraId="06309971" w14:textId="77777777" w:rsidR="00880B2B" w:rsidRDefault="00A72FDE" w:rsidP="00A72FDE">
      <w:pPr>
        <w:pStyle w:val="SingleTxtG"/>
      </w:pPr>
      <w:r>
        <w:t>6.</w:t>
      </w:r>
      <w:r>
        <w:tab/>
      </w:r>
      <w:r w:rsidR="00A565A9">
        <w:t xml:space="preserve">The Model Regulations exist to promote commerce in dangerous but beneficial goods, as a harmonized cross-boundary approach to prevention of accidents and standardization of controls. As a part of </w:t>
      </w:r>
      <w:r w:rsidR="00A565A9" w:rsidRPr="00A72FDE">
        <w:t>this</w:t>
      </w:r>
      <w:r w:rsidR="00A565A9">
        <w:t xml:space="preserve"> system, commerce in Division 1.4 explosives should be provided with </w:t>
      </w:r>
      <w:proofErr w:type="gramStart"/>
      <w:r w:rsidR="00A565A9">
        <w:t>sufficient</w:t>
      </w:r>
      <w:proofErr w:type="gramEnd"/>
      <w:r w:rsidR="00A565A9">
        <w:t xml:space="preserve"> controls</w:t>
      </w:r>
      <w:r w:rsidR="000565F7">
        <w:t xml:space="preserve"> </w:t>
      </w:r>
      <w:r w:rsidR="00A565A9">
        <w:t xml:space="preserve">and facilitated. </w:t>
      </w:r>
      <w:r w:rsidR="00880B2B">
        <w:t xml:space="preserve">Otherwise </w:t>
      </w:r>
      <w:r w:rsidR="00A565A9">
        <w:t xml:space="preserve">authorities </w:t>
      </w:r>
      <w:r w:rsidR="000368DE">
        <w:t xml:space="preserve">and carriers </w:t>
      </w:r>
      <w:r w:rsidR="000565F7">
        <w:t>are beset</w:t>
      </w:r>
      <w:r w:rsidR="00A565A9">
        <w:t xml:space="preserve"> with undeclared or mis-declared shipments, and </w:t>
      </w:r>
      <w:r w:rsidR="00880B2B">
        <w:t xml:space="preserve">the Sub-Committee </w:t>
      </w:r>
      <w:proofErr w:type="gramStart"/>
      <w:r w:rsidR="00880B2B">
        <w:t>has to</w:t>
      </w:r>
      <w:proofErr w:type="gramEnd"/>
      <w:r w:rsidR="00880B2B">
        <w:t xml:space="preserve"> contend with a counter trend to remove Division 1.4 </w:t>
      </w:r>
      <w:r w:rsidR="00284E21">
        <w:t>explosives</w:t>
      </w:r>
      <w:r w:rsidR="00880B2B">
        <w:t xml:space="preserve"> from Class 1 </w:t>
      </w:r>
      <w:r w:rsidR="00C04C4A">
        <w:t xml:space="preserve">(e.g. into Class 9, and thence sometimes out of dangerous goods altogether) </w:t>
      </w:r>
      <w:r w:rsidR="00880B2B">
        <w:t xml:space="preserve">to avoid the stigma and burdensome requirements of high hazard explosives incorrectly applied to Division 1.4. </w:t>
      </w:r>
    </w:p>
    <w:p w14:paraId="117B4A56" w14:textId="77777777" w:rsidR="00C4394A" w:rsidRDefault="00A72FDE" w:rsidP="00A72FDE">
      <w:pPr>
        <w:pStyle w:val="SingleTxtG"/>
      </w:pPr>
      <w:r>
        <w:t>7.</w:t>
      </w:r>
      <w:r>
        <w:tab/>
      </w:r>
      <w:r w:rsidR="00C4394A">
        <w:t>Based on the burden encountered by industry, and the absence of safety benefits, SAAMI proposes to modify the NEM documentation requirement to exclude Division 1.4.</w:t>
      </w:r>
    </w:p>
    <w:p w14:paraId="41DF8741" w14:textId="77777777" w:rsidR="002E10DE" w:rsidRDefault="00225E8D" w:rsidP="000C2501">
      <w:pPr>
        <w:pStyle w:val="HChG"/>
        <w:ind w:firstLine="0"/>
      </w:pPr>
      <w:r>
        <w:t>Relevance of</w:t>
      </w:r>
      <w:r w:rsidR="007C4223">
        <w:t xml:space="preserve"> the NEM</w:t>
      </w:r>
    </w:p>
    <w:p w14:paraId="3754A36D" w14:textId="77777777" w:rsidR="0082558A" w:rsidRDefault="00A72FDE" w:rsidP="00A72FDE">
      <w:pPr>
        <w:pStyle w:val="SingleTxtG"/>
      </w:pPr>
      <w:r>
        <w:t>8.</w:t>
      </w:r>
      <w:r>
        <w:tab/>
      </w:r>
      <w:r w:rsidR="00EC34E2">
        <w:t>After an explosive is classified based on NEM and other factors</w:t>
      </w:r>
      <w:r w:rsidR="00EC20AC">
        <w:t xml:space="preserve">, </w:t>
      </w:r>
      <w:r w:rsidR="004314FA">
        <w:t xml:space="preserve">NEM </w:t>
      </w:r>
      <w:r w:rsidR="00AF4F18">
        <w:t xml:space="preserve">considerations </w:t>
      </w:r>
      <w:r w:rsidR="00EC34E2">
        <w:t xml:space="preserve">continue to be </w:t>
      </w:r>
      <w:r w:rsidR="004314FA">
        <w:t>relevant to explosives</w:t>
      </w:r>
      <w:r w:rsidR="00EC34E2">
        <w:t xml:space="preserve"> which can propagate a reaction from unit to unit</w:t>
      </w:r>
      <w:r w:rsidR="004314FA">
        <w:t xml:space="preserve">, </w:t>
      </w:r>
      <w:r w:rsidR="00EC34E2">
        <w:t xml:space="preserve">but </w:t>
      </w:r>
      <w:r w:rsidR="0082558A" w:rsidRPr="00A72FDE">
        <w:t>NEM</w:t>
      </w:r>
      <w:r w:rsidR="00EC34E2">
        <w:t xml:space="preserve"> is </w:t>
      </w:r>
      <w:r w:rsidR="00A95CA7">
        <w:t>no longer</w:t>
      </w:r>
      <w:r w:rsidR="00EC34E2">
        <w:t xml:space="preserve"> relevant to those explosives which </w:t>
      </w:r>
      <w:r w:rsidR="0078238B">
        <w:t>have been tested and classified as not propagating</w:t>
      </w:r>
      <w:r w:rsidR="00BD3D2B">
        <w:t xml:space="preserve"> in mass.</w:t>
      </w:r>
      <w:r w:rsidR="0082558A" w:rsidRPr="0082558A">
        <w:t xml:space="preserve"> </w:t>
      </w:r>
      <w:r w:rsidR="0082558A">
        <w:t xml:space="preserve">Other </w:t>
      </w:r>
      <w:r w:rsidR="0018509D">
        <w:t xml:space="preserve">safety </w:t>
      </w:r>
      <w:r w:rsidR="0082558A">
        <w:t xml:space="preserve">factors are just as important </w:t>
      </w:r>
      <w:r w:rsidR="007C5769">
        <w:t xml:space="preserve">as the NEM </w:t>
      </w:r>
      <w:r w:rsidR="0082558A">
        <w:t>for non-propaga</w:t>
      </w:r>
      <w:r w:rsidR="0018509D">
        <w:t xml:space="preserve">ting explosives, and the hazard degree </w:t>
      </w:r>
      <w:r w:rsidR="007C5769">
        <w:t xml:space="preserve">of the </w:t>
      </w:r>
      <w:r w:rsidR="00435DF7">
        <w:t>explosive as presented for transport</w:t>
      </w:r>
      <w:r w:rsidR="007C5769">
        <w:t xml:space="preserve"> </w:t>
      </w:r>
      <w:r w:rsidR="0018509D">
        <w:t>is</w:t>
      </w:r>
      <w:r w:rsidR="00FF5394">
        <w:t xml:space="preserve"> </w:t>
      </w:r>
      <w:r w:rsidR="0082558A">
        <w:t xml:space="preserve">established empirically </w:t>
      </w:r>
      <w:r w:rsidR="00FF5394">
        <w:t>and classified as 1.4 or 1.4S</w:t>
      </w:r>
      <w:r w:rsidR="0082558A">
        <w:t>.</w:t>
      </w:r>
    </w:p>
    <w:p w14:paraId="450E6C22" w14:textId="77777777" w:rsidR="0082558A" w:rsidRDefault="00A72FDE" w:rsidP="00A72FDE">
      <w:pPr>
        <w:pStyle w:val="SingleTxtG"/>
      </w:pPr>
      <w:r>
        <w:t>9.</w:t>
      </w:r>
      <w:r>
        <w:tab/>
      </w:r>
      <w:r w:rsidR="0082558A">
        <w:t xml:space="preserve">NEM is relevant to Division 1.1 explosives, as the total quantity present can simultaneously </w:t>
      </w:r>
      <w:r w:rsidR="0082558A" w:rsidRPr="00A72FDE">
        <w:t>mass</w:t>
      </w:r>
      <w:r w:rsidR="0082558A">
        <w:t xml:space="preserve"> explode, and the resulting blast wave and projection distances are calculated with quantity-distance equations based on the total NEM </w:t>
      </w:r>
      <w:r w:rsidR="0082558A" w:rsidRPr="009E6929">
        <w:t xml:space="preserve">present. Divisions 1.2 and 1.3 do not mass explode in </w:t>
      </w:r>
      <w:proofErr w:type="gramStart"/>
      <w:r w:rsidR="0082558A" w:rsidRPr="009E6929">
        <w:t>transport, but</w:t>
      </w:r>
      <w:proofErr w:type="gramEnd"/>
      <w:r w:rsidR="0082558A" w:rsidRPr="009E6929">
        <w:t xml:space="preserve"> have the potential to react similarly to Division 1.1 when quantities and potential threats exceed those found in transport</w:t>
      </w:r>
      <w:r w:rsidR="00C4394A">
        <w:t xml:space="preserve"> (e.g. storage)</w:t>
      </w:r>
      <w:r w:rsidR="00EF0ED8">
        <w:t>.</w:t>
      </w:r>
      <w:r w:rsidR="0082558A" w:rsidRPr="009E6929">
        <w:t xml:space="preserve"> </w:t>
      </w:r>
    </w:p>
    <w:p w14:paraId="55571E88" w14:textId="77777777" w:rsidR="00C37973" w:rsidRDefault="00A72FDE" w:rsidP="00A72FDE">
      <w:pPr>
        <w:pStyle w:val="SingleTxtG"/>
      </w:pPr>
      <w:r>
        <w:t>10.</w:t>
      </w:r>
      <w:r>
        <w:tab/>
      </w:r>
      <w:r w:rsidR="0082558A">
        <w:t xml:space="preserve">The </w:t>
      </w:r>
      <w:r w:rsidR="0082558A" w:rsidRPr="00A72FDE">
        <w:t>Division</w:t>
      </w:r>
      <w:r w:rsidR="0082558A">
        <w:t xml:space="preserve"> 1.4 explosive classification is defined in 2.1.1.4 of the Model Regulations as “no significant hazard”</w:t>
      </w:r>
      <w:r w:rsidR="00C37973">
        <w:t>,</w:t>
      </w:r>
      <w:r w:rsidR="0082558A">
        <w:t xml:space="preserve"> and the inability to mass react is also part of </w:t>
      </w:r>
      <w:r w:rsidR="00C37973">
        <w:t>the</w:t>
      </w:r>
      <w:r w:rsidR="0082558A">
        <w:t xml:space="preserve"> </w:t>
      </w:r>
      <w:r w:rsidR="0082558A">
        <w:lastRenderedPageBreak/>
        <w:t>definition.</w:t>
      </w:r>
      <w:r>
        <w:rPr>
          <w:rStyle w:val="FootnoteReference"/>
        </w:rPr>
        <w:footnoteReference w:customMarkFollows="1" w:id="5"/>
        <w:t>3</w:t>
      </w:r>
      <w:r w:rsidR="0082558A">
        <w:t xml:space="preserve"> </w:t>
      </w:r>
      <w:r w:rsidR="00D64A28">
        <w:t>Compartmentalization is the principle basis for differentiating medium and low explosives hazards, and explosives thus configured do not enhance the blast wave if adjacent to a mass explosion of high hazard explosives. E</w:t>
      </w:r>
      <w:r w:rsidR="0082558A">
        <w:t xml:space="preserve">xplosive substances and articles classed in Division 1.4 limit the quantity of explosives per unit, </w:t>
      </w:r>
      <w:r w:rsidR="00D64A28">
        <w:t xml:space="preserve">and compartmentalize </w:t>
      </w:r>
      <w:r w:rsidR="0082558A">
        <w:t xml:space="preserve">the explosives with packaging and/or article design. For example, small arms ammunition typically consists of 5-10% explosives and 90-95% inert materials. </w:t>
      </w:r>
      <w:r w:rsidR="00D64A28">
        <w:t xml:space="preserve">Many </w:t>
      </w:r>
      <w:r w:rsidR="0082558A">
        <w:t>Division 1.4 explosive articles are similar, and these designs along with packaging effectively control the explosive hazard.</w:t>
      </w:r>
      <w:r w:rsidR="00123CA3">
        <w:rPr>
          <w:rStyle w:val="FootnoteReference"/>
        </w:rPr>
        <w:footnoteReference w:customMarkFollows="1" w:id="6"/>
        <w:t>4</w:t>
      </w:r>
      <w:r w:rsidR="00C37973">
        <w:t xml:space="preserve"> </w:t>
      </w:r>
    </w:p>
    <w:p w14:paraId="0A3B1A81" w14:textId="77777777" w:rsidR="00261148" w:rsidRDefault="00123CA3" w:rsidP="00123CA3">
      <w:pPr>
        <w:pStyle w:val="SingleTxtG"/>
      </w:pPr>
      <w:r>
        <w:t>11.</w:t>
      </w:r>
      <w:r>
        <w:tab/>
      </w:r>
      <w:r w:rsidR="00430B28">
        <w:t>As</w:t>
      </w:r>
      <w:r w:rsidR="00C37973">
        <w:t xml:space="preserve"> a matter of </w:t>
      </w:r>
      <w:r w:rsidR="00C37973" w:rsidRPr="00123CA3">
        <w:t>practicality</w:t>
      </w:r>
      <w:r w:rsidR="00C37973">
        <w:t xml:space="preserve">, </w:t>
      </w:r>
      <w:r w:rsidR="00064C0C">
        <w:t xml:space="preserve">for </w:t>
      </w:r>
      <w:r w:rsidR="00126452">
        <w:t xml:space="preserve">explosive </w:t>
      </w:r>
      <w:r w:rsidR="00064C0C">
        <w:t xml:space="preserve">substances </w:t>
      </w:r>
      <w:r w:rsidR="00C37973">
        <w:t xml:space="preserve">the net weight is the same as the NEM, and the net weight is always marked on the package regardless of </w:t>
      </w:r>
      <w:r w:rsidR="006D5BE3">
        <w:t>regulatory</w:t>
      </w:r>
      <w:r w:rsidR="00C37973">
        <w:t xml:space="preserve"> requirements</w:t>
      </w:r>
      <w:r w:rsidR="00FE3FED">
        <w:t xml:space="preserve"> because it is the economic measure</w:t>
      </w:r>
      <w:r w:rsidR="00064C0C">
        <w:t>.</w:t>
      </w:r>
      <w:r w:rsidR="00FE3FED">
        <w:t xml:space="preserve"> For explosives articles the number of units</w:t>
      </w:r>
      <w:r w:rsidR="00064C0C">
        <w:t xml:space="preserve"> </w:t>
      </w:r>
      <w:r w:rsidR="00FE3FED">
        <w:t>is the economic measure, not the NEM or net weight</w:t>
      </w:r>
      <w:r>
        <w:rPr>
          <w:rStyle w:val="FootnoteReference"/>
        </w:rPr>
        <w:footnoteReference w:customMarkFollows="1" w:id="7"/>
        <w:t>5</w:t>
      </w:r>
      <w:r w:rsidR="00126452">
        <w:t xml:space="preserve"> which are not marked</w:t>
      </w:r>
      <w:r w:rsidR="00FE3FED">
        <w:t>.</w:t>
      </w:r>
    </w:p>
    <w:p w14:paraId="18748B33" w14:textId="77777777" w:rsidR="007C4223" w:rsidRPr="00352EEA" w:rsidRDefault="007C4223" w:rsidP="00D159CF">
      <w:pPr>
        <w:pStyle w:val="HChG"/>
        <w:ind w:firstLine="0"/>
      </w:pPr>
      <w:r w:rsidRPr="00352EEA">
        <w:t xml:space="preserve">Usage of the NEM in </w:t>
      </w:r>
      <w:r w:rsidR="006C7930">
        <w:t>t</w:t>
      </w:r>
      <w:r w:rsidRPr="00352EEA">
        <w:t>ransport</w:t>
      </w:r>
    </w:p>
    <w:p w14:paraId="4A0CF02E" w14:textId="77777777" w:rsidR="00C4394A" w:rsidRDefault="00123CA3" w:rsidP="00123CA3">
      <w:pPr>
        <w:pStyle w:val="SingleTxtG"/>
      </w:pPr>
      <w:r>
        <w:t>12.</w:t>
      </w:r>
      <w:r>
        <w:tab/>
      </w:r>
      <w:r w:rsidR="00396D81">
        <w:t xml:space="preserve">The </w:t>
      </w:r>
      <w:r w:rsidR="00396D81" w:rsidRPr="00123CA3">
        <w:t>Model</w:t>
      </w:r>
      <w:r w:rsidR="00396D81">
        <w:t xml:space="preserve"> Regulations require the NEM to appear in the transport document</w:t>
      </w:r>
      <w:r>
        <w:rPr>
          <w:rStyle w:val="FootnoteReference"/>
        </w:rPr>
        <w:footnoteReference w:customMarkFollows="1" w:id="8"/>
        <w:t>6</w:t>
      </w:r>
      <w:r w:rsidR="00396D81">
        <w:t xml:space="preserve">, but </w:t>
      </w:r>
      <w:r w:rsidR="00C4394A">
        <w:t xml:space="preserve">has </w:t>
      </w:r>
      <w:r w:rsidR="00396D81">
        <w:t xml:space="preserve">no requirements </w:t>
      </w:r>
      <w:r w:rsidR="00320C5D">
        <w:t xml:space="preserve">or limits </w:t>
      </w:r>
      <w:r w:rsidR="00C4394A">
        <w:t>that refer to</w:t>
      </w:r>
      <w:r w:rsidR="00396D81">
        <w:t xml:space="preserve"> the NEM.</w:t>
      </w:r>
    </w:p>
    <w:p w14:paraId="6D66E794" w14:textId="77777777" w:rsidR="00396D81" w:rsidRDefault="00123CA3" w:rsidP="00123CA3">
      <w:pPr>
        <w:pStyle w:val="SingleTxtG"/>
      </w:pPr>
      <w:r>
        <w:t>13.</w:t>
      </w:r>
      <w:r>
        <w:tab/>
      </w:r>
      <w:r w:rsidR="004B66BE">
        <w:t xml:space="preserve">Modal regulations </w:t>
      </w:r>
      <w:r w:rsidR="00802705">
        <w:t>sometimes</w:t>
      </w:r>
      <w:r w:rsidR="00FA0DF5">
        <w:t xml:space="preserve"> </w:t>
      </w:r>
      <w:r w:rsidR="00E539C9">
        <w:t>contain references to NEM</w:t>
      </w:r>
      <w:r w:rsidR="00FA0DF5">
        <w:t xml:space="preserve">, but these </w:t>
      </w:r>
      <w:r w:rsidR="00E539C9">
        <w:t>would not be impacted by this proposal</w:t>
      </w:r>
      <w:r w:rsidR="00396D81">
        <w:t>:</w:t>
      </w:r>
    </w:p>
    <w:p w14:paraId="1FCF14ED" w14:textId="77777777" w:rsidR="003C39BA" w:rsidRPr="00123CA3" w:rsidRDefault="00123CA3" w:rsidP="00123CA3">
      <w:pPr>
        <w:pStyle w:val="SingleTxtG"/>
        <w:ind w:left="1701"/>
      </w:pPr>
      <w:r>
        <w:tab/>
        <w:t>(a)</w:t>
      </w:r>
      <w:r>
        <w:tab/>
      </w:r>
      <w:r w:rsidR="007C20DC" w:rsidRPr="00123CA3">
        <w:t>The air mode requirements for dangerous goods are found in the International Civil Aviation Organization’s Technical Instructions for the Safe Transport of Dangerous Goods by Air (ICAO TI)</w:t>
      </w:r>
      <w:r w:rsidR="00142A6F" w:rsidRPr="00123CA3">
        <w:t>.</w:t>
      </w:r>
      <w:r w:rsidR="007C20DC" w:rsidRPr="00123CA3">
        <w:t xml:space="preserve"> </w:t>
      </w:r>
      <w:r w:rsidR="00BD7B70" w:rsidRPr="00123CA3">
        <w:t xml:space="preserve">The </w:t>
      </w:r>
      <w:r w:rsidR="007C20DC" w:rsidRPr="00123CA3">
        <w:t>TI</w:t>
      </w:r>
      <w:r w:rsidR="00BD7B70" w:rsidRPr="00123CA3">
        <w:t xml:space="preserve"> mirror</w:t>
      </w:r>
      <w:r w:rsidR="007C20DC" w:rsidRPr="00123CA3">
        <w:t>s</w:t>
      </w:r>
      <w:r w:rsidR="00BD7B70" w:rsidRPr="00123CA3">
        <w:t xml:space="preserve"> the Model Regulations</w:t>
      </w:r>
      <w:r w:rsidR="00802705" w:rsidRPr="00123CA3">
        <w:t xml:space="preserve"> -</w:t>
      </w:r>
      <w:r w:rsidR="00BD7B70" w:rsidRPr="00123CA3">
        <w:t xml:space="preserve"> </w:t>
      </w:r>
      <w:r w:rsidR="007C20DC" w:rsidRPr="00123CA3">
        <w:t>t</w:t>
      </w:r>
      <w:r w:rsidR="00396D81" w:rsidRPr="00123CA3">
        <w:t xml:space="preserve">here </w:t>
      </w:r>
      <w:r w:rsidR="00BD7B70" w:rsidRPr="00123CA3">
        <w:t>is a documentation requirement, but</w:t>
      </w:r>
      <w:r w:rsidR="00396D81" w:rsidRPr="00123CA3">
        <w:t xml:space="preserve"> no </w:t>
      </w:r>
      <w:r w:rsidR="007C20DC" w:rsidRPr="00123CA3">
        <w:t xml:space="preserve">limitations or </w:t>
      </w:r>
      <w:r w:rsidR="00396D81" w:rsidRPr="00123CA3">
        <w:t xml:space="preserve">requirements </w:t>
      </w:r>
      <w:r w:rsidR="00BD7B70" w:rsidRPr="00123CA3">
        <w:t xml:space="preserve">are </w:t>
      </w:r>
      <w:r w:rsidR="007C20DC" w:rsidRPr="00123CA3">
        <w:t>incurred based</w:t>
      </w:r>
      <w:r w:rsidR="00396D81" w:rsidRPr="00123CA3">
        <w:t xml:space="preserve"> on </w:t>
      </w:r>
      <w:r w:rsidR="00BD7B70" w:rsidRPr="00123CA3">
        <w:t xml:space="preserve">the </w:t>
      </w:r>
      <w:r w:rsidR="00396D81" w:rsidRPr="00123CA3">
        <w:t>NEM.</w:t>
      </w:r>
      <w:r w:rsidR="007C20DC" w:rsidRPr="00123CA3">
        <w:t xml:space="preserve"> </w:t>
      </w:r>
      <w:r w:rsidR="00802705" w:rsidRPr="00123CA3">
        <w:t>The</w:t>
      </w:r>
      <w:r w:rsidR="007C20DC" w:rsidRPr="00123CA3">
        <w:t xml:space="preserve"> </w:t>
      </w:r>
      <w:r w:rsidR="00D0506B" w:rsidRPr="00123CA3">
        <w:t>c</w:t>
      </w:r>
      <w:r w:rsidR="00D13127" w:rsidRPr="00123CA3">
        <w:t xml:space="preserve">onfigurations </w:t>
      </w:r>
      <w:r w:rsidR="007C20DC" w:rsidRPr="00123CA3">
        <w:t xml:space="preserve">of explosives subject to </w:t>
      </w:r>
      <w:r w:rsidR="00214852" w:rsidRPr="00123CA3">
        <w:t xml:space="preserve">simultaneous </w:t>
      </w:r>
      <w:r w:rsidR="007C20DC" w:rsidRPr="00123CA3">
        <w:t xml:space="preserve">reaction of all </w:t>
      </w:r>
      <w:r w:rsidR="00214852" w:rsidRPr="00123CA3">
        <w:t>the explosives</w:t>
      </w:r>
      <w:r w:rsidR="007C20DC" w:rsidRPr="00123CA3">
        <w:t xml:space="preserve"> (Divisions 1.1, 1.2</w:t>
      </w:r>
      <w:r w:rsidR="00D0506B" w:rsidRPr="00123CA3">
        <w:t>,</w:t>
      </w:r>
      <w:r w:rsidR="007C20DC" w:rsidRPr="00123CA3">
        <w:t xml:space="preserve"> 1.3) are generally not allowed on aircraft.</w:t>
      </w:r>
    </w:p>
    <w:p w14:paraId="66627AD2" w14:textId="77777777" w:rsidR="005B6F1B" w:rsidRPr="00123CA3" w:rsidRDefault="00123CA3" w:rsidP="00123CA3">
      <w:pPr>
        <w:pStyle w:val="SingleTxtG"/>
        <w:ind w:left="1701"/>
      </w:pPr>
      <w:r>
        <w:t>(b)</w:t>
      </w:r>
      <w:r>
        <w:tab/>
      </w:r>
      <w:r w:rsidR="00264F74" w:rsidRPr="00123CA3">
        <w:t xml:space="preserve">The </w:t>
      </w:r>
      <w:r w:rsidR="005419FD" w:rsidRPr="00123CA3">
        <w:t>vessel mode requirements for dangerous goods are found in the International Maritime Dangerous Goods Code (the IMDG Code)</w:t>
      </w:r>
      <w:r w:rsidR="006C7930">
        <w:t>:</w:t>
      </w:r>
    </w:p>
    <w:p w14:paraId="6B0EC95D" w14:textId="77777777" w:rsidR="007C20DC" w:rsidRPr="00123CA3" w:rsidRDefault="006C7930" w:rsidP="00123CA3">
      <w:pPr>
        <w:pStyle w:val="SingleTxtG"/>
        <w:ind w:left="2835" w:hanging="567"/>
      </w:pPr>
      <w:r>
        <w:t>(</w:t>
      </w:r>
      <w:proofErr w:type="spellStart"/>
      <w:r w:rsidR="00123CA3">
        <w:t>i</w:t>
      </w:r>
      <w:proofErr w:type="spellEnd"/>
      <w:r>
        <w:t>)</w:t>
      </w:r>
      <w:r w:rsidR="00123CA3">
        <w:tab/>
      </w:r>
      <w:r w:rsidR="005419FD" w:rsidRPr="00123CA3">
        <w:t xml:space="preserve">The documentation requirement </w:t>
      </w:r>
      <w:r w:rsidR="00142A6F" w:rsidRPr="00123CA3">
        <w:t xml:space="preserve">(IMDG 5.4.1.5.1) </w:t>
      </w:r>
      <w:r w:rsidR="005419FD" w:rsidRPr="00123CA3">
        <w:t xml:space="preserve">is </w:t>
      </w:r>
      <w:r w:rsidR="00142A6F" w:rsidRPr="00123CA3">
        <w:t xml:space="preserve">identical to </w:t>
      </w:r>
      <w:r w:rsidR="005419FD" w:rsidRPr="00123CA3">
        <w:t xml:space="preserve">the Model Regulations. </w:t>
      </w:r>
    </w:p>
    <w:p w14:paraId="314FF763" w14:textId="77777777" w:rsidR="005B6F1B" w:rsidRPr="00123CA3" w:rsidRDefault="006C7930" w:rsidP="00123CA3">
      <w:pPr>
        <w:pStyle w:val="SingleTxtG"/>
        <w:ind w:left="2835" w:hanging="567"/>
      </w:pPr>
      <w:r>
        <w:t>(</w:t>
      </w:r>
      <w:r w:rsidR="00123CA3">
        <w:t>ii</w:t>
      </w:r>
      <w:r>
        <w:t>)</w:t>
      </w:r>
      <w:r w:rsidR="00123CA3">
        <w:tab/>
      </w:r>
      <w:r w:rsidR="00A434FF" w:rsidRPr="00123CA3">
        <w:t>In 7.1.4.4.5, e</w:t>
      </w:r>
      <w:r w:rsidR="00732C0A" w:rsidRPr="00123CA3">
        <w:t xml:space="preserve">xplosives other than those classified as 1.4S are prohibited on passenger ships. Exceptions are then provided for </w:t>
      </w:r>
      <w:r w:rsidR="000622F1" w:rsidRPr="00123CA3">
        <w:t>various</w:t>
      </w:r>
      <w:r w:rsidR="00732C0A" w:rsidRPr="00123CA3">
        <w:t xml:space="preserve"> </w:t>
      </w:r>
      <w:r w:rsidR="00D55C32" w:rsidRPr="00123CA3">
        <w:t xml:space="preserve">compatibility groups </w:t>
      </w:r>
      <w:r w:rsidR="00732C0A" w:rsidRPr="00123CA3">
        <w:t xml:space="preserve">of explosives up to 10 kg NEM, </w:t>
      </w:r>
      <w:r w:rsidR="00D55C32" w:rsidRPr="00123CA3">
        <w:t>no matter what</w:t>
      </w:r>
      <w:r w:rsidR="000622F1" w:rsidRPr="00123CA3">
        <w:t xml:space="preserve"> hazard division.</w:t>
      </w:r>
      <w:r w:rsidR="00286F95" w:rsidRPr="00123CA3">
        <w:t xml:space="preserve"> This is a small amount, equivalent to </w:t>
      </w:r>
      <w:r w:rsidR="002D7241" w:rsidRPr="00123CA3">
        <w:t>a few packages or less</w:t>
      </w:r>
      <w:r w:rsidR="00067F14" w:rsidRPr="00123CA3">
        <w:t xml:space="preserve">, </w:t>
      </w:r>
      <w:r w:rsidR="002D7241" w:rsidRPr="00123CA3">
        <w:t>which could</w:t>
      </w:r>
      <w:r w:rsidR="00067F14" w:rsidRPr="00123CA3">
        <w:t xml:space="preserve"> be high hazard</w:t>
      </w:r>
      <w:r w:rsidR="00286F95" w:rsidRPr="00123CA3">
        <w:t xml:space="preserve">. </w:t>
      </w:r>
      <w:r w:rsidR="00365A70" w:rsidRPr="00123CA3">
        <w:t>Here the u</w:t>
      </w:r>
      <w:r w:rsidR="00D71693" w:rsidRPr="00123CA3">
        <w:t>se of the</w:t>
      </w:r>
      <w:r w:rsidR="00FF25C9" w:rsidRPr="00123CA3">
        <w:t xml:space="preserve"> </w:t>
      </w:r>
      <w:r w:rsidR="00D71693" w:rsidRPr="00123CA3">
        <w:t xml:space="preserve">NEM </w:t>
      </w:r>
      <w:r w:rsidR="00067F14" w:rsidRPr="00123CA3">
        <w:t xml:space="preserve">versus some other measurement </w:t>
      </w:r>
      <w:r w:rsidR="00E539C9" w:rsidRPr="00123CA3">
        <w:t xml:space="preserve">is </w:t>
      </w:r>
      <w:r w:rsidR="00D71693" w:rsidRPr="00123CA3">
        <w:t>not</w:t>
      </w:r>
      <w:r w:rsidR="00E539C9" w:rsidRPr="00123CA3">
        <w:t xml:space="preserve"> </w:t>
      </w:r>
      <w:r w:rsidR="00D71693" w:rsidRPr="00123CA3">
        <w:t>of critical importance</w:t>
      </w:r>
      <w:r w:rsidR="00B520BD" w:rsidRPr="00123CA3">
        <w:t xml:space="preserve">, </w:t>
      </w:r>
      <w:r w:rsidR="00763669" w:rsidRPr="00123CA3">
        <w:t>as more importantly</w:t>
      </w:r>
      <w:r w:rsidR="00B520BD" w:rsidRPr="00123CA3">
        <w:t xml:space="preserve"> the division is not restricted</w:t>
      </w:r>
      <w:r w:rsidR="002D7241" w:rsidRPr="00123CA3">
        <w:t>.</w:t>
      </w:r>
    </w:p>
    <w:p w14:paraId="63D25B84" w14:textId="77777777" w:rsidR="00286F95" w:rsidRDefault="006C7930" w:rsidP="00123CA3">
      <w:pPr>
        <w:pStyle w:val="SingleTxtG"/>
        <w:ind w:left="2835" w:hanging="567"/>
      </w:pPr>
      <w:r>
        <w:t>(</w:t>
      </w:r>
      <w:r w:rsidR="00123CA3">
        <w:t>iii</w:t>
      </w:r>
      <w:r>
        <w:t>)</w:t>
      </w:r>
      <w:r w:rsidR="00123CA3">
        <w:tab/>
      </w:r>
      <w:r w:rsidR="00286F95" w:rsidRPr="00123CA3">
        <w:t xml:space="preserve">Goods in Division 1.1 or 1.2 of compatibility group B may be stowed in the same hold as substances of compatibility group D provided the </w:t>
      </w:r>
      <w:r w:rsidR="00286F95" w:rsidRPr="00123CA3">
        <w:lastRenderedPageBreak/>
        <w:t>net</w:t>
      </w:r>
      <w:r w:rsidR="00286F95" w:rsidRPr="00286F95">
        <w:t xml:space="preserve"> explosive mass of goods of compatibilit</w:t>
      </w:r>
      <w:r w:rsidR="00286F95">
        <w:t xml:space="preserve">y group B does not exceed 50 kg. This provision does not apply to Division </w:t>
      </w:r>
      <w:proofErr w:type="gramStart"/>
      <w:r w:rsidR="00286F95">
        <w:t>1.4</w:t>
      </w:r>
      <w:r w:rsidR="00143F87">
        <w:t>,</w:t>
      </w:r>
      <w:r w:rsidR="00286F95">
        <w:t xml:space="preserve"> and</w:t>
      </w:r>
      <w:proofErr w:type="gramEnd"/>
      <w:r w:rsidR="00286F95">
        <w:t xml:space="preserve"> would not be impacted by this proposal.</w:t>
      </w:r>
    </w:p>
    <w:p w14:paraId="180DCCE5" w14:textId="77777777" w:rsidR="003C39BA" w:rsidRDefault="00123CA3" w:rsidP="00123CA3">
      <w:pPr>
        <w:pStyle w:val="SingleTxtG"/>
        <w:ind w:left="1701"/>
      </w:pPr>
      <w:r>
        <w:tab/>
        <w:t>(c)</w:t>
      </w:r>
      <w:r>
        <w:tab/>
      </w:r>
      <w:r w:rsidR="00637292">
        <w:t xml:space="preserve">The ADR is an </w:t>
      </w:r>
      <w:r w:rsidR="00637292" w:rsidRPr="00123CA3">
        <w:t>international</w:t>
      </w:r>
      <w:r w:rsidR="00637292">
        <w:t xml:space="preserve"> modal regulation for road transport of dangerous goods</w:t>
      </w:r>
      <w:r w:rsidR="001045DC">
        <w:t>, which has the following requirements:</w:t>
      </w:r>
      <w:r w:rsidR="00B520BD" w:rsidRPr="00B520BD">
        <w:t xml:space="preserve"> </w:t>
      </w:r>
    </w:p>
    <w:p w14:paraId="647A1CEB" w14:textId="77777777" w:rsidR="001045DC" w:rsidRDefault="006C7930" w:rsidP="00087A27">
      <w:pPr>
        <w:pStyle w:val="SingleTxtG"/>
        <w:ind w:left="2835" w:hanging="567"/>
      </w:pPr>
      <w:r>
        <w:t>(</w:t>
      </w:r>
      <w:proofErr w:type="spellStart"/>
      <w:r>
        <w:t>i</w:t>
      </w:r>
      <w:proofErr w:type="spellEnd"/>
      <w:r>
        <w:t>)</w:t>
      </w:r>
      <w:r>
        <w:tab/>
      </w:r>
      <w:r w:rsidR="001045DC">
        <w:t xml:space="preserve">Per ADR 5.4.1.2.1, the NEM must be documented for each UN number and their combined total. </w:t>
      </w:r>
    </w:p>
    <w:p w14:paraId="3BB45843" w14:textId="77777777" w:rsidR="005572A1" w:rsidRPr="005572A1" w:rsidRDefault="006C7930" w:rsidP="00087A27">
      <w:pPr>
        <w:pStyle w:val="SingleTxtG"/>
        <w:ind w:left="2835" w:hanging="567"/>
      </w:pPr>
      <w:r>
        <w:t>(ii)</w:t>
      </w:r>
      <w:r>
        <w:tab/>
      </w:r>
      <w:r w:rsidR="008A2EB0">
        <w:t>Some</w:t>
      </w:r>
      <w:r w:rsidR="006946D5">
        <w:t xml:space="preserve"> NEM limits apply to tunnels</w:t>
      </w:r>
      <w:r w:rsidR="005572A1">
        <w:t xml:space="preserve"> in ADR </w:t>
      </w:r>
      <w:r w:rsidR="008A2EB0">
        <w:t>1.9.5.2.2</w:t>
      </w:r>
      <w:r w:rsidR="005572A1">
        <w:t xml:space="preserve">. </w:t>
      </w:r>
      <w:r w:rsidR="00365A70">
        <w:t xml:space="preserve">Further </w:t>
      </w:r>
      <w:r w:rsidR="00934D9E">
        <w:t>res</w:t>
      </w:r>
      <w:r w:rsidR="00365A70">
        <w:t xml:space="preserve">trictions using NEM for tunnels occur in ADR 8.6.4.   </w:t>
      </w:r>
      <w:r w:rsidR="00B04696">
        <w:t xml:space="preserve">None of </w:t>
      </w:r>
      <w:r w:rsidR="00737136">
        <w:t>the</w:t>
      </w:r>
      <w:r w:rsidR="005572A1">
        <w:t xml:space="preserve"> </w:t>
      </w:r>
      <w:r w:rsidR="00737136">
        <w:t xml:space="preserve">tunnel </w:t>
      </w:r>
      <w:r w:rsidR="00B04696">
        <w:t>restrictions</w:t>
      </w:r>
      <w:r w:rsidR="00365A70">
        <w:t xml:space="preserve"> </w:t>
      </w:r>
      <w:r w:rsidR="00737136">
        <w:t>based on NEM apply</w:t>
      </w:r>
      <w:r w:rsidR="00365A70">
        <w:t xml:space="preserve"> to</w:t>
      </w:r>
      <w:r w:rsidR="005572A1">
        <w:t xml:space="preserve"> Division 1.4 explosives.</w:t>
      </w:r>
    </w:p>
    <w:p w14:paraId="10AAC39B" w14:textId="77777777" w:rsidR="006946D5" w:rsidRDefault="006C7930" w:rsidP="00087A27">
      <w:pPr>
        <w:pStyle w:val="SingleTxtG"/>
        <w:ind w:left="2835" w:hanging="567"/>
      </w:pPr>
      <w:r>
        <w:t>(iii)</w:t>
      </w:r>
      <w:r>
        <w:tab/>
      </w:r>
      <w:r w:rsidR="002718B4">
        <w:t xml:space="preserve">An exemption applies to 1.4G fireworks </w:t>
      </w:r>
      <w:r w:rsidR="00365A70">
        <w:t>for</w:t>
      </w:r>
      <w:r w:rsidR="002718B4">
        <w:t xml:space="preserve"> waivers to </w:t>
      </w:r>
      <w:r w:rsidR="00672E3A">
        <w:t xml:space="preserve">explosive </w:t>
      </w:r>
      <w:r w:rsidR="002718B4">
        <w:t xml:space="preserve">vehicle specifications based on </w:t>
      </w:r>
      <w:r w:rsidR="00365A70">
        <w:t xml:space="preserve">an </w:t>
      </w:r>
      <w:r w:rsidR="002718B4">
        <w:t>NEM</w:t>
      </w:r>
      <w:r w:rsidR="00365A70">
        <w:t xml:space="preserve"> threshold</w:t>
      </w:r>
      <w:r w:rsidR="002718B4">
        <w:t>.</w:t>
      </w:r>
    </w:p>
    <w:p w14:paraId="021ECCCE" w14:textId="77777777" w:rsidR="007C4223" w:rsidRDefault="007C4223" w:rsidP="00352EEA">
      <w:pPr>
        <w:pStyle w:val="HChG"/>
        <w:ind w:firstLine="0"/>
      </w:pPr>
      <w:r>
        <w:t xml:space="preserve">Delay and </w:t>
      </w:r>
      <w:r w:rsidR="006C7930">
        <w:t>d</w:t>
      </w:r>
      <w:r>
        <w:t>enial</w:t>
      </w:r>
    </w:p>
    <w:p w14:paraId="72A3B6DA" w14:textId="77777777" w:rsidR="007C4223" w:rsidRPr="00352EEA" w:rsidRDefault="00123CA3" w:rsidP="00123CA3">
      <w:pPr>
        <w:pStyle w:val="SingleTxtG"/>
      </w:pPr>
      <w:r>
        <w:t>14.</w:t>
      </w:r>
      <w:r>
        <w:tab/>
      </w:r>
      <w:r w:rsidR="00DC45D7">
        <w:t>Vessel c</w:t>
      </w:r>
      <w:r w:rsidR="00331D7D" w:rsidRPr="00C75B20">
        <w:t xml:space="preserve">arriers </w:t>
      </w:r>
      <w:r w:rsidR="00B520BD">
        <w:t>request</w:t>
      </w:r>
      <w:r w:rsidR="00331D7D" w:rsidRPr="00C75B20">
        <w:t xml:space="preserve"> </w:t>
      </w:r>
      <w:r w:rsidR="00331D7D">
        <w:t>NEM</w:t>
      </w:r>
      <w:r w:rsidR="00331D7D" w:rsidRPr="00C75B20">
        <w:t xml:space="preserve"> detail</w:t>
      </w:r>
      <w:r w:rsidR="00331D7D">
        <w:t>s</w:t>
      </w:r>
      <w:r w:rsidR="00331D7D" w:rsidRPr="00C75B20">
        <w:t xml:space="preserve"> </w:t>
      </w:r>
      <w:r w:rsidR="00304D5E">
        <w:t>to facilitate their bidding process</w:t>
      </w:r>
      <w:r w:rsidR="00B520BD">
        <w:t xml:space="preserve"> far in advance of </w:t>
      </w:r>
      <w:r w:rsidR="00D0506B">
        <w:t>a journey</w:t>
      </w:r>
      <w:r w:rsidR="00304D5E">
        <w:t>, which includes accounting for transit facility quantity limits</w:t>
      </w:r>
      <w:r w:rsidR="00DC45D7">
        <w:t xml:space="preserve"> and what freight may be present at </w:t>
      </w:r>
      <w:r w:rsidR="00DC45D7" w:rsidRPr="00123CA3">
        <w:t>all</w:t>
      </w:r>
      <w:r w:rsidR="00DC45D7">
        <w:t xml:space="preserve"> transit ports at different times</w:t>
      </w:r>
      <w:r w:rsidR="00331D7D" w:rsidRPr="00C75B20">
        <w:t xml:space="preserve">. </w:t>
      </w:r>
      <w:r w:rsidR="00DC45D7">
        <w:t xml:space="preserve">NEM </w:t>
      </w:r>
      <w:r w:rsidR="00331D7D" w:rsidRPr="00C75B20">
        <w:t xml:space="preserve">information is not readily available until the order is </w:t>
      </w:r>
      <w:proofErr w:type="gramStart"/>
      <w:r w:rsidR="00331D7D" w:rsidRPr="00C75B20">
        <w:t>actually received</w:t>
      </w:r>
      <w:proofErr w:type="gramEnd"/>
      <w:r w:rsidR="00331D7D" w:rsidRPr="00C75B20">
        <w:t xml:space="preserve"> and </w:t>
      </w:r>
      <w:r w:rsidR="00B520BD">
        <w:t>entered into computer</w:t>
      </w:r>
      <w:r w:rsidR="00331D7D" w:rsidRPr="00C75B20">
        <w:t xml:space="preserve"> systems</w:t>
      </w:r>
      <w:r w:rsidR="002D7241">
        <w:t>,</w:t>
      </w:r>
      <w:r w:rsidR="00331D7D" w:rsidRPr="00C75B20">
        <w:t xml:space="preserve"> </w:t>
      </w:r>
      <w:r w:rsidR="002D7241">
        <w:t xml:space="preserve">which sift through small NEM differences in </w:t>
      </w:r>
      <w:r w:rsidR="00B520BD">
        <w:t>thousands of product</w:t>
      </w:r>
      <w:r w:rsidR="002D7241">
        <w:t xml:space="preserve"> codes </w:t>
      </w:r>
      <w:r w:rsidR="00331D7D" w:rsidRPr="00C75B20">
        <w:t xml:space="preserve">to generate the </w:t>
      </w:r>
      <w:r w:rsidR="00B520BD">
        <w:t xml:space="preserve">NEM </w:t>
      </w:r>
      <w:r w:rsidR="00331D7D" w:rsidRPr="00C75B20">
        <w:t>data.</w:t>
      </w:r>
      <w:r w:rsidR="00486AB2">
        <w:t xml:space="preserve"> </w:t>
      </w:r>
    </w:p>
    <w:p w14:paraId="0DAAB5FF" w14:textId="77777777" w:rsidR="00486AB2" w:rsidRPr="00E55241" w:rsidRDefault="00123CA3" w:rsidP="00123CA3">
      <w:pPr>
        <w:pStyle w:val="SingleTxtG"/>
      </w:pPr>
      <w:r>
        <w:t>15.</w:t>
      </w:r>
      <w:r>
        <w:tab/>
      </w:r>
      <w:r w:rsidR="00486AB2" w:rsidRPr="001076CA">
        <w:t>Booking request</w:t>
      </w:r>
      <w:r w:rsidR="00572507">
        <w:t>s</w:t>
      </w:r>
      <w:r w:rsidR="00486AB2" w:rsidRPr="001076CA">
        <w:t xml:space="preserve"> and </w:t>
      </w:r>
      <w:r w:rsidR="00FE3CB1">
        <w:t xml:space="preserve">approvals take </w:t>
      </w:r>
      <w:r w:rsidR="001D41E7">
        <w:t>two to three</w:t>
      </w:r>
      <w:r w:rsidR="00486AB2" w:rsidRPr="001076CA">
        <w:t xml:space="preserve"> weeks while each </w:t>
      </w:r>
      <w:r w:rsidR="002D7241">
        <w:t xml:space="preserve">transit </w:t>
      </w:r>
      <w:r w:rsidR="00486AB2" w:rsidRPr="001076CA">
        <w:t xml:space="preserve">port </w:t>
      </w:r>
      <w:r w:rsidR="002D7241">
        <w:t>verifies</w:t>
      </w:r>
      <w:r w:rsidR="002D7241" w:rsidRPr="001076CA">
        <w:t xml:space="preserve"> </w:t>
      </w:r>
      <w:r w:rsidR="00486AB2" w:rsidRPr="001076CA">
        <w:t xml:space="preserve">that the </w:t>
      </w:r>
      <w:r w:rsidR="00486AB2" w:rsidRPr="00123CA3">
        <w:t>total</w:t>
      </w:r>
      <w:r w:rsidR="00486AB2" w:rsidRPr="001076CA">
        <w:t xml:space="preserve"> </w:t>
      </w:r>
      <w:r w:rsidR="00E72981">
        <w:t xml:space="preserve">aggregate </w:t>
      </w:r>
      <w:r w:rsidR="00486AB2" w:rsidRPr="001076CA">
        <w:t>max</w:t>
      </w:r>
      <w:r w:rsidR="00486AB2">
        <w:t>imum</w:t>
      </w:r>
      <w:r w:rsidR="00486AB2" w:rsidRPr="001076CA">
        <w:t xml:space="preserve"> threshold for </w:t>
      </w:r>
      <w:r w:rsidR="00E72981">
        <w:t xml:space="preserve">all </w:t>
      </w:r>
      <w:r w:rsidR="00FE3CB1">
        <w:t xml:space="preserve">projected </w:t>
      </w:r>
      <w:r w:rsidR="00486AB2" w:rsidRPr="001076CA">
        <w:t>cla</w:t>
      </w:r>
      <w:r w:rsidR="00486AB2">
        <w:t xml:space="preserve">ss 1 </w:t>
      </w:r>
      <w:r w:rsidR="00E72981">
        <w:t xml:space="preserve">shipments </w:t>
      </w:r>
      <w:r w:rsidR="002D7241">
        <w:t xml:space="preserve">in the timeframe </w:t>
      </w:r>
      <w:r w:rsidR="00486AB2">
        <w:t>is not exceeded.</w:t>
      </w:r>
      <w:r w:rsidR="002D7241" w:rsidRPr="002D7241">
        <w:t xml:space="preserve"> </w:t>
      </w:r>
      <w:r w:rsidR="002D7241">
        <w:t xml:space="preserve">These limits can prevent a ship from transiting a port based on the possible presence of other ships and their predicted schedules, cargoes and quantities. If there is any </w:t>
      </w:r>
      <w:r w:rsidR="002D7241" w:rsidRPr="00E55241">
        <w:t>question the shipment is just refused.</w:t>
      </w:r>
    </w:p>
    <w:p w14:paraId="6914B84C" w14:textId="77777777" w:rsidR="00486AB2" w:rsidRPr="00E55241" w:rsidRDefault="00123CA3" w:rsidP="00123CA3">
      <w:pPr>
        <w:pStyle w:val="SingleTxtG"/>
      </w:pPr>
      <w:r>
        <w:tab/>
        <w:t>16.</w:t>
      </w:r>
      <w:r>
        <w:tab/>
      </w:r>
      <w:r w:rsidR="00486AB2" w:rsidRPr="00E55241">
        <w:t xml:space="preserve">Shippers are routinely denied bookings </w:t>
      </w:r>
      <w:r w:rsidR="00E72981" w:rsidRPr="00E55241">
        <w:t>for</w:t>
      </w:r>
      <w:r w:rsidR="00486AB2" w:rsidRPr="00E55241">
        <w:t xml:space="preserve"> </w:t>
      </w:r>
      <w:r w:rsidR="00DF51DC">
        <w:t>Division 1.4 shipments</w:t>
      </w:r>
      <w:r w:rsidR="002E2CC5">
        <w:t xml:space="preserve"> in maritime transport</w:t>
      </w:r>
      <w:r w:rsidR="00DF51DC">
        <w:t xml:space="preserve">, and </w:t>
      </w:r>
      <w:r w:rsidR="00DF51DC" w:rsidRPr="00123CA3">
        <w:t>then</w:t>
      </w:r>
      <w:r w:rsidR="00DF51DC">
        <w:t xml:space="preserve"> are limited to the small </w:t>
      </w:r>
      <w:r w:rsidR="00F51AB9">
        <w:t>availability</w:t>
      </w:r>
      <w:r w:rsidR="00DF51DC">
        <w:t xml:space="preserve"> of high cost vessels</w:t>
      </w:r>
      <w:r w:rsidR="00486AB2" w:rsidRPr="00E55241">
        <w:t xml:space="preserve"> and routes that will accept high hazard C</w:t>
      </w:r>
      <w:r w:rsidR="00E72981" w:rsidRPr="00E55241">
        <w:t>lass 1</w:t>
      </w:r>
      <w:r w:rsidR="00DC45D7">
        <w:t>, if any</w:t>
      </w:r>
      <w:r w:rsidR="00E72981" w:rsidRPr="00E55241">
        <w:t xml:space="preserve">. This is </w:t>
      </w:r>
      <w:r w:rsidR="002D7241" w:rsidRPr="00E55241">
        <w:t xml:space="preserve">a </w:t>
      </w:r>
      <w:r w:rsidR="00E72981" w:rsidRPr="00E55241">
        <w:t xml:space="preserve">significant </w:t>
      </w:r>
      <w:r w:rsidR="002D7241" w:rsidRPr="00E55241">
        <w:t xml:space="preserve">impediment to </w:t>
      </w:r>
      <w:r w:rsidR="00E72981" w:rsidRPr="00E55241">
        <w:t xml:space="preserve">commerce. </w:t>
      </w:r>
    </w:p>
    <w:p w14:paraId="5AEF3272" w14:textId="77777777" w:rsidR="00E55241" w:rsidRDefault="00123CA3" w:rsidP="00123CA3">
      <w:pPr>
        <w:pStyle w:val="SingleTxtG"/>
      </w:pPr>
      <w:r>
        <w:t>17.</w:t>
      </w:r>
      <w:r>
        <w:tab/>
      </w:r>
      <w:r w:rsidR="00E55241" w:rsidRPr="00E55241">
        <w:t xml:space="preserve">For shippers who are not manufacturers, the NEM of Division 1.4 explosive articles is </w:t>
      </w:r>
      <w:r w:rsidR="00E55241" w:rsidRPr="006D5BE3">
        <w:t xml:space="preserve">usually unknown. </w:t>
      </w:r>
      <w:r w:rsidR="00DB7E97">
        <w:t>A</w:t>
      </w:r>
      <w:r w:rsidR="00E55241" w:rsidRPr="006D5BE3">
        <w:t xml:space="preserve">cquiring and managing </w:t>
      </w:r>
      <w:r w:rsidR="007E05FC">
        <w:t xml:space="preserve">NEM </w:t>
      </w:r>
      <w:r w:rsidR="00E55241" w:rsidRPr="006D5BE3">
        <w:t xml:space="preserve">data of thousands of small products with minor variations </w:t>
      </w:r>
      <w:r w:rsidR="00DB7E97">
        <w:t xml:space="preserve">from multiple manufacturers </w:t>
      </w:r>
      <w:r w:rsidR="00E55241" w:rsidRPr="006D5BE3">
        <w:t xml:space="preserve">is </w:t>
      </w:r>
      <w:r w:rsidR="007E05FC">
        <w:t>unjustifiably burdensome</w:t>
      </w:r>
      <w:r w:rsidR="00E55241" w:rsidRPr="006D5BE3">
        <w:t>.</w:t>
      </w:r>
    </w:p>
    <w:p w14:paraId="256F1C67" w14:textId="77777777" w:rsidR="00DF51DC" w:rsidRPr="006D5BE3" w:rsidRDefault="00123CA3" w:rsidP="00123CA3">
      <w:pPr>
        <w:pStyle w:val="SingleTxtG"/>
      </w:pPr>
      <w:r>
        <w:t>18.</w:t>
      </w:r>
      <w:r>
        <w:tab/>
      </w:r>
      <w:r w:rsidR="00DF51DC">
        <w:t xml:space="preserve">Whereas </w:t>
      </w:r>
      <w:r w:rsidR="00F04E07">
        <w:t xml:space="preserve">these </w:t>
      </w:r>
      <w:r w:rsidR="00DF51DC">
        <w:t xml:space="preserve">problems are most severe in the vessel mode, unnecessary costs, delay and denial </w:t>
      </w:r>
      <w:r w:rsidR="00DB7E97">
        <w:t>exist</w:t>
      </w:r>
      <w:r w:rsidR="00DF51DC">
        <w:t xml:space="preserve"> </w:t>
      </w:r>
      <w:r w:rsidR="00DF51DC" w:rsidRPr="00123CA3">
        <w:t>in</w:t>
      </w:r>
      <w:r w:rsidR="00DF51DC">
        <w:t xml:space="preserve"> all modes which </w:t>
      </w:r>
      <w:r w:rsidR="00F04E07">
        <w:t>require</w:t>
      </w:r>
      <w:r w:rsidR="00DF51DC">
        <w:t xml:space="preserve"> NEM documentation </w:t>
      </w:r>
      <w:r w:rsidR="00567AC9">
        <w:t>for Division 1.4.</w:t>
      </w:r>
      <w:r w:rsidR="004A12CD">
        <w:t xml:space="preserve"> </w:t>
      </w:r>
      <w:r w:rsidR="00741956">
        <w:t>Requirements for d</w:t>
      </w:r>
      <w:r w:rsidR="00D24EF3">
        <w:t>ocumentation of the NEM can encourage carrier and transit facility policies</w:t>
      </w:r>
      <w:r w:rsidR="00741956">
        <w:t xml:space="preserve"> </w:t>
      </w:r>
      <w:r w:rsidR="00D24EF3">
        <w:t xml:space="preserve">which limit the transport of Division 1.4 </w:t>
      </w:r>
      <w:r w:rsidR="00741956">
        <w:t>goods beyond the regulations</w:t>
      </w:r>
      <w:r w:rsidR="00D24EF3">
        <w:t xml:space="preserve">. </w:t>
      </w:r>
      <w:r w:rsidR="004A12CD">
        <w:t>Minute variations of NEM numbers are scrutinized by various entities in a transport chain to the level of 0.01 or 0.001 kilograms, without regard to how the information will (or will not) be used.</w:t>
      </w:r>
      <w:r w:rsidR="00B4248C">
        <w:t xml:space="preserve"> </w:t>
      </w:r>
    </w:p>
    <w:p w14:paraId="32A15EDB" w14:textId="77777777" w:rsidR="00FE3CB1" w:rsidRPr="00352EEA" w:rsidRDefault="00FE3CB1" w:rsidP="00352EEA">
      <w:pPr>
        <w:pStyle w:val="HChG"/>
        <w:ind w:firstLine="0"/>
      </w:pPr>
      <w:r>
        <w:t>Summary</w:t>
      </w:r>
    </w:p>
    <w:p w14:paraId="73C0BD50" w14:textId="77777777" w:rsidR="00486AB2" w:rsidRPr="00C75B20" w:rsidRDefault="00123CA3" w:rsidP="00123CA3">
      <w:pPr>
        <w:pStyle w:val="SingleTxtG"/>
      </w:pPr>
      <w:r>
        <w:t>19.</w:t>
      </w:r>
      <w:r>
        <w:tab/>
      </w:r>
      <w:r w:rsidR="00486AB2">
        <w:t xml:space="preserve">The </w:t>
      </w:r>
      <w:r w:rsidR="00E72981">
        <w:t>total amount of</w:t>
      </w:r>
      <w:r w:rsidR="00486AB2">
        <w:t xml:space="preserve"> </w:t>
      </w:r>
      <w:r w:rsidR="002D7241">
        <w:t>non-mass-</w:t>
      </w:r>
      <w:r w:rsidR="002D7241" w:rsidRPr="00123CA3">
        <w:t>propagating</w:t>
      </w:r>
      <w:r w:rsidR="00486AB2">
        <w:t xml:space="preserve"> explosives </w:t>
      </w:r>
      <w:r w:rsidR="00486AB2" w:rsidRPr="00C75B20">
        <w:t xml:space="preserve">at any port or on any vessel </w:t>
      </w:r>
      <w:r w:rsidR="00486AB2">
        <w:t xml:space="preserve">or aircraft </w:t>
      </w:r>
      <w:r w:rsidR="00E72981">
        <w:t>is not relevant to</w:t>
      </w:r>
      <w:r w:rsidR="00486AB2">
        <w:t xml:space="preserve"> public safety</w:t>
      </w:r>
      <w:r w:rsidR="00486AB2" w:rsidRPr="00C75B20">
        <w:t xml:space="preserve"> </w:t>
      </w:r>
      <w:r w:rsidR="00E55241">
        <w:t xml:space="preserve">more than any other dangerous </w:t>
      </w:r>
      <w:proofErr w:type="gramStart"/>
      <w:r w:rsidR="00E55241">
        <w:t xml:space="preserve">good, </w:t>
      </w:r>
      <w:r w:rsidR="00486AB2" w:rsidRPr="00C75B20">
        <w:t>and</w:t>
      </w:r>
      <w:proofErr w:type="gramEnd"/>
      <w:r w:rsidR="00486AB2" w:rsidRPr="00C75B20">
        <w:t xml:space="preserve"> does not need to be considered as part of </w:t>
      </w:r>
      <w:r w:rsidR="00D62F31">
        <w:t xml:space="preserve">mass explosion </w:t>
      </w:r>
      <w:r w:rsidR="00486AB2" w:rsidRPr="00C75B20">
        <w:t>calculations</w:t>
      </w:r>
      <w:r w:rsidR="00E72981">
        <w:t>.</w:t>
      </w:r>
    </w:p>
    <w:p w14:paraId="442BAA63" w14:textId="77777777" w:rsidR="007C4223" w:rsidRDefault="00123CA3" w:rsidP="00123CA3">
      <w:pPr>
        <w:pStyle w:val="SingleTxtG"/>
      </w:pPr>
      <w:r>
        <w:t>20.</w:t>
      </w:r>
      <w:r>
        <w:tab/>
      </w:r>
      <w:r w:rsidR="009464A0">
        <w:t xml:space="preserve">Division 1.4 </w:t>
      </w:r>
      <w:r w:rsidR="00486AB2">
        <w:t>explosives</w:t>
      </w:r>
      <w:r w:rsidR="007C4223" w:rsidRPr="00352EEA">
        <w:t xml:space="preserve"> </w:t>
      </w:r>
      <w:r w:rsidR="00ED03D6">
        <w:t xml:space="preserve">transport </w:t>
      </w:r>
      <w:r w:rsidR="007C4223" w:rsidRPr="00352EEA">
        <w:t xml:space="preserve">should not be burdened or restricted by </w:t>
      </w:r>
      <w:r w:rsidR="00486AB2">
        <w:t xml:space="preserve">NEM </w:t>
      </w:r>
      <w:r w:rsidR="007C4223" w:rsidRPr="00352EEA">
        <w:t xml:space="preserve">rules set forth for Class 1 materials </w:t>
      </w:r>
      <w:r w:rsidR="00E72981">
        <w:t xml:space="preserve">outside the scope of </w:t>
      </w:r>
      <w:r w:rsidR="00FA2B81">
        <w:t>international transport of dangerous goods regulations</w:t>
      </w:r>
      <w:r w:rsidR="00E72981">
        <w:t xml:space="preserve">, </w:t>
      </w:r>
      <w:r w:rsidR="007C4223" w:rsidRPr="00352EEA">
        <w:t xml:space="preserve">and </w:t>
      </w:r>
      <w:r w:rsidR="00CE620B">
        <w:t xml:space="preserve">their </w:t>
      </w:r>
      <w:r w:rsidR="00486AB2">
        <w:t>NEM</w:t>
      </w:r>
      <w:r w:rsidR="007C4223" w:rsidRPr="00352EEA">
        <w:t xml:space="preserve"> values </w:t>
      </w:r>
      <w:r w:rsidR="00486AB2">
        <w:t xml:space="preserve">should not be </w:t>
      </w:r>
      <w:r w:rsidR="00E72981">
        <w:t xml:space="preserve">required </w:t>
      </w:r>
      <w:r w:rsidR="00FA2B81">
        <w:t xml:space="preserve">by the Model Regulations </w:t>
      </w:r>
      <w:r w:rsidR="007C4223" w:rsidRPr="00352EEA">
        <w:t xml:space="preserve">on </w:t>
      </w:r>
      <w:r w:rsidR="00486AB2">
        <w:t>dangerous goods declarations</w:t>
      </w:r>
      <w:r w:rsidR="00E72981">
        <w:t xml:space="preserve"> </w:t>
      </w:r>
      <w:r w:rsidR="00966D1F">
        <w:t xml:space="preserve">when </w:t>
      </w:r>
      <w:r w:rsidR="009464A0">
        <w:t>there is no requirement that uses this information</w:t>
      </w:r>
      <w:r w:rsidR="00486AB2">
        <w:t>.</w:t>
      </w:r>
      <w:r w:rsidR="007C4223" w:rsidRPr="00352EEA">
        <w:t xml:space="preserve"> </w:t>
      </w:r>
    </w:p>
    <w:p w14:paraId="5A346969" w14:textId="77777777" w:rsidR="00DB5DD7" w:rsidRPr="00DB5DD7" w:rsidRDefault="00DD6AFF" w:rsidP="006D5BE3">
      <w:pPr>
        <w:pStyle w:val="HChG"/>
        <w:ind w:firstLine="0"/>
      </w:pPr>
      <w:r>
        <w:lastRenderedPageBreak/>
        <w:t>Proposal</w:t>
      </w:r>
    </w:p>
    <w:p w14:paraId="27BCCBFE" w14:textId="77777777" w:rsidR="00681744" w:rsidRDefault="00123CA3" w:rsidP="00123CA3">
      <w:pPr>
        <w:pStyle w:val="SingleTxtG"/>
      </w:pPr>
      <w:r>
        <w:tab/>
        <w:t>21.</w:t>
      </w:r>
      <w:r>
        <w:tab/>
      </w:r>
      <w:r w:rsidR="00030355">
        <w:t>Amend</w:t>
      </w:r>
      <w:r w:rsidR="00F14AEA">
        <w:t xml:space="preserve"> </w:t>
      </w:r>
      <w:r w:rsidR="00030355">
        <w:t>5.4.1.5.1 of the Model Regulations</w:t>
      </w:r>
      <w:r w:rsidR="001D41E7">
        <w:t xml:space="preserve"> as follows</w:t>
      </w:r>
      <w:r w:rsidR="00F14AEA">
        <w:t>:</w:t>
      </w:r>
    </w:p>
    <w:p w14:paraId="10EAA9DD" w14:textId="77777777" w:rsidR="001D41E7" w:rsidRDefault="00030355" w:rsidP="00993F32">
      <w:pPr>
        <w:pStyle w:val="SingleTxtG"/>
        <w:ind w:left="1701"/>
        <w:rPr>
          <w:rStyle w:val="apple-converted-space"/>
          <w:i/>
          <w:iCs/>
        </w:rPr>
      </w:pPr>
      <w:r>
        <w:t xml:space="preserve">5.4.1.5.1 </w:t>
      </w:r>
      <w:r>
        <w:rPr>
          <w:i/>
          <w:iCs/>
        </w:rPr>
        <w:t>Total quantity of dangerous goods</w:t>
      </w:r>
      <w:r>
        <w:rPr>
          <w:rStyle w:val="apple-converted-space"/>
          <w:i/>
          <w:iCs/>
        </w:rPr>
        <w:t> </w:t>
      </w:r>
    </w:p>
    <w:p w14:paraId="15834DEB" w14:textId="77777777" w:rsidR="00030355" w:rsidRDefault="001D41E7" w:rsidP="00993F32">
      <w:pPr>
        <w:pStyle w:val="SingleTxtG"/>
        <w:ind w:left="1701"/>
      </w:pPr>
      <w:r>
        <w:t>F</w:t>
      </w:r>
      <w:r w:rsidR="00030355">
        <w:t xml:space="preserve">or Class 1 dangerous goods </w:t>
      </w:r>
      <w:r w:rsidR="00030355" w:rsidRPr="00030355">
        <w:rPr>
          <w:u w:val="single"/>
        </w:rPr>
        <w:t>other than Division 1.4</w:t>
      </w:r>
      <w:r w:rsidR="00030355">
        <w:t>, the quantity shall be the net explosive mass.”</w:t>
      </w:r>
    </w:p>
    <w:p w14:paraId="6950E08C" w14:textId="77777777" w:rsidR="0078270D" w:rsidRDefault="002E10DE" w:rsidP="00D159CF">
      <w:pPr>
        <w:pStyle w:val="ListParagraph"/>
        <w:tabs>
          <w:tab w:val="left" w:pos="1855"/>
        </w:tabs>
        <w:suppressAutoHyphens/>
        <w:spacing w:before="240" w:line="240" w:lineRule="atLeast"/>
        <w:ind w:left="1134" w:right="1134"/>
        <w:jc w:val="center"/>
      </w:pPr>
      <w:r>
        <w:rPr>
          <w:sz w:val="20"/>
          <w:szCs w:val="20"/>
          <w:u w:val="single"/>
        </w:rPr>
        <w:tab/>
      </w:r>
      <w:r>
        <w:rPr>
          <w:sz w:val="20"/>
          <w:szCs w:val="20"/>
          <w:u w:val="single"/>
        </w:rPr>
        <w:tab/>
      </w:r>
      <w:r>
        <w:rPr>
          <w:sz w:val="20"/>
          <w:szCs w:val="20"/>
          <w:u w:val="single"/>
        </w:rPr>
        <w:tab/>
      </w:r>
    </w:p>
    <w:sectPr w:rsidR="0078270D" w:rsidSect="00D8651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2015" w14:textId="77777777" w:rsidR="00F62FFE" w:rsidRDefault="00F62FFE"/>
  </w:endnote>
  <w:endnote w:type="continuationSeparator" w:id="0">
    <w:p w14:paraId="12B91310" w14:textId="77777777" w:rsidR="00F62FFE" w:rsidRDefault="00F62FFE"/>
  </w:endnote>
  <w:endnote w:type="continuationNotice" w:id="1">
    <w:p w14:paraId="30700AC1" w14:textId="77777777" w:rsidR="00F62FFE" w:rsidRDefault="00F62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8DC9" w14:textId="77777777" w:rsidR="00100242" w:rsidRPr="009C67CC" w:rsidRDefault="00100242">
    <w:pPr>
      <w:pStyle w:val="Footer"/>
      <w:rPr>
        <w:b/>
      </w:rPr>
    </w:pPr>
    <w:r w:rsidRPr="009C67CC">
      <w:rPr>
        <w:b/>
      </w:rPr>
      <w:fldChar w:fldCharType="begin"/>
    </w:r>
    <w:r w:rsidRPr="009C67CC">
      <w:rPr>
        <w:b/>
      </w:rPr>
      <w:instrText xml:space="preserve"> PAGE   \* MERGEFORMAT </w:instrText>
    </w:r>
    <w:r w:rsidRPr="009C67CC">
      <w:rPr>
        <w:b/>
      </w:rPr>
      <w:fldChar w:fldCharType="separate"/>
    </w:r>
    <w:r w:rsidR="00ED03D6">
      <w:rPr>
        <w:b/>
        <w:noProof/>
      </w:rPr>
      <w:t>4</w:t>
    </w:r>
    <w:r w:rsidRPr="009C67CC">
      <w:rPr>
        <w:b/>
        <w:noProof/>
      </w:rPr>
      <w:fldChar w:fldCharType="end"/>
    </w:r>
  </w:p>
  <w:p w14:paraId="6B152066" w14:textId="77777777" w:rsidR="00100242" w:rsidRDefault="0010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BE29" w14:textId="77777777" w:rsidR="00100242" w:rsidRPr="009D58C1" w:rsidRDefault="00100242">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517205">
      <w:rPr>
        <w:b/>
        <w:noProof/>
        <w:sz w:val="18"/>
        <w:szCs w:val="18"/>
      </w:rPr>
      <w:t>5</w:t>
    </w:r>
    <w:r w:rsidRPr="009D58C1">
      <w:rPr>
        <w:b/>
        <w:noProof/>
        <w:sz w:val="18"/>
        <w:szCs w:val="18"/>
      </w:rPr>
      <w:fldChar w:fldCharType="end"/>
    </w:r>
  </w:p>
  <w:p w14:paraId="646CF585" w14:textId="77777777" w:rsidR="00100242" w:rsidRPr="00432CFD" w:rsidRDefault="00100242" w:rsidP="009D58C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085A" w14:textId="77777777" w:rsidR="00123CA3" w:rsidRDefault="0012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6DEA" w14:textId="77777777" w:rsidR="00F62FFE" w:rsidRPr="000B175B" w:rsidRDefault="00F62FFE" w:rsidP="000B175B">
      <w:pPr>
        <w:tabs>
          <w:tab w:val="right" w:pos="2155"/>
        </w:tabs>
        <w:spacing w:after="80"/>
        <w:ind w:left="680"/>
        <w:rPr>
          <w:u w:val="single"/>
        </w:rPr>
      </w:pPr>
      <w:r>
        <w:rPr>
          <w:u w:val="single"/>
        </w:rPr>
        <w:tab/>
      </w:r>
    </w:p>
  </w:footnote>
  <w:footnote w:type="continuationSeparator" w:id="0">
    <w:p w14:paraId="497CC117" w14:textId="77777777" w:rsidR="00F62FFE" w:rsidRPr="00FC68B7" w:rsidRDefault="00F62FFE" w:rsidP="00FC68B7">
      <w:pPr>
        <w:tabs>
          <w:tab w:val="left" w:pos="2155"/>
        </w:tabs>
        <w:spacing w:after="80"/>
        <w:ind w:left="680"/>
        <w:rPr>
          <w:u w:val="single"/>
        </w:rPr>
      </w:pPr>
      <w:r>
        <w:rPr>
          <w:u w:val="single"/>
        </w:rPr>
        <w:tab/>
      </w:r>
    </w:p>
  </w:footnote>
  <w:footnote w:type="continuationNotice" w:id="1">
    <w:p w14:paraId="28F7867C" w14:textId="77777777" w:rsidR="00F62FFE" w:rsidRDefault="00F62FFE"/>
  </w:footnote>
  <w:footnote w:id="2">
    <w:p w14:paraId="3335C5B7" w14:textId="77777777" w:rsidR="00500274" w:rsidRPr="00500274" w:rsidRDefault="00500274" w:rsidP="00500274">
      <w:pPr>
        <w:pStyle w:val="FootnoteText"/>
        <w:ind w:firstLine="0"/>
        <w:rPr>
          <w:lang w:val="fr-CH"/>
        </w:rPr>
      </w:pPr>
      <w:r>
        <w:rPr>
          <w:rStyle w:val="FootnoteReference"/>
        </w:rPr>
        <w:t>*</w:t>
      </w:r>
      <w:r>
        <w:t xml:space="preserve"> </w:t>
      </w:r>
      <w:r>
        <w:tab/>
      </w:r>
      <w:r>
        <w:rPr>
          <w:lang w:val="en-US"/>
        </w:rPr>
        <w:t xml:space="preserve">In accordance with </w:t>
      </w:r>
      <w:r w:rsidRPr="00C77DF8">
        <w:t>the programme</w:t>
      </w:r>
      <w:r>
        <w:rPr>
          <w:lang w:val="en-US"/>
        </w:rPr>
        <w:t xml:space="preserve"> of work of the Sub-Committee for 2019-2020 approved by the Committee at its ninth session (see ST/SG/AC.10/C.3/108, paragraph 141 and ST/SG/AC.10/46, paragraph 14).</w:t>
      </w:r>
    </w:p>
  </w:footnote>
  <w:footnote w:id="3">
    <w:p w14:paraId="30EEDCF1" w14:textId="77777777" w:rsidR="00A72FDE" w:rsidRPr="00A72FDE" w:rsidRDefault="00A72FDE" w:rsidP="00A72FDE">
      <w:pPr>
        <w:pStyle w:val="FootnoteText"/>
        <w:ind w:firstLine="0"/>
        <w:rPr>
          <w:lang w:val="fr-CH"/>
        </w:rPr>
      </w:pPr>
      <w:r>
        <w:rPr>
          <w:rStyle w:val="FootnoteReference"/>
        </w:rPr>
        <w:t>1</w:t>
      </w:r>
      <w:r>
        <w:t xml:space="preserve"> </w:t>
      </w:r>
      <w:r>
        <w:tab/>
        <w:t>IMDG “2.1.3.2 Prior to transport, the classification of all explosive substances and articles, together with the compatibility group assignment and the proper shipping name under which the substance or article is to be transported, shall have been approved by the competent authority of the country of manufacture…”</w:t>
      </w:r>
    </w:p>
  </w:footnote>
  <w:footnote w:id="4">
    <w:p w14:paraId="569ECCC3" w14:textId="77777777" w:rsidR="00A72FDE" w:rsidRPr="00A72FDE" w:rsidRDefault="00A72FDE" w:rsidP="00A72FDE">
      <w:pPr>
        <w:pStyle w:val="FootnoteText"/>
        <w:ind w:firstLine="0"/>
        <w:rPr>
          <w:lang w:val="fr-CH"/>
        </w:rPr>
      </w:pPr>
      <w:r>
        <w:rPr>
          <w:rStyle w:val="FootnoteReference"/>
        </w:rPr>
        <w:t>2</w:t>
      </w:r>
      <w:r>
        <w:t xml:space="preserve"> </w:t>
      </w:r>
      <w:r>
        <w:tab/>
      </w:r>
      <w:r w:rsidRPr="00CF3EA8">
        <w:t>Whereas sometimes the explosives classification system may be competently implemented, as is the case for the differentiation of 1.4S explosives in the ICAO TI, this is not always true. For example, the International Maritime Organization guidance to ports in Circular 675 is often not followed in their operational requirements: “12.1 The regulatory authority should grant any exemption necessary from their requirements in the case of explosives in class 1, division 1.4, compatibility group S in accordance with the IMDG Code.”</w:t>
      </w:r>
    </w:p>
  </w:footnote>
  <w:footnote w:id="5">
    <w:p w14:paraId="25222C0F" w14:textId="77777777" w:rsidR="00A72FDE" w:rsidRPr="00A72FDE" w:rsidRDefault="00A72FDE" w:rsidP="00A72FDE">
      <w:pPr>
        <w:pStyle w:val="FootnoteText"/>
        <w:ind w:firstLine="0"/>
        <w:rPr>
          <w:lang w:val="fr-CH"/>
        </w:rPr>
      </w:pPr>
      <w:r>
        <w:rPr>
          <w:rStyle w:val="FootnoteReference"/>
        </w:rPr>
        <w:t>3</w:t>
      </w:r>
      <w:r>
        <w:t xml:space="preserve"> </w:t>
      </w:r>
      <w:r>
        <w:tab/>
        <w:t>Model Regulations 2.1.1.4: “</w:t>
      </w:r>
      <w:r w:rsidRPr="004314FA">
        <w:t>This division comprises substances and articles which present only a small hazard in the event of ignition or initiation during transport. The effects are largely confined to the package and no projection of fragments of appreciable size or range is to be expected. An external fire shall not cause virtually instantaneous explosion of almost the entire contents of the package;</w:t>
      </w:r>
      <w:r>
        <w:t>”</w:t>
      </w:r>
    </w:p>
  </w:footnote>
  <w:footnote w:id="6">
    <w:p w14:paraId="2B00FF69" w14:textId="77777777" w:rsidR="00123CA3" w:rsidRPr="00123CA3" w:rsidRDefault="00123CA3" w:rsidP="00123CA3">
      <w:pPr>
        <w:pStyle w:val="FootnoteText"/>
        <w:ind w:firstLine="0"/>
        <w:rPr>
          <w:lang w:val="fr-CH"/>
        </w:rPr>
      </w:pPr>
      <w:r>
        <w:rPr>
          <w:rStyle w:val="FootnoteReference"/>
        </w:rPr>
        <w:t>4</w:t>
      </w:r>
      <w:r>
        <w:t xml:space="preserve"> </w:t>
      </w:r>
      <w:r>
        <w:tab/>
        <w:t>Model Regulations, Chapter 2.1 Introductory Note</w:t>
      </w:r>
      <w:r w:rsidRPr="006E5AAE">
        <w:t xml:space="preserve"> 4: </w:t>
      </w:r>
      <w:r>
        <w:t>“</w:t>
      </w:r>
      <w:r w:rsidRPr="006E5AAE">
        <w:t>Class 1 is unique in that the type of packaging frequently has a decisive effect on the hazard and therefore on the assignment to a particular division. The correct division is determined by use of the procedures provided in this Chapter.</w:t>
      </w:r>
      <w:r>
        <w:t>”</w:t>
      </w:r>
    </w:p>
  </w:footnote>
  <w:footnote w:id="7">
    <w:p w14:paraId="60532F51" w14:textId="77777777" w:rsidR="00123CA3" w:rsidRPr="00123CA3" w:rsidRDefault="00123CA3" w:rsidP="00123CA3">
      <w:pPr>
        <w:pStyle w:val="FootnoteText"/>
        <w:ind w:firstLine="0"/>
        <w:rPr>
          <w:lang w:val="fr-CH"/>
        </w:rPr>
      </w:pPr>
      <w:r>
        <w:rPr>
          <w:rStyle w:val="FootnoteReference"/>
        </w:rPr>
        <w:t>5</w:t>
      </w:r>
      <w:r>
        <w:t xml:space="preserve"> </w:t>
      </w:r>
      <w:r>
        <w:tab/>
      </w:r>
      <w:r>
        <w:rPr>
          <w:lang w:val="en-US"/>
        </w:rPr>
        <w:t>The net quantity is a required marking in air transport, but the NEM is not a required marking.</w:t>
      </w:r>
    </w:p>
  </w:footnote>
  <w:footnote w:id="8">
    <w:p w14:paraId="724B1DE6" w14:textId="77777777" w:rsidR="00123CA3" w:rsidRPr="00123CA3" w:rsidRDefault="00123CA3" w:rsidP="00123CA3">
      <w:pPr>
        <w:pStyle w:val="FootnoteText"/>
        <w:ind w:firstLine="0"/>
        <w:rPr>
          <w:lang w:val="fr-CH"/>
        </w:rPr>
      </w:pPr>
      <w:r>
        <w:rPr>
          <w:rStyle w:val="FootnoteReference"/>
        </w:rPr>
        <w:t>6</w:t>
      </w:r>
      <w:r>
        <w:t xml:space="preserve"> </w:t>
      </w:r>
      <w:r>
        <w:tab/>
      </w:r>
      <w:r w:rsidRPr="00CF3EA8">
        <w:t>Model Regulations “5.4.1.5.1 Total quantity of dangerous goods … For Class 1 dangerous goods, the quantity shall be the net explosive mass.”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B999" w14:textId="77777777" w:rsidR="00100242" w:rsidRPr="00432CFD" w:rsidRDefault="001C21AD">
    <w:pPr>
      <w:pStyle w:val="Header"/>
      <w:rPr>
        <w:lang w:val="fr-CH"/>
      </w:rPr>
    </w:pPr>
    <w:r>
      <w:rPr>
        <w:lang w:val="fr-CH"/>
      </w:rPr>
      <w:t>S</w:t>
    </w:r>
    <w:r w:rsidR="00EF52B5">
      <w:rPr>
        <w:lang w:val="fr-CH"/>
      </w:rPr>
      <w:t>T/SG/AC.10/C.3/201</w:t>
    </w:r>
    <w:r w:rsidR="00A72FDE">
      <w:rPr>
        <w:lang w:val="fr-CH"/>
      </w:rPr>
      <w:t>9</w:t>
    </w:r>
    <w:r w:rsidR="00EF52B5">
      <w:rPr>
        <w:lang w:val="fr-CH"/>
      </w:rPr>
      <w:t>/</w:t>
    </w:r>
    <w:r w:rsidR="00A72FDE">
      <w:rPr>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201A" w14:textId="77777777" w:rsidR="00100242" w:rsidRPr="009D58C1" w:rsidRDefault="00100242" w:rsidP="009D58C1">
    <w:pPr>
      <w:pStyle w:val="Header"/>
      <w:pBdr>
        <w:bottom w:val="single" w:sz="4" w:space="1" w:color="auto"/>
      </w:pBdr>
      <w:jc w:val="right"/>
      <w:rPr>
        <w:lang w:val="fr-CH"/>
      </w:rPr>
    </w:pPr>
    <w:r>
      <w:rPr>
        <w:lang w:val="fr-CH"/>
      </w:rPr>
      <w:t>ST/SG/AC.10/C.3/201</w:t>
    </w:r>
    <w:r w:rsidR="00123CA3">
      <w:rPr>
        <w:lang w:val="fr-CH"/>
      </w:rPr>
      <w:t>9</w:t>
    </w:r>
    <w:r>
      <w:rPr>
        <w:lang w:val="fr-CH"/>
      </w:rPr>
      <w:t>/</w:t>
    </w:r>
    <w:r w:rsidR="00123CA3">
      <w:rPr>
        <w:lang w:val="fr-CH"/>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18AD" w14:textId="77777777" w:rsidR="00100242" w:rsidRPr="002E10DE" w:rsidRDefault="00100242" w:rsidP="001C21A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15:restartNumberingAfterBreak="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6426A6"/>
    <w:multiLevelType w:val="hybridMultilevel"/>
    <w:tmpl w:val="4A0C0424"/>
    <w:lvl w:ilvl="0" w:tplc="2DFC7C98">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499791C"/>
    <w:multiLevelType w:val="hybridMultilevel"/>
    <w:tmpl w:val="02502E46"/>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25526916"/>
    <w:multiLevelType w:val="hybridMultilevel"/>
    <w:tmpl w:val="32507890"/>
    <w:lvl w:ilvl="0" w:tplc="0464AD12">
      <w:start w:val="1"/>
      <w:numFmt w:val="decimal"/>
      <w:lvlText w:val="%1."/>
      <w:lvlJc w:val="left"/>
      <w:pPr>
        <w:ind w:left="6930"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2A766E"/>
    <w:multiLevelType w:val="hybridMultilevel"/>
    <w:tmpl w:val="93CA590C"/>
    <w:lvl w:ilvl="0" w:tplc="779C2722">
      <w:start w:val="1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7C840DF"/>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2B37E1"/>
    <w:multiLevelType w:val="multilevel"/>
    <w:tmpl w:val="CFD6F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CD2CC9"/>
    <w:multiLevelType w:val="hybridMultilevel"/>
    <w:tmpl w:val="038687F8"/>
    <w:lvl w:ilvl="0" w:tplc="371A32E0">
      <w:start w:val="10"/>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37" w15:restartNumberingAfterBreak="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4C092866"/>
    <w:multiLevelType w:val="hybridMultilevel"/>
    <w:tmpl w:val="1A50EEF4"/>
    <w:lvl w:ilvl="0" w:tplc="6D4A0AEA">
      <w:start w:val="10"/>
      <w:numFmt w:val="decimal"/>
      <w:lvlText w:val="%1."/>
      <w:lvlJc w:val="left"/>
      <w:pPr>
        <w:ind w:left="180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1845D74"/>
    <w:multiLevelType w:val="hybridMultilevel"/>
    <w:tmpl w:val="171A844C"/>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1"/>
  </w:num>
  <w:num w:numId="12">
    <w:abstractNumId w:val="18"/>
  </w:num>
  <w:num w:numId="13">
    <w:abstractNumId w:val="12"/>
  </w:num>
  <w:num w:numId="14">
    <w:abstractNumId w:val="43"/>
  </w:num>
  <w:num w:numId="15">
    <w:abstractNumId w:val="47"/>
  </w:num>
  <w:num w:numId="16">
    <w:abstractNumId w:val="28"/>
  </w:num>
  <w:num w:numId="17">
    <w:abstractNumId w:val="26"/>
  </w:num>
  <w:num w:numId="18">
    <w:abstractNumId w:val="46"/>
  </w:num>
  <w:num w:numId="19">
    <w:abstractNumId w:val="19"/>
  </w:num>
  <w:num w:numId="20">
    <w:abstractNumId w:val="15"/>
  </w:num>
  <w:num w:numId="21">
    <w:abstractNumId w:val="27"/>
  </w:num>
  <w:num w:numId="22">
    <w:abstractNumId w:val="11"/>
  </w:num>
  <w:num w:numId="23">
    <w:abstractNumId w:val="33"/>
  </w:num>
  <w:num w:numId="24">
    <w:abstractNumId w:val="16"/>
  </w:num>
  <w:num w:numId="25">
    <w:abstractNumId w:val="21"/>
  </w:num>
  <w:num w:numId="26">
    <w:abstractNumId w:val="37"/>
  </w:num>
  <w:num w:numId="27">
    <w:abstractNumId w:val="44"/>
  </w:num>
  <w:num w:numId="28">
    <w:abstractNumId w:val="22"/>
  </w:num>
  <w:num w:numId="29">
    <w:abstractNumId w:val="25"/>
  </w:num>
  <w:num w:numId="30">
    <w:abstractNumId w:val="39"/>
  </w:num>
  <w:num w:numId="31">
    <w:abstractNumId w:val="20"/>
  </w:num>
  <w:num w:numId="32">
    <w:abstractNumId w:val="24"/>
  </w:num>
  <w:num w:numId="33">
    <w:abstractNumId w:val="36"/>
  </w:num>
  <w:num w:numId="34">
    <w:abstractNumId w:val="48"/>
  </w:num>
  <w:num w:numId="35">
    <w:abstractNumId w:val="45"/>
  </w:num>
  <w:num w:numId="36">
    <w:abstractNumId w:val="40"/>
  </w:num>
  <w:num w:numId="37">
    <w:abstractNumId w:val="14"/>
  </w:num>
  <w:num w:numId="38">
    <w:abstractNumId w:val="29"/>
  </w:num>
  <w:num w:numId="39">
    <w:abstractNumId w:val="34"/>
  </w:num>
  <w:num w:numId="40">
    <w:abstractNumId w:val="31"/>
  </w:num>
  <w:num w:numId="41">
    <w:abstractNumId w:val="10"/>
  </w:num>
  <w:num w:numId="42">
    <w:abstractNumId w:val="17"/>
  </w:num>
  <w:num w:numId="43">
    <w:abstractNumId w:val="42"/>
  </w:num>
  <w:num w:numId="44">
    <w:abstractNumId w:val="35"/>
  </w:num>
  <w:num w:numId="45">
    <w:abstractNumId w:val="38"/>
  </w:num>
  <w:num w:numId="46">
    <w:abstractNumId w:val="30"/>
  </w:num>
  <w:num w:numId="47">
    <w:abstractNumId w:val="13"/>
  </w:num>
  <w:num w:numId="48">
    <w:abstractNumId w:val="23"/>
  </w:num>
  <w:num w:numId="49">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26CB"/>
    <w:rsid w:val="0000447A"/>
    <w:rsid w:val="00010403"/>
    <w:rsid w:val="00010840"/>
    <w:rsid w:val="000115A4"/>
    <w:rsid w:val="0001303A"/>
    <w:rsid w:val="000134CF"/>
    <w:rsid w:val="00014BA7"/>
    <w:rsid w:val="00021A34"/>
    <w:rsid w:val="000230A1"/>
    <w:rsid w:val="00025E4D"/>
    <w:rsid w:val="00026046"/>
    <w:rsid w:val="0002626C"/>
    <w:rsid w:val="00027B85"/>
    <w:rsid w:val="00027FBE"/>
    <w:rsid w:val="00030355"/>
    <w:rsid w:val="000318A6"/>
    <w:rsid w:val="00031FF3"/>
    <w:rsid w:val="00034B57"/>
    <w:rsid w:val="00035D50"/>
    <w:rsid w:val="0003643C"/>
    <w:rsid w:val="000368DE"/>
    <w:rsid w:val="00037FD8"/>
    <w:rsid w:val="000424E1"/>
    <w:rsid w:val="00044B65"/>
    <w:rsid w:val="00044DE9"/>
    <w:rsid w:val="00050F6B"/>
    <w:rsid w:val="00051062"/>
    <w:rsid w:val="000540AC"/>
    <w:rsid w:val="00056542"/>
    <w:rsid w:val="000565F7"/>
    <w:rsid w:val="00057EC6"/>
    <w:rsid w:val="00060E74"/>
    <w:rsid w:val="000622F1"/>
    <w:rsid w:val="00062A47"/>
    <w:rsid w:val="00062F47"/>
    <w:rsid w:val="00064A74"/>
    <w:rsid w:val="00064C0C"/>
    <w:rsid w:val="000675CC"/>
    <w:rsid w:val="00067B2D"/>
    <w:rsid w:val="00067F14"/>
    <w:rsid w:val="00071BCB"/>
    <w:rsid w:val="00072C8C"/>
    <w:rsid w:val="0007360D"/>
    <w:rsid w:val="00074065"/>
    <w:rsid w:val="00080E0E"/>
    <w:rsid w:val="00086FBE"/>
    <w:rsid w:val="00087A27"/>
    <w:rsid w:val="000900D2"/>
    <w:rsid w:val="00091419"/>
    <w:rsid w:val="000931C0"/>
    <w:rsid w:val="000A25EF"/>
    <w:rsid w:val="000A4007"/>
    <w:rsid w:val="000A47C9"/>
    <w:rsid w:val="000A5078"/>
    <w:rsid w:val="000A57F2"/>
    <w:rsid w:val="000B0A3E"/>
    <w:rsid w:val="000B175B"/>
    <w:rsid w:val="000B3A0F"/>
    <w:rsid w:val="000B7309"/>
    <w:rsid w:val="000C0BD8"/>
    <w:rsid w:val="000C2501"/>
    <w:rsid w:val="000C50D5"/>
    <w:rsid w:val="000C52A3"/>
    <w:rsid w:val="000D21CE"/>
    <w:rsid w:val="000D2DB2"/>
    <w:rsid w:val="000E0415"/>
    <w:rsid w:val="000E04CF"/>
    <w:rsid w:val="000E2643"/>
    <w:rsid w:val="000E3BAD"/>
    <w:rsid w:val="000E45F7"/>
    <w:rsid w:val="000F2380"/>
    <w:rsid w:val="000F5031"/>
    <w:rsid w:val="00100242"/>
    <w:rsid w:val="001045DC"/>
    <w:rsid w:val="00105D5C"/>
    <w:rsid w:val="0010735D"/>
    <w:rsid w:val="00115198"/>
    <w:rsid w:val="00117787"/>
    <w:rsid w:val="00123CA3"/>
    <w:rsid w:val="00126452"/>
    <w:rsid w:val="00130B2B"/>
    <w:rsid w:val="00131714"/>
    <w:rsid w:val="00131767"/>
    <w:rsid w:val="00131D42"/>
    <w:rsid w:val="001329B7"/>
    <w:rsid w:val="00134A89"/>
    <w:rsid w:val="001359E2"/>
    <w:rsid w:val="00140A1F"/>
    <w:rsid w:val="001415AC"/>
    <w:rsid w:val="00141AC5"/>
    <w:rsid w:val="0014274C"/>
    <w:rsid w:val="00142A6F"/>
    <w:rsid w:val="001431B0"/>
    <w:rsid w:val="00143F87"/>
    <w:rsid w:val="001472C9"/>
    <w:rsid w:val="0014749F"/>
    <w:rsid w:val="00147BFD"/>
    <w:rsid w:val="00150A37"/>
    <w:rsid w:val="0015390C"/>
    <w:rsid w:val="001559C5"/>
    <w:rsid w:val="00155A9F"/>
    <w:rsid w:val="0015723E"/>
    <w:rsid w:val="0016239A"/>
    <w:rsid w:val="001633FB"/>
    <w:rsid w:val="001649AD"/>
    <w:rsid w:val="001832E7"/>
    <w:rsid w:val="00184541"/>
    <w:rsid w:val="0018509D"/>
    <w:rsid w:val="00186AE8"/>
    <w:rsid w:val="0018709C"/>
    <w:rsid w:val="00191FC2"/>
    <w:rsid w:val="001A0D51"/>
    <w:rsid w:val="001A54CD"/>
    <w:rsid w:val="001B1A57"/>
    <w:rsid w:val="001B4B04"/>
    <w:rsid w:val="001C08BC"/>
    <w:rsid w:val="001C144E"/>
    <w:rsid w:val="001C21AD"/>
    <w:rsid w:val="001C3F03"/>
    <w:rsid w:val="001C4992"/>
    <w:rsid w:val="001C6663"/>
    <w:rsid w:val="001C70FB"/>
    <w:rsid w:val="001C7895"/>
    <w:rsid w:val="001D26DF"/>
    <w:rsid w:val="001D2FDC"/>
    <w:rsid w:val="001D41E7"/>
    <w:rsid w:val="001D49F1"/>
    <w:rsid w:val="001D510E"/>
    <w:rsid w:val="001E5B82"/>
    <w:rsid w:val="001E65B0"/>
    <w:rsid w:val="001E7476"/>
    <w:rsid w:val="001F2F2D"/>
    <w:rsid w:val="001F62B8"/>
    <w:rsid w:val="001F7DAC"/>
    <w:rsid w:val="00204D75"/>
    <w:rsid w:val="002054BE"/>
    <w:rsid w:val="0020640F"/>
    <w:rsid w:val="00211BD8"/>
    <w:rsid w:val="00211E0B"/>
    <w:rsid w:val="00212046"/>
    <w:rsid w:val="00213254"/>
    <w:rsid w:val="00213F56"/>
    <w:rsid w:val="00214852"/>
    <w:rsid w:val="00215880"/>
    <w:rsid w:val="00221055"/>
    <w:rsid w:val="002213FA"/>
    <w:rsid w:val="0022446F"/>
    <w:rsid w:val="00225E8D"/>
    <w:rsid w:val="002262D3"/>
    <w:rsid w:val="002309A7"/>
    <w:rsid w:val="00230CED"/>
    <w:rsid w:val="00230F2E"/>
    <w:rsid w:val="00235937"/>
    <w:rsid w:val="002369C4"/>
    <w:rsid w:val="002370FA"/>
    <w:rsid w:val="00237785"/>
    <w:rsid w:val="00241466"/>
    <w:rsid w:val="00244BA0"/>
    <w:rsid w:val="00253374"/>
    <w:rsid w:val="00261148"/>
    <w:rsid w:val="002642BC"/>
    <w:rsid w:val="00264F74"/>
    <w:rsid w:val="00265251"/>
    <w:rsid w:val="00265A8C"/>
    <w:rsid w:val="00266EF2"/>
    <w:rsid w:val="00271844"/>
    <w:rsid w:val="002718B4"/>
    <w:rsid w:val="00271FD4"/>
    <w:rsid w:val="002725CA"/>
    <w:rsid w:val="00273071"/>
    <w:rsid w:val="00273296"/>
    <w:rsid w:val="00273765"/>
    <w:rsid w:val="00276796"/>
    <w:rsid w:val="0027776D"/>
    <w:rsid w:val="002807B9"/>
    <w:rsid w:val="00280EB7"/>
    <w:rsid w:val="00282E6F"/>
    <w:rsid w:val="00283B0C"/>
    <w:rsid w:val="002845E7"/>
    <w:rsid w:val="00284E21"/>
    <w:rsid w:val="00285581"/>
    <w:rsid w:val="00286F95"/>
    <w:rsid w:val="00287C9D"/>
    <w:rsid w:val="00287E9E"/>
    <w:rsid w:val="0029039B"/>
    <w:rsid w:val="00291742"/>
    <w:rsid w:val="00297FDB"/>
    <w:rsid w:val="002A2457"/>
    <w:rsid w:val="002A3034"/>
    <w:rsid w:val="002A60F8"/>
    <w:rsid w:val="002A6E0B"/>
    <w:rsid w:val="002A7BC0"/>
    <w:rsid w:val="002B1A41"/>
    <w:rsid w:val="002B1CDA"/>
    <w:rsid w:val="002B26CF"/>
    <w:rsid w:val="002C56EC"/>
    <w:rsid w:val="002C638D"/>
    <w:rsid w:val="002D03CD"/>
    <w:rsid w:val="002D30CC"/>
    <w:rsid w:val="002D7241"/>
    <w:rsid w:val="002D767C"/>
    <w:rsid w:val="002E0A46"/>
    <w:rsid w:val="002E10DE"/>
    <w:rsid w:val="002E2CC5"/>
    <w:rsid w:val="002E6066"/>
    <w:rsid w:val="002F0ACF"/>
    <w:rsid w:val="002F7AAF"/>
    <w:rsid w:val="002F7F51"/>
    <w:rsid w:val="00301F46"/>
    <w:rsid w:val="00304D5E"/>
    <w:rsid w:val="003107FA"/>
    <w:rsid w:val="00316CDE"/>
    <w:rsid w:val="00320C5D"/>
    <w:rsid w:val="003229D8"/>
    <w:rsid w:val="00323B8F"/>
    <w:rsid w:val="00325099"/>
    <w:rsid w:val="003307C0"/>
    <w:rsid w:val="00331D7D"/>
    <w:rsid w:val="00336A2D"/>
    <w:rsid w:val="003437DC"/>
    <w:rsid w:val="00350C40"/>
    <w:rsid w:val="00352EEA"/>
    <w:rsid w:val="00363CCA"/>
    <w:rsid w:val="00364DED"/>
    <w:rsid w:val="00365A70"/>
    <w:rsid w:val="003747A4"/>
    <w:rsid w:val="00376216"/>
    <w:rsid w:val="0037785D"/>
    <w:rsid w:val="00380F90"/>
    <w:rsid w:val="00381151"/>
    <w:rsid w:val="00383CC3"/>
    <w:rsid w:val="00385108"/>
    <w:rsid w:val="0039277A"/>
    <w:rsid w:val="003927C0"/>
    <w:rsid w:val="00393FE4"/>
    <w:rsid w:val="00396034"/>
    <w:rsid w:val="00396D81"/>
    <w:rsid w:val="00396F83"/>
    <w:rsid w:val="003972E0"/>
    <w:rsid w:val="003A2736"/>
    <w:rsid w:val="003A4A7A"/>
    <w:rsid w:val="003B3CA5"/>
    <w:rsid w:val="003B5E83"/>
    <w:rsid w:val="003C247C"/>
    <w:rsid w:val="003C2CC4"/>
    <w:rsid w:val="003C39BA"/>
    <w:rsid w:val="003D4B23"/>
    <w:rsid w:val="003E1CED"/>
    <w:rsid w:val="003E3164"/>
    <w:rsid w:val="003E5E81"/>
    <w:rsid w:val="003E7451"/>
    <w:rsid w:val="003F347E"/>
    <w:rsid w:val="003F66B7"/>
    <w:rsid w:val="00401A69"/>
    <w:rsid w:val="004028F0"/>
    <w:rsid w:val="00412C82"/>
    <w:rsid w:val="004134A5"/>
    <w:rsid w:val="0041748B"/>
    <w:rsid w:val="00421F30"/>
    <w:rsid w:val="004230C6"/>
    <w:rsid w:val="00430B28"/>
    <w:rsid w:val="004314FA"/>
    <w:rsid w:val="004325CB"/>
    <w:rsid w:val="00432CFD"/>
    <w:rsid w:val="00434D54"/>
    <w:rsid w:val="00435DF7"/>
    <w:rsid w:val="00436ABC"/>
    <w:rsid w:val="00436E22"/>
    <w:rsid w:val="00437F3F"/>
    <w:rsid w:val="00440487"/>
    <w:rsid w:val="00440728"/>
    <w:rsid w:val="00443E7D"/>
    <w:rsid w:val="004444D3"/>
    <w:rsid w:val="00445784"/>
    <w:rsid w:val="00446DE4"/>
    <w:rsid w:val="00447A01"/>
    <w:rsid w:val="00454036"/>
    <w:rsid w:val="00457ED8"/>
    <w:rsid w:val="00462EB7"/>
    <w:rsid w:val="00463344"/>
    <w:rsid w:val="00463DBC"/>
    <w:rsid w:val="00465A22"/>
    <w:rsid w:val="00471D64"/>
    <w:rsid w:val="00474B1C"/>
    <w:rsid w:val="004801F9"/>
    <w:rsid w:val="0048040E"/>
    <w:rsid w:val="004815BC"/>
    <w:rsid w:val="00483C78"/>
    <w:rsid w:val="00486AB2"/>
    <w:rsid w:val="00486F0C"/>
    <w:rsid w:val="004906B4"/>
    <w:rsid w:val="00495374"/>
    <w:rsid w:val="004A12CD"/>
    <w:rsid w:val="004A411D"/>
    <w:rsid w:val="004A57CE"/>
    <w:rsid w:val="004A72B1"/>
    <w:rsid w:val="004B2C9D"/>
    <w:rsid w:val="004B4C10"/>
    <w:rsid w:val="004B66BE"/>
    <w:rsid w:val="004C008C"/>
    <w:rsid w:val="004C3287"/>
    <w:rsid w:val="004C5AF0"/>
    <w:rsid w:val="004C6CF4"/>
    <w:rsid w:val="004C7878"/>
    <w:rsid w:val="004D0FBF"/>
    <w:rsid w:val="004E2C23"/>
    <w:rsid w:val="004E795A"/>
    <w:rsid w:val="004F1C66"/>
    <w:rsid w:val="004F44DC"/>
    <w:rsid w:val="00500274"/>
    <w:rsid w:val="00503B9C"/>
    <w:rsid w:val="00511413"/>
    <w:rsid w:val="005123DA"/>
    <w:rsid w:val="00515F83"/>
    <w:rsid w:val="00516993"/>
    <w:rsid w:val="00517205"/>
    <w:rsid w:val="00517A3F"/>
    <w:rsid w:val="005203EB"/>
    <w:rsid w:val="00522D44"/>
    <w:rsid w:val="00524600"/>
    <w:rsid w:val="00527910"/>
    <w:rsid w:val="00532908"/>
    <w:rsid w:val="00534DA8"/>
    <w:rsid w:val="0053686F"/>
    <w:rsid w:val="005419FD"/>
    <w:rsid w:val="005420F2"/>
    <w:rsid w:val="00547520"/>
    <w:rsid w:val="005475F7"/>
    <w:rsid w:val="00553BE1"/>
    <w:rsid w:val="00553F25"/>
    <w:rsid w:val="00555BB3"/>
    <w:rsid w:val="005572A1"/>
    <w:rsid w:val="005601F0"/>
    <w:rsid w:val="005616F9"/>
    <w:rsid w:val="00567AC9"/>
    <w:rsid w:val="00572388"/>
    <w:rsid w:val="00572507"/>
    <w:rsid w:val="005725A0"/>
    <w:rsid w:val="0057266D"/>
    <w:rsid w:val="00573567"/>
    <w:rsid w:val="00574827"/>
    <w:rsid w:val="00580F83"/>
    <w:rsid w:val="00584A89"/>
    <w:rsid w:val="005872A8"/>
    <w:rsid w:val="00590144"/>
    <w:rsid w:val="005962B5"/>
    <w:rsid w:val="00596AFB"/>
    <w:rsid w:val="005A3505"/>
    <w:rsid w:val="005A4D8F"/>
    <w:rsid w:val="005A585F"/>
    <w:rsid w:val="005A58DB"/>
    <w:rsid w:val="005A7137"/>
    <w:rsid w:val="005B2AC2"/>
    <w:rsid w:val="005B3DB3"/>
    <w:rsid w:val="005B6F1B"/>
    <w:rsid w:val="005C00DF"/>
    <w:rsid w:val="005C5058"/>
    <w:rsid w:val="005C67A3"/>
    <w:rsid w:val="005D1CA6"/>
    <w:rsid w:val="005D476B"/>
    <w:rsid w:val="005D5296"/>
    <w:rsid w:val="005D5E45"/>
    <w:rsid w:val="005E0F7B"/>
    <w:rsid w:val="005E482E"/>
    <w:rsid w:val="005E4AA7"/>
    <w:rsid w:val="005E5BFE"/>
    <w:rsid w:val="00601025"/>
    <w:rsid w:val="006014D2"/>
    <w:rsid w:val="00606BD8"/>
    <w:rsid w:val="006119AE"/>
    <w:rsid w:val="00611FC4"/>
    <w:rsid w:val="00612949"/>
    <w:rsid w:val="0061405E"/>
    <w:rsid w:val="0061691B"/>
    <w:rsid w:val="006176FB"/>
    <w:rsid w:val="00626845"/>
    <w:rsid w:val="006304B5"/>
    <w:rsid w:val="0063419C"/>
    <w:rsid w:val="00637292"/>
    <w:rsid w:val="00640B26"/>
    <w:rsid w:val="006420B1"/>
    <w:rsid w:val="006500BA"/>
    <w:rsid w:val="00650DBA"/>
    <w:rsid w:val="006526E5"/>
    <w:rsid w:val="006612FE"/>
    <w:rsid w:val="00663B47"/>
    <w:rsid w:val="00672E3A"/>
    <w:rsid w:val="006804E7"/>
    <w:rsid w:val="00680772"/>
    <w:rsid w:val="00680EC5"/>
    <w:rsid w:val="00681546"/>
    <w:rsid w:val="00681628"/>
    <w:rsid w:val="00681744"/>
    <w:rsid w:val="0068403D"/>
    <w:rsid w:val="00684E8C"/>
    <w:rsid w:val="00690794"/>
    <w:rsid w:val="006946D5"/>
    <w:rsid w:val="0069492F"/>
    <w:rsid w:val="00696595"/>
    <w:rsid w:val="00697525"/>
    <w:rsid w:val="006A7392"/>
    <w:rsid w:val="006B31C3"/>
    <w:rsid w:val="006B5CA3"/>
    <w:rsid w:val="006B7933"/>
    <w:rsid w:val="006C0D34"/>
    <w:rsid w:val="006C1CA0"/>
    <w:rsid w:val="006C54A0"/>
    <w:rsid w:val="006C7930"/>
    <w:rsid w:val="006C7E11"/>
    <w:rsid w:val="006D0AF8"/>
    <w:rsid w:val="006D21E1"/>
    <w:rsid w:val="006D247B"/>
    <w:rsid w:val="006D5191"/>
    <w:rsid w:val="006D5BE3"/>
    <w:rsid w:val="006E564B"/>
    <w:rsid w:val="006E5AAE"/>
    <w:rsid w:val="006E6FBD"/>
    <w:rsid w:val="006F3E52"/>
    <w:rsid w:val="006F4D74"/>
    <w:rsid w:val="006F5501"/>
    <w:rsid w:val="006F7EC6"/>
    <w:rsid w:val="007012C4"/>
    <w:rsid w:val="0070311F"/>
    <w:rsid w:val="00704A7F"/>
    <w:rsid w:val="007102D9"/>
    <w:rsid w:val="007227B6"/>
    <w:rsid w:val="00725848"/>
    <w:rsid w:val="0072632A"/>
    <w:rsid w:val="0073039D"/>
    <w:rsid w:val="007319D5"/>
    <w:rsid w:val="00731BEA"/>
    <w:rsid w:val="00732C0A"/>
    <w:rsid w:val="00737136"/>
    <w:rsid w:val="00741915"/>
    <w:rsid w:val="00741956"/>
    <w:rsid w:val="00745352"/>
    <w:rsid w:val="0075116C"/>
    <w:rsid w:val="00753201"/>
    <w:rsid w:val="007548D5"/>
    <w:rsid w:val="007553DC"/>
    <w:rsid w:val="007612E0"/>
    <w:rsid w:val="00761389"/>
    <w:rsid w:val="00762706"/>
    <w:rsid w:val="00763669"/>
    <w:rsid w:val="00765B02"/>
    <w:rsid w:val="007665DE"/>
    <w:rsid w:val="007701AF"/>
    <w:rsid w:val="00770C42"/>
    <w:rsid w:val="00771113"/>
    <w:rsid w:val="007713F2"/>
    <w:rsid w:val="007763C5"/>
    <w:rsid w:val="00776CA4"/>
    <w:rsid w:val="00777356"/>
    <w:rsid w:val="00780921"/>
    <w:rsid w:val="0078238B"/>
    <w:rsid w:val="0078270D"/>
    <w:rsid w:val="007857CD"/>
    <w:rsid w:val="00790791"/>
    <w:rsid w:val="00791404"/>
    <w:rsid w:val="007A23EF"/>
    <w:rsid w:val="007A2DA0"/>
    <w:rsid w:val="007A5086"/>
    <w:rsid w:val="007A66B2"/>
    <w:rsid w:val="007B6BA5"/>
    <w:rsid w:val="007B6FE6"/>
    <w:rsid w:val="007C10B1"/>
    <w:rsid w:val="007C20DC"/>
    <w:rsid w:val="007C3390"/>
    <w:rsid w:val="007C4223"/>
    <w:rsid w:val="007C4F4B"/>
    <w:rsid w:val="007C5769"/>
    <w:rsid w:val="007D0964"/>
    <w:rsid w:val="007E05FC"/>
    <w:rsid w:val="007E2482"/>
    <w:rsid w:val="007E3A92"/>
    <w:rsid w:val="007E51DE"/>
    <w:rsid w:val="007E5D88"/>
    <w:rsid w:val="007E7937"/>
    <w:rsid w:val="007F25B3"/>
    <w:rsid w:val="007F28CB"/>
    <w:rsid w:val="007F31A7"/>
    <w:rsid w:val="007F6611"/>
    <w:rsid w:val="00800138"/>
    <w:rsid w:val="00802705"/>
    <w:rsid w:val="00802D27"/>
    <w:rsid w:val="0080387F"/>
    <w:rsid w:val="008041BA"/>
    <w:rsid w:val="008124A5"/>
    <w:rsid w:val="008129F0"/>
    <w:rsid w:val="008164C0"/>
    <w:rsid w:val="008175E9"/>
    <w:rsid w:val="008213BB"/>
    <w:rsid w:val="00822225"/>
    <w:rsid w:val="00823C4B"/>
    <w:rsid w:val="008242D7"/>
    <w:rsid w:val="0082558A"/>
    <w:rsid w:val="0083337A"/>
    <w:rsid w:val="00834462"/>
    <w:rsid w:val="00837843"/>
    <w:rsid w:val="00841AB4"/>
    <w:rsid w:val="0084280B"/>
    <w:rsid w:val="00846136"/>
    <w:rsid w:val="00853FAE"/>
    <w:rsid w:val="008548B3"/>
    <w:rsid w:val="008554E7"/>
    <w:rsid w:val="00855967"/>
    <w:rsid w:val="00861ACC"/>
    <w:rsid w:val="00866523"/>
    <w:rsid w:val="00871FD5"/>
    <w:rsid w:val="00874782"/>
    <w:rsid w:val="00874C3C"/>
    <w:rsid w:val="00876E2F"/>
    <w:rsid w:val="00880B2B"/>
    <w:rsid w:val="00880DE7"/>
    <w:rsid w:val="008828E0"/>
    <w:rsid w:val="00884B25"/>
    <w:rsid w:val="00885E87"/>
    <w:rsid w:val="00890CEF"/>
    <w:rsid w:val="00893828"/>
    <w:rsid w:val="008947E2"/>
    <w:rsid w:val="00894C13"/>
    <w:rsid w:val="008979B1"/>
    <w:rsid w:val="008A1350"/>
    <w:rsid w:val="008A29F7"/>
    <w:rsid w:val="008A2EB0"/>
    <w:rsid w:val="008A3117"/>
    <w:rsid w:val="008A5C06"/>
    <w:rsid w:val="008A6B25"/>
    <w:rsid w:val="008A6B52"/>
    <w:rsid w:val="008A6C4F"/>
    <w:rsid w:val="008B0D33"/>
    <w:rsid w:val="008B174F"/>
    <w:rsid w:val="008B6379"/>
    <w:rsid w:val="008C0C4E"/>
    <w:rsid w:val="008C2128"/>
    <w:rsid w:val="008C3133"/>
    <w:rsid w:val="008C32AA"/>
    <w:rsid w:val="008C4A16"/>
    <w:rsid w:val="008C518D"/>
    <w:rsid w:val="008C718C"/>
    <w:rsid w:val="008C7398"/>
    <w:rsid w:val="008D16E8"/>
    <w:rsid w:val="008D16EF"/>
    <w:rsid w:val="008D35DF"/>
    <w:rsid w:val="008D5AB6"/>
    <w:rsid w:val="008D6FE1"/>
    <w:rsid w:val="008D7973"/>
    <w:rsid w:val="008D7AB3"/>
    <w:rsid w:val="008E0E46"/>
    <w:rsid w:val="008E3B3C"/>
    <w:rsid w:val="008F596C"/>
    <w:rsid w:val="008F5F1C"/>
    <w:rsid w:val="008F671F"/>
    <w:rsid w:val="008F6A39"/>
    <w:rsid w:val="009019F7"/>
    <w:rsid w:val="009043FC"/>
    <w:rsid w:val="00904592"/>
    <w:rsid w:val="00910F3B"/>
    <w:rsid w:val="009128F8"/>
    <w:rsid w:val="00915A89"/>
    <w:rsid w:val="00916B90"/>
    <w:rsid w:val="00916F49"/>
    <w:rsid w:val="009213A3"/>
    <w:rsid w:val="0092169C"/>
    <w:rsid w:val="00921A36"/>
    <w:rsid w:val="00921FDE"/>
    <w:rsid w:val="00924C9C"/>
    <w:rsid w:val="0093272D"/>
    <w:rsid w:val="009338EE"/>
    <w:rsid w:val="009346DE"/>
    <w:rsid w:val="00934D9E"/>
    <w:rsid w:val="0093653C"/>
    <w:rsid w:val="00940320"/>
    <w:rsid w:val="00940479"/>
    <w:rsid w:val="0094213D"/>
    <w:rsid w:val="00943B65"/>
    <w:rsid w:val="00945553"/>
    <w:rsid w:val="00945A5D"/>
    <w:rsid w:val="009464A0"/>
    <w:rsid w:val="009502B6"/>
    <w:rsid w:val="00952D79"/>
    <w:rsid w:val="00953FD3"/>
    <w:rsid w:val="00956CAD"/>
    <w:rsid w:val="00957C6D"/>
    <w:rsid w:val="009612CA"/>
    <w:rsid w:val="00963CBA"/>
    <w:rsid w:val="00964B10"/>
    <w:rsid w:val="00966492"/>
    <w:rsid w:val="00966D1F"/>
    <w:rsid w:val="00967AC9"/>
    <w:rsid w:val="00971136"/>
    <w:rsid w:val="00973555"/>
    <w:rsid w:val="00980D45"/>
    <w:rsid w:val="009815DF"/>
    <w:rsid w:val="009848AB"/>
    <w:rsid w:val="00987E8A"/>
    <w:rsid w:val="00987EBF"/>
    <w:rsid w:val="009910F4"/>
    <w:rsid w:val="0099124E"/>
    <w:rsid w:val="00991261"/>
    <w:rsid w:val="00992985"/>
    <w:rsid w:val="00993E78"/>
    <w:rsid w:val="00993F32"/>
    <w:rsid w:val="0099483C"/>
    <w:rsid w:val="009967A1"/>
    <w:rsid w:val="009A3CB7"/>
    <w:rsid w:val="009A681A"/>
    <w:rsid w:val="009B007F"/>
    <w:rsid w:val="009B0E4A"/>
    <w:rsid w:val="009B0ED1"/>
    <w:rsid w:val="009C25D5"/>
    <w:rsid w:val="009C2953"/>
    <w:rsid w:val="009C2C82"/>
    <w:rsid w:val="009C3671"/>
    <w:rsid w:val="009C46C7"/>
    <w:rsid w:val="009C67CC"/>
    <w:rsid w:val="009D2330"/>
    <w:rsid w:val="009D3A00"/>
    <w:rsid w:val="009D5278"/>
    <w:rsid w:val="009D58C1"/>
    <w:rsid w:val="009E140E"/>
    <w:rsid w:val="009E6929"/>
    <w:rsid w:val="009F0F06"/>
    <w:rsid w:val="00A00A87"/>
    <w:rsid w:val="00A04323"/>
    <w:rsid w:val="00A065BA"/>
    <w:rsid w:val="00A120B4"/>
    <w:rsid w:val="00A1255E"/>
    <w:rsid w:val="00A1427D"/>
    <w:rsid w:val="00A176C2"/>
    <w:rsid w:val="00A23A0D"/>
    <w:rsid w:val="00A250A4"/>
    <w:rsid w:val="00A27434"/>
    <w:rsid w:val="00A27707"/>
    <w:rsid w:val="00A30AFA"/>
    <w:rsid w:val="00A3141D"/>
    <w:rsid w:val="00A328AA"/>
    <w:rsid w:val="00A40024"/>
    <w:rsid w:val="00A41445"/>
    <w:rsid w:val="00A434FF"/>
    <w:rsid w:val="00A43937"/>
    <w:rsid w:val="00A444A2"/>
    <w:rsid w:val="00A4463C"/>
    <w:rsid w:val="00A44877"/>
    <w:rsid w:val="00A47B65"/>
    <w:rsid w:val="00A52990"/>
    <w:rsid w:val="00A52ACD"/>
    <w:rsid w:val="00A565A9"/>
    <w:rsid w:val="00A60EB5"/>
    <w:rsid w:val="00A67512"/>
    <w:rsid w:val="00A67BA6"/>
    <w:rsid w:val="00A72F22"/>
    <w:rsid w:val="00A72FDE"/>
    <w:rsid w:val="00A7341F"/>
    <w:rsid w:val="00A748A6"/>
    <w:rsid w:val="00A74F3D"/>
    <w:rsid w:val="00A75EC9"/>
    <w:rsid w:val="00A879A4"/>
    <w:rsid w:val="00A90B32"/>
    <w:rsid w:val="00A95CA7"/>
    <w:rsid w:val="00AA3258"/>
    <w:rsid w:val="00AA479F"/>
    <w:rsid w:val="00AA54E3"/>
    <w:rsid w:val="00AA7910"/>
    <w:rsid w:val="00AB48E3"/>
    <w:rsid w:val="00AB521F"/>
    <w:rsid w:val="00AB79D3"/>
    <w:rsid w:val="00AC1947"/>
    <w:rsid w:val="00AC3EB6"/>
    <w:rsid w:val="00AC41AC"/>
    <w:rsid w:val="00AC47CB"/>
    <w:rsid w:val="00AC71C1"/>
    <w:rsid w:val="00AD29A4"/>
    <w:rsid w:val="00AD29BB"/>
    <w:rsid w:val="00AD6445"/>
    <w:rsid w:val="00AE0953"/>
    <w:rsid w:val="00AE5607"/>
    <w:rsid w:val="00AE5B6B"/>
    <w:rsid w:val="00AE71B9"/>
    <w:rsid w:val="00AF2A45"/>
    <w:rsid w:val="00AF2B6B"/>
    <w:rsid w:val="00AF3B55"/>
    <w:rsid w:val="00AF4F18"/>
    <w:rsid w:val="00AF5A58"/>
    <w:rsid w:val="00AF5AB8"/>
    <w:rsid w:val="00B045D1"/>
    <w:rsid w:val="00B04696"/>
    <w:rsid w:val="00B05281"/>
    <w:rsid w:val="00B062A6"/>
    <w:rsid w:val="00B07928"/>
    <w:rsid w:val="00B27DFF"/>
    <w:rsid w:val="00B30179"/>
    <w:rsid w:val="00B329D9"/>
    <w:rsid w:val="00B32C5C"/>
    <w:rsid w:val="00B3317B"/>
    <w:rsid w:val="00B355CF"/>
    <w:rsid w:val="00B3750B"/>
    <w:rsid w:val="00B41EB4"/>
    <w:rsid w:val="00B4248C"/>
    <w:rsid w:val="00B43E15"/>
    <w:rsid w:val="00B44874"/>
    <w:rsid w:val="00B44D1E"/>
    <w:rsid w:val="00B501B7"/>
    <w:rsid w:val="00B50F43"/>
    <w:rsid w:val="00B520BD"/>
    <w:rsid w:val="00B56101"/>
    <w:rsid w:val="00B57FBF"/>
    <w:rsid w:val="00B60225"/>
    <w:rsid w:val="00B63238"/>
    <w:rsid w:val="00B6429F"/>
    <w:rsid w:val="00B656F0"/>
    <w:rsid w:val="00B725B8"/>
    <w:rsid w:val="00B73FEA"/>
    <w:rsid w:val="00B74841"/>
    <w:rsid w:val="00B77F38"/>
    <w:rsid w:val="00B81E12"/>
    <w:rsid w:val="00B82024"/>
    <w:rsid w:val="00B83CFE"/>
    <w:rsid w:val="00B85580"/>
    <w:rsid w:val="00B91DEF"/>
    <w:rsid w:val="00B920A4"/>
    <w:rsid w:val="00B93068"/>
    <w:rsid w:val="00B95070"/>
    <w:rsid w:val="00BA17A3"/>
    <w:rsid w:val="00BB0818"/>
    <w:rsid w:val="00BB3143"/>
    <w:rsid w:val="00BB418D"/>
    <w:rsid w:val="00BC193A"/>
    <w:rsid w:val="00BC1C5D"/>
    <w:rsid w:val="00BC46ED"/>
    <w:rsid w:val="00BC498D"/>
    <w:rsid w:val="00BC5429"/>
    <w:rsid w:val="00BC6F35"/>
    <w:rsid w:val="00BC74E9"/>
    <w:rsid w:val="00BC7EFB"/>
    <w:rsid w:val="00BD011C"/>
    <w:rsid w:val="00BD0DDC"/>
    <w:rsid w:val="00BD3D2B"/>
    <w:rsid w:val="00BD58AB"/>
    <w:rsid w:val="00BD68F5"/>
    <w:rsid w:val="00BD7B70"/>
    <w:rsid w:val="00BE3C13"/>
    <w:rsid w:val="00BE447C"/>
    <w:rsid w:val="00BE4940"/>
    <w:rsid w:val="00BE5B7F"/>
    <w:rsid w:val="00BE618E"/>
    <w:rsid w:val="00BF5F47"/>
    <w:rsid w:val="00BF6D59"/>
    <w:rsid w:val="00BF7707"/>
    <w:rsid w:val="00BF7A1A"/>
    <w:rsid w:val="00C00708"/>
    <w:rsid w:val="00C02B2A"/>
    <w:rsid w:val="00C04C4A"/>
    <w:rsid w:val="00C066B1"/>
    <w:rsid w:val="00C1320F"/>
    <w:rsid w:val="00C13534"/>
    <w:rsid w:val="00C13800"/>
    <w:rsid w:val="00C15D9D"/>
    <w:rsid w:val="00C16149"/>
    <w:rsid w:val="00C20967"/>
    <w:rsid w:val="00C223FD"/>
    <w:rsid w:val="00C236FF"/>
    <w:rsid w:val="00C26657"/>
    <w:rsid w:val="00C302B4"/>
    <w:rsid w:val="00C344BC"/>
    <w:rsid w:val="00C35AE7"/>
    <w:rsid w:val="00C37973"/>
    <w:rsid w:val="00C4394A"/>
    <w:rsid w:val="00C44685"/>
    <w:rsid w:val="00C463DD"/>
    <w:rsid w:val="00C4716A"/>
    <w:rsid w:val="00C53C82"/>
    <w:rsid w:val="00C622ED"/>
    <w:rsid w:val="00C62F76"/>
    <w:rsid w:val="00C65026"/>
    <w:rsid w:val="00C662AA"/>
    <w:rsid w:val="00C70858"/>
    <w:rsid w:val="00C72005"/>
    <w:rsid w:val="00C72E02"/>
    <w:rsid w:val="00C7346A"/>
    <w:rsid w:val="00C73FD9"/>
    <w:rsid w:val="00C740DA"/>
    <w:rsid w:val="00C745C3"/>
    <w:rsid w:val="00C74A11"/>
    <w:rsid w:val="00C8384C"/>
    <w:rsid w:val="00C83F11"/>
    <w:rsid w:val="00C85F8B"/>
    <w:rsid w:val="00C927AC"/>
    <w:rsid w:val="00CA1183"/>
    <w:rsid w:val="00CA1F88"/>
    <w:rsid w:val="00CA516D"/>
    <w:rsid w:val="00CA7279"/>
    <w:rsid w:val="00CB03EB"/>
    <w:rsid w:val="00CB26B3"/>
    <w:rsid w:val="00CB51FE"/>
    <w:rsid w:val="00CB575A"/>
    <w:rsid w:val="00CC2702"/>
    <w:rsid w:val="00CC78A6"/>
    <w:rsid w:val="00CD20A1"/>
    <w:rsid w:val="00CD3225"/>
    <w:rsid w:val="00CD64B5"/>
    <w:rsid w:val="00CD747F"/>
    <w:rsid w:val="00CE1382"/>
    <w:rsid w:val="00CE4A8F"/>
    <w:rsid w:val="00CE5542"/>
    <w:rsid w:val="00CE620B"/>
    <w:rsid w:val="00CF03F4"/>
    <w:rsid w:val="00CF05AF"/>
    <w:rsid w:val="00CF0AEF"/>
    <w:rsid w:val="00CF209E"/>
    <w:rsid w:val="00CF3DF4"/>
    <w:rsid w:val="00CF3EA8"/>
    <w:rsid w:val="00CF3F39"/>
    <w:rsid w:val="00CF657E"/>
    <w:rsid w:val="00D01A4C"/>
    <w:rsid w:val="00D038EE"/>
    <w:rsid w:val="00D0506B"/>
    <w:rsid w:val="00D06940"/>
    <w:rsid w:val="00D102AE"/>
    <w:rsid w:val="00D10635"/>
    <w:rsid w:val="00D12E4C"/>
    <w:rsid w:val="00D13127"/>
    <w:rsid w:val="00D159CF"/>
    <w:rsid w:val="00D2031B"/>
    <w:rsid w:val="00D20C87"/>
    <w:rsid w:val="00D20EF4"/>
    <w:rsid w:val="00D21AA4"/>
    <w:rsid w:val="00D234A9"/>
    <w:rsid w:val="00D24EF3"/>
    <w:rsid w:val="00D25FE2"/>
    <w:rsid w:val="00D274A6"/>
    <w:rsid w:val="00D336F2"/>
    <w:rsid w:val="00D34FB3"/>
    <w:rsid w:val="00D351EB"/>
    <w:rsid w:val="00D3579E"/>
    <w:rsid w:val="00D35F5F"/>
    <w:rsid w:val="00D37904"/>
    <w:rsid w:val="00D43252"/>
    <w:rsid w:val="00D46220"/>
    <w:rsid w:val="00D462A7"/>
    <w:rsid w:val="00D46E50"/>
    <w:rsid w:val="00D4764D"/>
    <w:rsid w:val="00D50452"/>
    <w:rsid w:val="00D55C32"/>
    <w:rsid w:val="00D62F31"/>
    <w:rsid w:val="00D64A28"/>
    <w:rsid w:val="00D71693"/>
    <w:rsid w:val="00D72DC1"/>
    <w:rsid w:val="00D74901"/>
    <w:rsid w:val="00D753D8"/>
    <w:rsid w:val="00D76673"/>
    <w:rsid w:val="00D80431"/>
    <w:rsid w:val="00D80A99"/>
    <w:rsid w:val="00D8153A"/>
    <w:rsid w:val="00D83536"/>
    <w:rsid w:val="00D86516"/>
    <w:rsid w:val="00D87F4C"/>
    <w:rsid w:val="00D9178F"/>
    <w:rsid w:val="00D933A3"/>
    <w:rsid w:val="00D94B0C"/>
    <w:rsid w:val="00D95B5B"/>
    <w:rsid w:val="00D96CC5"/>
    <w:rsid w:val="00D978C6"/>
    <w:rsid w:val="00DA67AD"/>
    <w:rsid w:val="00DB0CD3"/>
    <w:rsid w:val="00DB0CF8"/>
    <w:rsid w:val="00DB0EA8"/>
    <w:rsid w:val="00DB1F53"/>
    <w:rsid w:val="00DB29A1"/>
    <w:rsid w:val="00DB5113"/>
    <w:rsid w:val="00DB5DD7"/>
    <w:rsid w:val="00DB6AEE"/>
    <w:rsid w:val="00DB7E97"/>
    <w:rsid w:val="00DC1703"/>
    <w:rsid w:val="00DC1AA4"/>
    <w:rsid w:val="00DC23FD"/>
    <w:rsid w:val="00DC45D7"/>
    <w:rsid w:val="00DC4CFA"/>
    <w:rsid w:val="00DC5166"/>
    <w:rsid w:val="00DC5FBA"/>
    <w:rsid w:val="00DD5C8B"/>
    <w:rsid w:val="00DD6AFF"/>
    <w:rsid w:val="00DE0613"/>
    <w:rsid w:val="00DE112D"/>
    <w:rsid w:val="00DF236F"/>
    <w:rsid w:val="00DF2772"/>
    <w:rsid w:val="00DF3CF2"/>
    <w:rsid w:val="00DF453A"/>
    <w:rsid w:val="00DF498E"/>
    <w:rsid w:val="00DF51DC"/>
    <w:rsid w:val="00DF662C"/>
    <w:rsid w:val="00E000AD"/>
    <w:rsid w:val="00E02677"/>
    <w:rsid w:val="00E055FA"/>
    <w:rsid w:val="00E07564"/>
    <w:rsid w:val="00E1169F"/>
    <w:rsid w:val="00E12F5B"/>
    <w:rsid w:val="00E130AB"/>
    <w:rsid w:val="00E1394C"/>
    <w:rsid w:val="00E147D5"/>
    <w:rsid w:val="00E14CFE"/>
    <w:rsid w:val="00E23AA7"/>
    <w:rsid w:val="00E241E1"/>
    <w:rsid w:val="00E26278"/>
    <w:rsid w:val="00E27D60"/>
    <w:rsid w:val="00E3055C"/>
    <w:rsid w:val="00E328FE"/>
    <w:rsid w:val="00E32A22"/>
    <w:rsid w:val="00E335A4"/>
    <w:rsid w:val="00E35C1C"/>
    <w:rsid w:val="00E41283"/>
    <w:rsid w:val="00E418B9"/>
    <w:rsid w:val="00E43CE3"/>
    <w:rsid w:val="00E52271"/>
    <w:rsid w:val="00E539C9"/>
    <w:rsid w:val="00E549B7"/>
    <w:rsid w:val="00E55241"/>
    <w:rsid w:val="00E5644E"/>
    <w:rsid w:val="00E60AC0"/>
    <w:rsid w:val="00E62EA5"/>
    <w:rsid w:val="00E62ED0"/>
    <w:rsid w:val="00E62F12"/>
    <w:rsid w:val="00E631DD"/>
    <w:rsid w:val="00E63654"/>
    <w:rsid w:val="00E6387D"/>
    <w:rsid w:val="00E65EF4"/>
    <w:rsid w:val="00E70AD0"/>
    <w:rsid w:val="00E7260F"/>
    <w:rsid w:val="00E72981"/>
    <w:rsid w:val="00E747A5"/>
    <w:rsid w:val="00E7485D"/>
    <w:rsid w:val="00E7601D"/>
    <w:rsid w:val="00E76142"/>
    <w:rsid w:val="00E8535A"/>
    <w:rsid w:val="00E856CE"/>
    <w:rsid w:val="00E9059F"/>
    <w:rsid w:val="00E90F23"/>
    <w:rsid w:val="00E94E64"/>
    <w:rsid w:val="00E96630"/>
    <w:rsid w:val="00EA06C3"/>
    <w:rsid w:val="00EA392B"/>
    <w:rsid w:val="00EA772F"/>
    <w:rsid w:val="00EB18D7"/>
    <w:rsid w:val="00EB2652"/>
    <w:rsid w:val="00EB30C3"/>
    <w:rsid w:val="00EB5EFC"/>
    <w:rsid w:val="00EB6832"/>
    <w:rsid w:val="00EB70E2"/>
    <w:rsid w:val="00EC20AC"/>
    <w:rsid w:val="00EC34E2"/>
    <w:rsid w:val="00EC5505"/>
    <w:rsid w:val="00EC5BC7"/>
    <w:rsid w:val="00EC7146"/>
    <w:rsid w:val="00ED03D6"/>
    <w:rsid w:val="00ED6D82"/>
    <w:rsid w:val="00ED7A2A"/>
    <w:rsid w:val="00EE5150"/>
    <w:rsid w:val="00EE5771"/>
    <w:rsid w:val="00EE639C"/>
    <w:rsid w:val="00EF0B5A"/>
    <w:rsid w:val="00EF0ED8"/>
    <w:rsid w:val="00EF1D7F"/>
    <w:rsid w:val="00EF2383"/>
    <w:rsid w:val="00EF497D"/>
    <w:rsid w:val="00EF52B5"/>
    <w:rsid w:val="00EF6834"/>
    <w:rsid w:val="00F04E07"/>
    <w:rsid w:val="00F14AAA"/>
    <w:rsid w:val="00F14AEA"/>
    <w:rsid w:val="00F16818"/>
    <w:rsid w:val="00F16AE0"/>
    <w:rsid w:val="00F179DE"/>
    <w:rsid w:val="00F20CFF"/>
    <w:rsid w:val="00F20E52"/>
    <w:rsid w:val="00F233E7"/>
    <w:rsid w:val="00F236CE"/>
    <w:rsid w:val="00F2630D"/>
    <w:rsid w:val="00F30427"/>
    <w:rsid w:val="00F345D5"/>
    <w:rsid w:val="00F36C76"/>
    <w:rsid w:val="00F3711E"/>
    <w:rsid w:val="00F40E75"/>
    <w:rsid w:val="00F41498"/>
    <w:rsid w:val="00F42066"/>
    <w:rsid w:val="00F512F3"/>
    <w:rsid w:val="00F51379"/>
    <w:rsid w:val="00F518F7"/>
    <w:rsid w:val="00F51AB9"/>
    <w:rsid w:val="00F52908"/>
    <w:rsid w:val="00F532F9"/>
    <w:rsid w:val="00F54674"/>
    <w:rsid w:val="00F55A1F"/>
    <w:rsid w:val="00F55FD3"/>
    <w:rsid w:val="00F61B05"/>
    <w:rsid w:val="00F623B0"/>
    <w:rsid w:val="00F62FFE"/>
    <w:rsid w:val="00F64D68"/>
    <w:rsid w:val="00F64EBE"/>
    <w:rsid w:val="00F701A2"/>
    <w:rsid w:val="00F70522"/>
    <w:rsid w:val="00F71237"/>
    <w:rsid w:val="00F7224B"/>
    <w:rsid w:val="00F729F2"/>
    <w:rsid w:val="00F76BC5"/>
    <w:rsid w:val="00F778FA"/>
    <w:rsid w:val="00F81292"/>
    <w:rsid w:val="00F826CB"/>
    <w:rsid w:val="00F85B4A"/>
    <w:rsid w:val="00F85DBE"/>
    <w:rsid w:val="00F87470"/>
    <w:rsid w:val="00F91C7F"/>
    <w:rsid w:val="00F93778"/>
    <w:rsid w:val="00F94942"/>
    <w:rsid w:val="00F954BA"/>
    <w:rsid w:val="00FA0DF5"/>
    <w:rsid w:val="00FA2B81"/>
    <w:rsid w:val="00FB016C"/>
    <w:rsid w:val="00FB09F1"/>
    <w:rsid w:val="00FB1976"/>
    <w:rsid w:val="00FB2719"/>
    <w:rsid w:val="00FC2B0A"/>
    <w:rsid w:val="00FC5E08"/>
    <w:rsid w:val="00FC68B7"/>
    <w:rsid w:val="00FD02C1"/>
    <w:rsid w:val="00FD199B"/>
    <w:rsid w:val="00FD21A9"/>
    <w:rsid w:val="00FD59E3"/>
    <w:rsid w:val="00FD6B2B"/>
    <w:rsid w:val="00FE26FA"/>
    <w:rsid w:val="00FE37D0"/>
    <w:rsid w:val="00FE3CB1"/>
    <w:rsid w:val="00FE3FED"/>
    <w:rsid w:val="00FF0169"/>
    <w:rsid w:val="00FF03BB"/>
    <w:rsid w:val="00FF1136"/>
    <w:rsid w:val="00FF25C9"/>
    <w:rsid w:val="00FF437D"/>
    <w:rsid w:val="00FF5394"/>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6B1D5"/>
  <w15:docId w15:val="{57AB88A4-0734-4727-ACF8-68B62CD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 w:type="paragraph" w:customStyle="1" w:styleId="p1">
    <w:name w:val="p1"/>
    <w:basedOn w:val="Normal"/>
    <w:rsid w:val="00DB6AEE"/>
    <w:pPr>
      <w:suppressAutoHyphens w:val="0"/>
      <w:spacing w:line="240" w:lineRule="auto"/>
    </w:pPr>
    <w:rPr>
      <w:sz w:val="17"/>
      <w:szCs w:val="17"/>
      <w:lang w:val="en-US"/>
    </w:rPr>
  </w:style>
  <w:style w:type="character" w:customStyle="1" w:styleId="apple-converted-space">
    <w:name w:val="apple-converted-space"/>
    <w:basedOn w:val="DefaultParagraphFont"/>
    <w:rsid w:val="00DB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5079">
      <w:bodyDiv w:val="1"/>
      <w:marLeft w:val="0"/>
      <w:marRight w:val="0"/>
      <w:marTop w:val="0"/>
      <w:marBottom w:val="0"/>
      <w:divBdr>
        <w:top w:val="none" w:sz="0" w:space="0" w:color="auto"/>
        <w:left w:val="none" w:sz="0" w:space="0" w:color="auto"/>
        <w:bottom w:val="none" w:sz="0" w:space="0" w:color="auto"/>
        <w:right w:val="none" w:sz="0" w:space="0" w:color="auto"/>
      </w:divBdr>
    </w:div>
    <w:div w:id="55782538">
      <w:bodyDiv w:val="1"/>
      <w:marLeft w:val="0"/>
      <w:marRight w:val="0"/>
      <w:marTop w:val="0"/>
      <w:marBottom w:val="0"/>
      <w:divBdr>
        <w:top w:val="none" w:sz="0" w:space="0" w:color="auto"/>
        <w:left w:val="none" w:sz="0" w:space="0" w:color="auto"/>
        <w:bottom w:val="none" w:sz="0" w:space="0" w:color="auto"/>
        <w:right w:val="none" w:sz="0" w:space="0" w:color="auto"/>
      </w:divBdr>
    </w:div>
    <w:div w:id="354773228">
      <w:bodyDiv w:val="1"/>
      <w:marLeft w:val="0"/>
      <w:marRight w:val="0"/>
      <w:marTop w:val="0"/>
      <w:marBottom w:val="0"/>
      <w:divBdr>
        <w:top w:val="none" w:sz="0" w:space="0" w:color="auto"/>
        <w:left w:val="none" w:sz="0" w:space="0" w:color="auto"/>
        <w:bottom w:val="none" w:sz="0" w:space="0" w:color="auto"/>
        <w:right w:val="none" w:sz="0" w:space="0" w:color="auto"/>
      </w:divBdr>
    </w:div>
    <w:div w:id="659424903">
      <w:bodyDiv w:val="1"/>
      <w:marLeft w:val="0"/>
      <w:marRight w:val="0"/>
      <w:marTop w:val="0"/>
      <w:marBottom w:val="0"/>
      <w:divBdr>
        <w:top w:val="none" w:sz="0" w:space="0" w:color="auto"/>
        <w:left w:val="none" w:sz="0" w:space="0" w:color="auto"/>
        <w:bottom w:val="none" w:sz="0" w:space="0" w:color="auto"/>
        <w:right w:val="none" w:sz="0" w:space="0" w:color="auto"/>
      </w:divBdr>
    </w:div>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396002495">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691102158">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 w:id="1731073908">
      <w:bodyDiv w:val="1"/>
      <w:marLeft w:val="0"/>
      <w:marRight w:val="0"/>
      <w:marTop w:val="0"/>
      <w:marBottom w:val="0"/>
      <w:divBdr>
        <w:top w:val="none" w:sz="0" w:space="0" w:color="auto"/>
        <w:left w:val="none" w:sz="0" w:space="0" w:color="auto"/>
        <w:bottom w:val="none" w:sz="0" w:space="0" w:color="auto"/>
        <w:right w:val="none" w:sz="0" w:space="0" w:color="auto"/>
      </w:divBdr>
    </w:div>
    <w:div w:id="1750149333">
      <w:bodyDiv w:val="1"/>
      <w:marLeft w:val="0"/>
      <w:marRight w:val="0"/>
      <w:marTop w:val="0"/>
      <w:marBottom w:val="0"/>
      <w:divBdr>
        <w:top w:val="none" w:sz="0" w:space="0" w:color="auto"/>
        <w:left w:val="none" w:sz="0" w:space="0" w:color="auto"/>
        <w:bottom w:val="none" w:sz="0" w:space="0" w:color="auto"/>
        <w:right w:val="none" w:sz="0" w:space="0" w:color="auto"/>
      </w:divBdr>
    </w:div>
    <w:div w:id="2042632127">
      <w:bodyDiv w:val="1"/>
      <w:marLeft w:val="0"/>
      <w:marRight w:val="0"/>
      <w:marTop w:val="0"/>
      <w:marBottom w:val="0"/>
      <w:divBdr>
        <w:top w:val="none" w:sz="0" w:space="0" w:color="auto"/>
        <w:left w:val="none" w:sz="0" w:space="0" w:color="auto"/>
        <w:bottom w:val="none" w:sz="0" w:space="0" w:color="auto"/>
        <w:right w:val="none" w:sz="0" w:space="0" w:color="auto"/>
      </w:divBdr>
    </w:div>
    <w:div w:id="21449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89F0-9BC5-47A5-AFE8-E128F688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1674</Words>
  <Characters>9084</Characters>
  <Application>Microsoft Office Word</Application>
  <DocSecurity>0</DocSecurity>
  <Lines>156</Lines>
  <Paragraphs>50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7</cp:revision>
  <cp:lastPrinted>2019-04-03T12:58:00Z</cp:lastPrinted>
  <dcterms:created xsi:type="dcterms:W3CDTF">2019-04-02T10:12:00Z</dcterms:created>
  <dcterms:modified xsi:type="dcterms:W3CDTF">2019-04-03T12:58:00Z</dcterms:modified>
</cp:coreProperties>
</file>