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EA06C3" w:rsidRPr="00471D64" w14:paraId="5F8514F5" w14:textId="77777777" w:rsidTr="00D76673">
        <w:trPr>
          <w:trHeight w:val="851"/>
        </w:trPr>
        <w:tc>
          <w:tcPr>
            <w:tcW w:w="1260" w:type="dxa"/>
            <w:tcBorders>
              <w:top w:val="nil"/>
              <w:left w:val="nil"/>
              <w:bottom w:val="single" w:sz="4" w:space="0" w:color="auto"/>
              <w:right w:val="nil"/>
            </w:tcBorders>
          </w:tcPr>
          <w:p w14:paraId="484ED5AA" w14:textId="77777777" w:rsidR="00EA06C3" w:rsidRDefault="00EA06C3" w:rsidP="00EA06C3">
            <w:pPr>
              <w:spacing w:after="80" w:line="340" w:lineRule="exact"/>
            </w:pPr>
          </w:p>
        </w:tc>
        <w:tc>
          <w:tcPr>
            <w:tcW w:w="2237" w:type="dxa"/>
            <w:tcBorders>
              <w:top w:val="nil"/>
              <w:left w:val="nil"/>
              <w:bottom w:val="single" w:sz="4" w:space="0" w:color="auto"/>
              <w:right w:val="nil"/>
            </w:tcBorders>
            <w:vAlign w:val="bottom"/>
            <w:hideMark/>
          </w:tcPr>
          <w:p w14:paraId="1367BC2B" w14:textId="77777777" w:rsidR="00EA06C3" w:rsidRDefault="00EA06C3" w:rsidP="00EA06C3">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0DAA7632" w14:textId="77777777" w:rsidR="00EA06C3" w:rsidRDefault="00EA06C3" w:rsidP="00F54E67">
            <w:pPr>
              <w:suppressAutoHyphens w:val="0"/>
              <w:spacing w:after="20"/>
              <w:jc w:val="right"/>
            </w:pPr>
            <w:r>
              <w:rPr>
                <w:sz w:val="40"/>
                <w:lang w:eastAsia="en-GB"/>
              </w:rPr>
              <w:t>ST</w:t>
            </w:r>
            <w:r w:rsidR="00837843">
              <w:rPr>
                <w:lang w:eastAsia="en-GB"/>
              </w:rPr>
              <w:t>/SG/AC.10/C.3/2019</w:t>
            </w:r>
            <w:r>
              <w:rPr>
                <w:lang w:eastAsia="en-GB"/>
              </w:rPr>
              <w:t>/</w:t>
            </w:r>
            <w:r w:rsidR="00656FC0">
              <w:rPr>
                <w:lang w:eastAsia="en-GB"/>
              </w:rPr>
              <w:t>13</w:t>
            </w:r>
          </w:p>
        </w:tc>
      </w:tr>
      <w:tr w:rsidR="005E0F7B" w:rsidRPr="005E0F7B" w14:paraId="27070767" w14:textId="77777777" w:rsidTr="00D76673">
        <w:trPr>
          <w:trHeight w:val="2835"/>
        </w:trPr>
        <w:tc>
          <w:tcPr>
            <w:tcW w:w="1260" w:type="dxa"/>
            <w:tcBorders>
              <w:top w:val="single" w:sz="4" w:space="0" w:color="auto"/>
              <w:left w:val="nil"/>
              <w:bottom w:val="single" w:sz="12" w:space="0" w:color="auto"/>
              <w:right w:val="nil"/>
            </w:tcBorders>
            <w:hideMark/>
          </w:tcPr>
          <w:p w14:paraId="0F81EF12" w14:textId="77777777" w:rsidR="005E0F7B" w:rsidRDefault="00FD21A9">
            <w:pPr>
              <w:spacing w:before="120"/>
              <w:jc w:val="center"/>
            </w:pPr>
            <w:r>
              <w:rPr>
                <w:noProof/>
                <w:lang w:val="en-US"/>
              </w:rPr>
              <w:drawing>
                <wp:inline distT="0" distB="0" distL="0" distR="0" wp14:anchorId="6D52798F" wp14:editId="100E5345">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06BD46E1"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2654E834" w14:textId="77777777" w:rsidR="005E0F7B" w:rsidRDefault="005E0F7B">
            <w:pPr>
              <w:suppressAutoHyphens w:val="0"/>
              <w:spacing w:before="240" w:line="240" w:lineRule="exact"/>
            </w:pPr>
            <w:r>
              <w:t>Distr.: General</w:t>
            </w:r>
          </w:p>
          <w:p w14:paraId="225CCACA" w14:textId="77777777" w:rsidR="005E0F7B" w:rsidRPr="005C67A3" w:rsidRDefault="008B76C5">
            <w:pPr>
              <w:suppressAutoHyphens w:val="0"/>
            </w:pPr>
            <w:r>
              <w:t>3</w:t>
            </w:r>
            <w:r w:rsidR="00F54E67">
              <w:t xml:space="preserve"> April </w:t>
            </w:r>
            <w:r w:rsidR="006B5CA3">
              <w:t>2019</w:t>
            </w:r>
          </w:p>
          <w:p w14:paraId="5CDC6E30" w14:textId="77777777" w:rsidR="005E0F7B" w:rsidRDefault="005E0F7B">
            <w:pPr>
              <w:suppressAutoHyphens w:val="0"/>
            </w:pPr>
          </w:p>
          <w:p w14:paraId="0F7C1A3B" w14:textId="77777777" w:rsidR="005E0F7B" w:rsidRDefault="005E0F7B">
            <w:pPr>
              <w:suppressAutoHyphens w:val="0"/>
            </w:pPr>
            <w:r>
              <w:t>Original: English</w:t>
            </w:r>
          </w:p>
        </w:tc>
      </w:tr>
    </w:tbl>
    <w:p w14:paraId="53B3B636"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30620D82" w14:textId="77777777" w:rsidR="00D76673" w:rsidRPr="00D76673" w:rsidRDefault="00D76673" w:rsidP="00D76673">
      <w:pPr>
        <w:spacing w:before="120"/>
        <w:rPr>
          <w:b/>
        </w:rPr>
      </w:pPr>
      <w:r w:rsidRPr="00D76673">
        <w:rPr>
          <w:b/>
        </w:rPr>
        <w:t>Sub-Committee of Experts on the Transport of Dangerous Goods</w:t>
      </w:r>
    </w:p>
    <w:p w14:paraId="3CAD108A" w14:textId="77777777" w:rsidR="00050AF4" w:rsidRPr="00656FC0" w:rsidRDefault="00050AF4" w:rsidP="00050AF4">
      <w:pPr>
        <w:spacing w:before="120"/>
        <w:rPr>
          <w:b/>
        </w:rPr>
      </w:pPr>
      <w:r w:rsidRPr="00656FC0">
        <w:rPr>
          <w:b/>
        </w:rPr>
        <w:t>Fifty-fifth session</w:t>
      </w:r>
    </w:p>
    <w:p w14:paraId="56604F94" w14:textId="77777777" w:rsidR="00050AF4" w:rsidRPr="00656FC0" w:rsidRDefault="00050AF4" w:rsidP="00656FC0">
      <w:pPr>
        <w:pStyle w:val="p1"/>
        <w:rPr>
          <w:rFonts w:ascii="Helvetica Neue" w:hAnsi="Helvetica Neue"/>
          <w:b/>
          <w:bCs/>
          <w:color w:val="000000"/>
          <w:sz w:val="20"/>
          <w:szCs w:val="20"/>
        </w:rPr>
      </w:pPr>
      <w:r w:rsidRPr="00656FC0">
        <w:rPr>
          <w:sz w:val="20"/>
          <w:szCs w:val="20"/>
        </w:rPr>
        <w:t>Geneva, 1-5 July 2019</w:t>
      </w:r>
      <w:r w:rsidRPr="00656FC0">
        <w:rPr>
          <w:color w:val="333333"/>
          <w:sz w:val="20"/>
          <w:szCs w:val="20"/>
        </w:rPr>
        <w:br/>
      </w:r>
      <w:r w:rsidRPr="00656FC0">
        <w:rPr>
          <w:sz w:val="20"/>
          <w:szCs w:val="20"/>
        </w:rPr>
        <w:t>Item 2</w:t>
      </w:r>
      <w:r w:rsidR="00656FC0">
        <w:rPr>
          <w:sz w:val="20"/>
          <w:szCs w:val="20"/>
        </w:rPr>
        <w:t xml:space="preserve"> (</w:t>
      </w:r>
      <w:r w:rsidRPr="00656FC0">
        <w:rPr>
          <w:sz w:val="20"/>
          <w:szCs w:val="20"/>
        </w:rPr>
        <w:t>l</w:t>
      </w:r>
      <w:r w:rsidR="00656FC0">
        <w:rPr>
          <w:sz w:val="20"/>
          <w:szCs w:val="20"/>
        </w:rPr>
        <w:t>)</w:t>
      </w:r>
      <w:r w:rsidRPr="00656FC0">
        <w:rPr>
          <w:sz w:val="20"/>
          <w:szCs w:val="20"/>
        </w:rPr>
        <w:t xml:space="preserve"> of the provisional agenda</w:t>
      </w:r>
      <w:r w:rsidRPr="00656FC0">
        <w:rPr>
          <w:sz w:val="20"/>
          <w:szCs w:val="20"/>
        </w:rPr>
        <w:br/>
      </w:r>
      <w:r w:rsidRPr="00656FC0">
        <w:rPr>
          <w:b/>
          <w:bCs/>
          <w:sz w:val="20"/>
          <w:szCs w:val="20"/>
        </w:rPr>
        <w:t>Explosives and related matters:</w:t>
      </w:r>
      <w:r w:rsidR="00656FC0" w:rsidRPr="00656FC0">
        <w:rPr>
          <w:b/>
          <w:bCs/>
          <w:sz w:val="20"/>
          <w:szCs w:val="20"/>
        </w:rPr>
        <w:t xml:space="preserve"> m</w:t>
      </w:r>
      <w:r w:rsidRPr="00656FC0">
        <w:rPr>
          <w:b/>
          <w:bCs/>
          <w:sz w:val="20"/>
          <w:szCs w:val="20"/>
        </w:rPr>
        <w:t>iscellaneous</w:t>
      </w:r>
    </w:p>
    <w:p w14:paraId="47D9CB9D" w14:textId="77777777" w:rsidR="001649AD" w:rsidRDefault="00363CCA" w:rsidP="001649AD">
      <w:pPr>
        <w:pStyle w:val="HChG"/>
      </w:pPr>
      <w:r>
        <w:tab/>
      </w:r>
      <w:r>
        <w:tab/>
      </w:r>
      <w:r w:rsidR="0090324A">
        <w:t xml:space="preserve">Clarifications to the </w:t>
      </w:r>
      <w:r w:rsidR="008B76C5">
        <w:t>r</w:t>
      </w:r>
      <w:r w:rsidR="0090324A">
        <w:t xml:space="preserve">egulatory </w:t>
      </w:r>
      <w:r w:rsidR="008B76C5">
        <w:t>c</w:t>
      </w:r>
      <w:r w:rsidR="0090324A">
        <w:t xml:space="preserve">onstruct of </w:t>
      </w:r>
      <w:r w:rsidR="00A3141D">
        <w:t xml:space="preserve">Class 1 </w:t>
      </w:r>
      <w:r w:rsidR="008B76C5">
        <w:t>c</w:t>
      </w:r>
      <w:r w:rsidR="00273071">
        <w:t xml:space="preserve">ompatibility </w:t>
      </w:r>
      <w:r w:rsidR="008B76C5">
        <w:t>g</w:t>
      </w:r>
      <w:r w:rsidR="00273071">
        <w:t>roup</w:t>
      </w:r>
      <w:r w:rsidR="0090324A">
        <w:t xml:space="preserve">s, </w:t>
      </w:r>
      <w:proofErr w:type="gramStart"/>
      <w:r w:rsidR="008B76C5">
        <w:t>t</w:t>
      </w:r>
      <w:r w:rsidR="0090324A">
        <w:t xml:space="preserve">aking into </w:t>
      </w:r>
      <w:r w:rsidR="008B76C5">
        <w:t>a</w:t>
      </w:r>
      <w:r w:rsidR="0090324A">
        <w:t>ccount</w:t>
      </w:r>
      <w:proofErr w:type="gramEnd"/>
      <w:r w:rsidR="0090324A">
        <w:t xml:space="preserve"> </w:t>
      </w:r>
      <w:r w:rsidR="008B76C5">
        <w:t>g</w:t>
      </w:r>
      <w:r w:rsidR="0090324A">
        <w:t>roup</w:t>
      </w:r>
      <w:r w:rsidR="00273071">
        <w:t xml:space="preserve"> </w:t>
      </w:r>
      <w:r w:rsidR="0090324A">
        <w:t>S</w:t>
      </w:r>
      <w:r w:rsidR="00604506">
        <w:t xml:space="preserve"> </w:t>
      </w:r>
    </w:p>
    <w:p w14:paraId="096520A1" w14:textId="77777777" w:rsidR="00E41283" w:rsidRDefault="001C21AD" w:rsidP="001C21AD">
      <w:pPr>
        <w:pStyle w:val="H1G"/>
      </w:pPr>
      <w:r>
        <w:tab/>
      </w:r>
      <w:r>
        <w:tab/>
        <w:t xml:space="preserve">Transmitted by </w:t>
      </w:r>
      <w:r w:rsidR="006B5CA3">
        <w:t>the Sporting Arms &amp; Ammunition Manufacturers’ Institute</w:t>
      </w:r>
      <w:r w:rsidR="001649AD">
        <w:t xml:space="preserve"> </w:t>
      </w:r>
      <w:r>
        <w:t>(</w:t>
      </w:r>
      <w:r w:rsidR="006B5CA3">
        <w:t>SAAMI</w:t>
      </w:r>
      <w:r>
        <w:t>)</w:t>
      </w:r>
      <w:r w:rsidR="00656FC0">
        <w:rPr>
          <w:rStyle w:val="FootnoteReference"/>
        </w:rPr>
        <w:footnoteReference w:customMarkFollows="1" w:id="2"/>
        <w:t>*</w:t>
      </w:r>
    </w:p>
    <w:p w14:paraId="07A164C2" w14:textId="77777777" w:rsidR="001649AD" w:rsidRPr="001649AD" w:rsidRDefault="001649AD" w:rsidP="001C21AD">
      <w:pPr>
        <w:pStyle w:val="HChG"/>
      </w:pPr>
      <w:r>
        <w:tab/>
      </w:r>
      <w:r>
        <w:tab/>
      </w:r>
      <w:r w:rsidRPr="001649AD">
        <w:t>Introduction</w:t>
      </w:r>
    </w:p>
    <w:p w14:paraId="55A316A8" w14:textId="77777777" w:rsidR="00836585" w:rsidRDefault="00836585" w:rsidP="001C21AD">
      <w:pPr>
        <w:pStyle w:val="SingleTxtG"/>
        <w:numPr>
          <w:ilvl w:val="0"/>
          <w:numId w:val="48"/>
        </w:numPr>
        <w:ind w:left="1134" w:firstLine="0"/>
      </w:pPr>
      <w:r>
        <w:t xml:space="preserve">Compatibility </w:t>
      </w:r>
      <w:r w:rsidR="008B76C5">
        <w:t>g</w:t>
      </w:r>
      <w:r>
        <w:t xml:space="preserve">roups generally denote a type of explosive, irrespective of the hazard level indicated by the division. They form the basis of a segregation system within the class of explosives, under the premise that different </w:t>
      </w:r>
      <w:r w:rsidR="002C0B10">
        <w:t xml:space="preserve">types of </w:t>
      </w:r>
      <w:r>
        <w:t xml:space="preserve">explosives </w:t>
      </w:r>
      <w:r w:rsidR="00B75F06">
        <w:t xml:space="preserve">generally </w:t>
      </w:r>
      <w:r w:rsidR="003C144C">
        <w:t xml:space="preserve">should </w:t>
      </w:r>
      <w:r>
        <w:t>not be transported together</w:t>
      </w:r>
      <w:r w:rsidR="00B75F06">
        <w:t>, with certain exceptions</w:t>
      </w:r>
      <w:r w:rsidR="00161C05">
        <w:t>.</w:t>
      </w:r>
      <w:r w:rsidR="00656FC0">
        <w:rPr>
          <w:rStyle w:val="FootnoteReference"/>
        </w:rPr>
        <w:footnoteReference w:customMarkFollows="1" w:id="3"/>
        <w:t>1</w:t>
      </w:r>
      <w:r w:rsidR="00161C05">
        <w:t xml:space="preserve"> </w:t>
      </w:r>
      <w:r w:rsidR="00564E9D">
        <w:t xml:space="preserve">Additionally, </w:t>
      </w:r>
      <w:r w:rsidR="000B73D3">
        <w:t>only 1.4S explosives may ship together with other classes per</w:t>
      </w:r>
      <w:r w:rsidR="00B75F06">
        <w:t xml:space="preserve"> the underlying segregation system</w:t>
      </w:r>
      <w:r w:rsidR="006B38C5">
        <w:t xml:space="preserve"> for all dangerous goods</w:t>
      </w:r>
      <w:r w:rsidR="00656FC0">
        <w:rPr>
          <w:rStyle w:val="FootnoteReference"/>
        </w:rPr>
        <w:footnoteReference w:customMarkFollows="1" w:id="4"/>
        <w:t>2</w:t>
      </w:r>
      <w:r>
        <w:t>.</w:t>
      </w:r>
    </w:p>
    <w:p w14:paraId="6CA8FD00" w14:textId="77777777" w:rsidR="00836585" w:rsidRDefault="000E45F7" w:rsidP="001C21AD">
      <w:pPr>
        <w:pStyle w:val="SingleTxtG"/>
        <w:numPr>
          <w:ilvl w:val="0"/>
          <w:numId w:val="48"/>
        </w:numPr>
        <w:ind w:left="1134" w:firstLine="0"/>
      </w:pPr>
      <w:r>
        <w:t xml:space="preserve">Compatibility </w:t>
      </w:r>
      <w:r w:rsidR="008B76C5">
        <w:t>g</w:t>
      </w:r>
      <w:r>
        <w:t xml:space="preserve">roup S is the only group that </w:t>
      </w:r>
      <w:r w:rsidR="00993E78">
        <w:t>indicates a</w:t>
      </w:r>
      <w:r w:rsidR="00836585">
        <w:t xml:space="preserve"> reduction of hazard based on test criteria</w:t>
      </w:r>
      <w:r w:rsidR="008E0F28">
        <w:t>,</w:t>
      </w:r>
      <w:r w:rsidR="00836585">
        <w:t xml:space="preserve"> irrespective of</w:t>
      </w:r>
      <w:r w:rsidR="00993E78">
        <w:t xml:space="preserve"> the type of explosive</w:t>
      </w:r>
      <w:r w:rsidR="00836585">
        <w:t xml:space="preserve">. On this basis </w:t>
      </w:r>
      <w:r w:rsidR="008B76C5">
        <w:t>c</w:t>
      </w:r>
      <w:r w:rsidR="00836585">
        <w:t xml:space="preserve">ompatibility </w:t>
      </w:r>
      <w:r w:rsidR="008B76C5">
        <w:t>g</w:t>
      </w:r>
      <w:r w:rsidR="00836585">
        <w:t xml:space="preserve">roup S may be transported with </w:t>
      </w:r>
      <w:r w:rsidR="002C0B10">
        <w:t>most</w:t>
      </w:r>
      <w:r w:rsidR="00836585">
        <w:t xml:space="preserve"> other explosive</w:t>
      </w:r>
      <w:r w:rsidR="002C0B10">
        <w:t>s and</w:t>
      </w:r>
      <w:r w:rsidR="00836585">
        <w:t xml:space="preserve"> dangerous good</w:t>
      </w:r>
      <w:r w:rsidR="002C0B10">
        <w:t>s</w:t>
      </w:r>
      <w:r w:rsidR="00836585">
        <w:t xml:space="preserve">. Like other dangerous goods, </w:t>
      </w:r>
      <w:r w:rsidR="008B76C5">
        <w:t>c</w:t>
      </w:r>
      <w:r w:rsidR="00836585">
        <w:t xml:space="preserve">ompatibility </w:t>
      </w:r>
      <w:r w:rsidR="008B76C5">
        <w:t>g</w:t>
      </w:r>
      <w:r w:rsidR="00836585">
        <w:t xml:space="preserve">roup S may not be transported with </w:t>
      </w:r>
      <w:r w:rsidR="008B76C5">
        <w:t>c</w:t>
      </w:r>
      <w:r w:rsidR="00836585">
        <w:t xml:space="preserve">ompatibility </w:t>
      </w:r>
      <w:r w:rsidR="008B76C5">
        <w:t>g</w:t>
      </w:r>
      <w:r w:rsidR="00993E78">
        <w:t xml:space="preserve">roups A </w:t>
      </w:r>
      <w:r w:rsidR="002C0B10">
        <w:t>and</w:t>
      </w:r>
      <w:r w:rsidR="00993E78">
        <w:t xml:space="preserve"> L, </w:t>
      </w:r>
      <w:r w:rsidR="00836585">
        <w:t>due to</w:t>
      </w:r>
      <w:r w:rsidR="00993E78">
        <w:t xml:space="preserve"> </w:t>
      </w:r>
      <w:r w:rsidR="008E0F28">
        <w:t xml:space="preserve">the </w:t>
      </w:r>
      <w:r w:rsidR="00993E78">
        <w:t xml:space="preserve">characteristics </w:t>
      </w:r>
      <w:r w:rsidR="008E0F28">
        <w:t xml:space="preserve">of those groups </w:t>
      </w:r>
      <w:r w:rsidR="00993E78">
        <w:t xml:space="preserve">that make them incompatible with </w:t>
      </w:r>
      <w:r w:rsidR="00380F90">
        <w:t>all</w:t>
      </w:r>
      <w:r w:rsidR="00993E78">
        <w:t xml:space="preserve"> </w:t>
      </w:r>
      <w:r w:rsidR="00380F90">
        <w:t xml:space="preserve">other </w:t>
      </w:r>
      <w:r w:rsidR="00993E78">
        <w:t>good</w:t>
      </w:r>
      <w:r w:rsidR="00380F90">
        <w:t>s</w:t>
      </w:r>
      <w:r w:rsidR="00993E78">
        <w:t xml:space="preserve">. </w:t>
      </w:r>
    </w:p>
    <w:p w14:paraId="29FEDE44" w14:textId="77777777" w:rsidR="00656FC0" w:rsidRDefault="00656FC0">
      <w:pPr>
        <w:suppressAutoHyphens w:val="0"/>
        <w:spacing w:line="240" w:lineRule="auto"/>
      </w:pPr>
      <w:r>
        <w:br w:type="page"/>
      </w:r>
    </w:p>
    <w:p w14:paraId="31A19485" w14:textId="77777777" w:rsidR="000E45F7" w:rsidRDefault="00993E78" w:rsidP="001C21AD">
      <w:pPr>
        <w:pStyle w:val="SingleTxtG"/>
        <w:numPr>
          <w:ilvl w:val="0"/>
          <w:numId w:val="48"/>
        </w:numPr>
        <w:ind w:left="1134" w:firstLine="0"/>
      </w:pPr>
      <w:r>
        <w:lastRenderedPageBreak/>
        <w:t xml:space="preserve">Compatibility </w:t>
      </w:r>
      <w:r w:rsidR="008B76C5">
        <w:t>g</w:t>
      </w:r>
      <w:r>
        <w:t xml:space="preserve">roup S also appears </w:t>
      </w:r>
      <w:r w:rsidR="00836585">
        <w:t>as</w:t>
      </w:r>
      <w:r>
        <w:t xml:space="preserve"> a component of classification by analogy</w:t>
      </w:r>
      <w:r w:rsidR="00836585">
        <w:t>. However</w:t>
      </w:r>
      <w:r w:rsidR="00665C33">
        <w:t>,</w:t>
      </w:r>
      <w:r w:rsidR="00836585">
        <w:t xml:space="preserve"> this </w:t>
      </w:r>
      <w:r w:rsidR="002C0B10">
        <w:t>does not represent</w:t>
      </w:r>
      <w:r w:rsidR="00836585">
        <w:t xml:space="preserve"> the practice of competent authorities, and this text should be </w:t>
      </w:r>
      <w:r w:rsidR="002C0B10">
        <w:t>considered for amendment</w:t>
      </w:r>
      <w:r w:rsidR="00836585">
        <w:t>.</w:t>
      </w:r>
      <w:r>
        <w:t xml:space="preserve"> </w:t>
      </w:r>
      <w:r w:rsidR="00836585">
        <w:t>The</w:t>
      </w:r>
      <w:r>
        <w:t xml:space="preserve"> analogy method </w:t>
      </w:r>
      <w:r w:rsidR="00380F90">
        <w:t>assigns</w:t>
      </w:r>
      <w:r w:rsidR="00E83483">
        <w:t xml:space="preserve"> </w:t>
      </w:r>
      <w:r w:rsidR="00C36DD5">
        <w:t xml:space="preserve">identical </w:t>
      </w:r>
      <w:r w:rsidR="00E83483">
        <w:t xml:space="preserve">classifications based on </w:t>
      </w:r>
      <w:r>
        <w:t xml:space="preserve">tested explosives </w:t>
      </w:r>
      <w:r w:rsidR="00836585">
        <w:t xml:space="preserve">with similar characteristics, </w:t>
      </w:r>
      <w:r w:rsidR="008E0F28">
        <w:t>and is not limited to 1.4S explosives</w:t>
      </w:r>
      <w:r>
        <w:t xml:space="preserve">. </w:t>
      </w:r>
    </w:p>
    <w:p w14:paraId="1ECB868A" w14:textId="77777777" w:rsidR="00603378" w:rsidRDefault="008E0F28" w:rsidP="001C21AD">
      <w:pPr>
        <w:pStyle w:val="SingleTxtG"/>
        <w:numPr>
          <w:ilvl w:val="0"/>
          <w:numId w:val="48"/>
        </w:numPr>
        <w:ind w:left="1134" w:firstLine="0"/>
      </w:pPr>
      <w:r>
        <w:t>T</w:t>
      </w:r>
      <w:r w:rsidR="00603378">
        <w:t xml:space="preserve">he </w:t>
      </w:r>
      <w:r w:rsidR="008B76C5">
        <w:t>Sub-</w:t>
      </w:r>
      <w:r w:rsidR="00603378">
        <w:t>Committee has encountered difficulty in different work involving explosives compatibility groups, based on incomplete descriptions of their accepted purposes and uses.</w:t>
      </w:r>
      <w:r w:rsidR="00665C33" w:rsidRPr="00665C33">
        <w:t xml:space="preserve"> </w:t>
      </w:r>
      <w:r w:rsidR="006167A5">
        <w:t>Hazard c</w:t>
      </w:r>
      <w:r w:rsidR="000B73D3">
        <w:t xml:space="preserve">lassification is </w:t>
      </w:r>
      <w:r w:rsidR="006167A5">
        <w:t>performance-</w:t>
      </w:r>
      <w:r w:rsidR="000B73D3">
        <w:t xml:space="preserve">based on testing rather than the identity of the explosive, and the regulatory differences from other explosives are equivalent to being in a different division. </w:t>
      </w:r>
      <w:r w:rsidR="00665C33">
        <w:t xml:space="preserve">In this proposal, we seek to better align the relevant texts of the Model Regulations and the Manual of Tests </w:t>
      </w:r>
      <w:r w:rsidR="008B76C5">
        <w:t>and</w:t>
      </w:r>
      <w:r w:rsidR="00665C33">
        <w:t xml:space="preserve"> Criteria with existing understanding.</w:t>
      </w:r>
    </w:p>
    <w:p w14:paraId="00F515E8" w14:textId="77777777" w:rsidR="002E10DE" w:rsidRDefault="000C2501" w:rsidP="000C2501">
      <w:pPr>
        <w:pStyle w:val="HChG"/>
        <w:ind w:firstLine="0"/>
      </w:pPr>
      <w:r>
        <w:t xml:space="preserve">The </w:t>
      </w:r>
      <w:r w:rsidR="008B76C5">
        <w:t>p</w:t>
      </w:r>
      <w:r w:rsidR="000424E1">
        <w:t xml:space="preserve">urposes of </w:t>
      </w:r>
      <w:r w:rsidR="008B76C5">
        <w:t>c</w:t>
      </w:r>
      <w:r w:rsidR="000424E1">
        <w:t xml:space="preserve">ompatibility </w:t>
      </w:r>
      <w:r w:rsidR="008B76C5">
        <w:t>g</w:t>
      </w:r>
      <w:r w:rsidR="000424E1">
        <w:t>roups</w:t>
      </w:r>
    </w:p>
    <w:p w14:paraId="55561A7B" w14:textId="77777777" w:rsidR="00A444A2" w:rsidRDefault="000C2501" w:rsidP="001C21AD">
      <w:pPr>
        <w:pStyle w:val="SingleTxtG"/>
        <w:numPr>
          <w:ilvl w:val="0"/>
          <w:numId w:val="48"/>
        </w:numPr>
        <w:ind w:left="1134" w:firstLine="0"/>
      </w:pPr>
      <w:proofErr w:type="gramStart"/>
      <w:r>
        <w:t>With the exception of</w:t>
      </w:r>
      <w:proofErr w:type="gramEnd"/>
      <w:r>
        <w:t xml:space="preserve"> </w:t>
      </w:r>
      <w:r w:rsidR="008B76C5">
        <w:t>c</w:t>
      </w:r>
      <w:r>
        <w:t xml:space="preserve">ompatibility </w:t>
      </w:r>
      <w:r w:rsidR="008B76C5">
        <w:t>g</w:t>
      </w:r>
      <w:r>
        <w:t>roup</w:t>
      </w:r>
      <w:r w:rsidR="00B60225">
        <w:t>s</w:t>
      </w:r>
      <w:r>
        <w:t xml:space="preserve"> S</w:t>
      </w:r>
      <w:r w:rsidR="00B60225">
        <w:t xml:space="preserve"> and N</w:t>
      </w:r>
      <w:r>
        <w:t>, compatibility groups indicate the type of explosive – for example</w:t>
      </w:r>
      <w:r w:rsidR="008E0F28">
        <w:t xml:space="preserve">, </w:t>
      </w:r>
      <w:r w:rsidR="008B76C5">
        <w:t>g</w:t>
      </w:r>
      <w:r w:rsidR="008E0F28">
        <w:t xml:space="preserve">roup B represents </w:t>
      </w:r>
      <w:r>
        <w:t xml:space="preserve">primary explosives used for initiation of other explosives, </w:t>
      </w:r>
      <w:r w:rsidR="008B76C5">
        <w:t>g</w:t>
      </w:r>
      <w:r w:rsidR="008E0F28">
        <w:t xml:space="preserve">roup C is for </w:t>
      </w:r>
      <w:r>
        <w:t xml:space="preserve">propellants </w:t>
      </w:r>
      <w:r w:rsidR="008E0F28">
        <w:t xml:space="preserve">and </w:t>
      </w:r>
      <w:r w:rsidR="008B76C5">
        <w:t>g</w:t>
      </w:r>
      <w:r w:rsidR="008E0F28">
        <w:t xml:space="preserve">roup G is for </w:t>
      </w:r>
      <w:r>
        <w:t xml:space="preserve">pyrotechnics. In general, different types of explosives should not be </w:t>
      </w:r>
      <w:r w:rsidR="00A444A2">
        <w:t>in close proximity to each other</w:t>
      </w:r>
      <w:r w:rsidR="00B60225">
        <w:t>, except wh</w:t>
      </w:r>
      <w:r w:rsidR="00A444A2">
        <w:t>en incorpor</w:t>
      </w:r>
      <w:r w:rsidR="00B60225">
        <w:t>ated into an explosives article</w:t>
      </w:r>
      <w:r w:rsidR="000B73D3">
        <w:t xml:space="preserve"> where they are controlled by classification,</w:t>
      </w:r>
      <w:r w:rsidR="00A444A2">
        <w:t xml:space="preserve"> or in use</w:t>
      </w:r>
      <w:r w:rsidR="00B60225">
        <w:t>. T</w:t>
      </w:r>
      <w:r w:rsidR="00A444A2">
        <w:t xml:space="preserve">he </w:t>
      </w:r>
      <w:r>
        <w:t xml:space="preserve">purpose of </w:t>
      </w:r>
      <w:r w:rsidR="008E0F28">
        <w:t xml:space="preserve">assigning </w:t>
      </w:r>
      <w:r w:rsidR="00A444A2">
        <w:t>compatibility</w:t>
      </w:r>
      <w:r>
        <w:t xml:space="preserve"> groups </w:t>
      </w:r>
      <w:r w:rsidR="00A444A2">
        <w:t>is</w:t>
      </w:r>
      <w:r>
        <w:t xml:space="preserve"> to </w:t>
      </w:r>
      <w:r w:rsidR="008E0F28">
        <w:t xml:space="preserve">prohibit </w:t>
      </w:r>
      <w:r>
        <w:t>their proximity to each other in transport and storage</w:t>
      </w:r>
      <w:r w:rsidR="00886B11">
        <w:t xml:space="preserve"> incidental to transport</w:t>
      </w:r>
      <w:r>
        <w:t xml:space="preserve">. </w:t>
      </w:r>
    </w:p>
    <w:p w14:paraId="6342B92C" w14:textId="77777777" w:rsidR="00134A89" w:rsidRDefault="000B73D3" w:rsidP="001C21AD">
      <w:pPr>
        <w:pStyle w:val="SingleTxtG"/>
        <w:numPr>
          <w:ilvl w:val="0"/>
          <w:numId w:val="48"/>
        </w:numPr>
        <w:ind w:left="1134" w:firstLine="0"/>
      </w:pPr>
      <w:r>
        <w:t>In the context of explosives, t</w:t>
      </w:r>
      <w:r w:rsidR="00134A89">
        <w:t>he term “compatibility” is a synonym for segregation</w:t>
      </w:r>
      <w:r>
        <w:t xml:space="preserve"> within Class 1</w:t>
      </w:r>
      <w:r w:rsidR="00A444A2">
        <w:t>. Compatibility of explosives</w:t>
      </w:r>
      <w:r w:rsidR="00134A89">
        <w:t xml:space="preserve"> </w:t>
      </w:r>
      <w:r w:rsidR="00D74901">
        <w:t>is used to denote the special system for</w:t>
      </w:r>
      <w:r w:rsidR="00134A89">
        <w:t xml:space="preserve"> explosives</w:t>
      </w:r>
      <w:r w:rsidR="00D74901">
        <w:t xml:space="preserve"> segregation, which </w:t>
      </w:r>
      <w:r w:rsidR="00325099">
        <w:t>is</w:t>
      </w:r>
      <w:r w:rsidR="00B329D9">
        <w:t xml:space="preserve"> </w:t>
      </w:r>
      <w:r w:rsidR="00325099">
        <w:t xml:space="preserve">an additional </w:t>
      </w:r>
      <w:r w:rsidR="00B329D9">
        <w:t>layer of segregation</w:t>
      </w:r>
      <w:r w:rsidR="00D74901">
        <w:t xml:space="preserve"> within the overarching dangerous goods segregation system that </w:t>
      </w:r>
      <w:r w:rsidR="00A444A2">
        <w:t>inter-relates</w:t>
      </w:r>
      <w:r w:rsidR="00D74901">
        <w:t xml:space="preserve"> </w:t>
      </w:r>
      <w:r w:rsidR="00325099">
        <w:t xml:space="preserve">all </w:t>
      </w:r>
      <w:r w:rsidR="00D74901">
        <w:t>classes and divisions</w:t>
      </w:r>
      <w:r w:rsidR="00134A89">
        <w:t>.</w:t>
      </w:r>
      <w:r w:rsidR="00B329D9">
        <w:t xml:space="preserve"> In other words, for dangerous goods other than explosive</w:t>
      </w:r>
      <w:r w:rsidR="00886B11">
        <w:t>s</w:t>
      </w:r>
      <w:r w:rsidR="00B329D9">
        <w:t xml:space="preserve">, </w:t>
      </w:r>
      <w:r w:rsidR="00A444A2">
        <w:t xml:space="preserve">generally the </w:t>
      </w:r>
      <w:r w:rsidR="00B329D9">
        <w:t xml:space="preserve">assignment to a class or division is all that is necessary </w:t>
      </w:r>
      <w:r w:rsidR="00A444A2">
        <w:t>to determine</w:t>
      </w:r>
      <w:r w:rsidR="00B329D9">
        <w:t xml:space="preserve"> segregation, but for explosives there is additional segregation required </w:t>
      </w:r>
      <w:r w:rsidR="008E0F28">
        <w:t>between explosive types</w:t>
      </w:r>
      <w:r w:rsidR="00B329D9">
        <w:t xml:space="preserve">. </w:t>
      </w:r>
      <w:r w:rsidR="004F6A4C">
        <w:t xml:space="preserve">In some </w:t>
      </w:r>
      <w:proofErr w:type="gramStart"/>
      <w:r w:rsidR="004F6A4C">
        <w:t>cases</w:t>
      </w:r>
      <w:proofErr w:type="gramEnd"/>
      <w:r w:rsidR="004F6A4C">
        <w:t xml:space="preserve"> segregation goes even further, </w:t>
      </w:r>
      <w:r w:rsidR="00741D76">
        <w:t xml:space="preserve">e.g. </w:t>
      </w:r>
      <w:r w:rsidR="004F6A4C">
        <w:t>down to the UN number</w:t>
      </w:r>
      <w:r w:rsidR="00741D76">
        <w:t xml:space="preserve"> within </w:t>
      </w:r>
      <w:r w:rsidR="008B76C5">
        <w:t>c</w:t>
      </w:r>
      <w:r w:rsidR="00741D76">
        <w:t>ompatibility</w:t>
      </w:r>
      <w:r w:rsidR="004F6A4C">
        <w:t xml:space="preserve"> </w:t>
      </w:r>
      <w:r w:rsidR="008B76C5">
        <w:t>g</w:t>
      </w:r>
      <w:r w:rsidR="004F6A4C">
        <w:t>roup L</w:t>
      </w:r>
      <w:r w:rsidR="00656FC0">
        <w:rPr>
          <w:rStyle w:val="FootnoteReference"/>
        </w:rPr>
        <w:footnoteReference w:customMarkFollows="1" w:id="5"/>
        <w:t>3</w:t>
      </w:r>
      <w:r w:rsidR="004F6A4C">
        <w:t xml:space="preserve">. </w:t>
      </w:r>
    </w:p>
    <w:p w14:paraId="11C6C626" w14:textId="77777777" w:rsidR="000B73D3" w:rsidRDefault="000B73D3" w:rsidP="000B73D3">
      <w:pPr>
        <w:pStyle w:val="SingleTxtG"/>
        <w:numPr>
          <w:ilvl w:val="0"/>
          <w:numId w:val="48"/>
        </w:numPr>
        <w:ind w:left="1134" w:firstLine="0"/>
      </w:pPr>
      <w:r>
        <w:t xml:space="preserve">Compatibility rules apply regardless of the division. For example, classifications 1.1B or 1.4B may be transported together, and classifications 1.3C and 1.4C may be transported together, but classifications 1.4B and 1.4C (in the same division) may not be transported together. </w:t>
      </w:r>
    </w:p>
    <w:p w14:paraId="11AC4845" w14:textId="77777777" w:rsidR="001C144E" w:rsidRDefault="00325099" w:rsidP="001C21AD">
      <w:pPr>
        <w:pStyle w:val="SingleTxtG"/>
        <w:numPr>
          <w:ilvl w:val="0"/>
          <w:numId w:val="48"/>
        </w:numPr>
        <w:ind w:left="1134" w:firstLine="0"/>
      </w:pPr>
      <w:r>
        <w:t>An important</w:t>
      </w:r>
      <w:r w:rsidR="00A444A2">
        <w:t xml:space="preserve"> exception to the above system </w:t>
      </w:r>
      <w:r w:rsidR="000C2501">
        <w:t xml:space="preserve">is </w:t>
      </w:r>
      <w:r w:rsidR="008B76C5">
        <w:t>c</w:t>
      </w:r>
      <w:r w:rsidR="000C2501">
        <w:t xml:space="preserve">ompatibility </w:t>
      </w:r>
      <w:r w:rsidR="008B76C5">
        <w:t>g</w:t>
      </w:r>
      <w:r w:rsidR="000C2501">
        <w:t xml:space="preserve">roup S. </w:t>
      </w:r>
      <w:r w:rsidR="00EB2652">
        <w:t xml:space="preserve">Group S is not related to the type of </w:t>
      </w:r>
      <w:proofErr w:type="gramStart"/>
      <w:r w:rsidR="00EB2652">
        <w:t>explosive, and</w:t>
      </w:r>
      <w:proofErr w:type="gramEnd"/>
      <w:r w:rsidR="00EB2652">
        <w:t xml:space="preserve"> is determined on the basis of </w:t>
      </w:r>
      <w:r w:rsidR="008B003B">
        <w:t>five</w:t>
      </w:r>
      <w:r w:rsidR="00EB2652">
        <w:t xml:space="preserve"> </w:t>
      </w:r>
      <w:r w:rsidR="00AA11F6">
        <w:t xml:space="preserve">test </w:t>
      </w:r>
      <w:r w:rsidR="00EB2652">
        <w:t xml:space="preserve">criteria which exceed the requirements for Division 1.4. Any </w:t>
      </w:r>
      <w:r w:rsidR="00A444A2">
        <w:t xml:space="preserve">explosive </w:t>
      </w:r>
      <w:r w:rsidR="00EB2652">
        <w:t>compatibility group may be changed into group S if it passes certain safety criteria</w:t>
      </w:r>
      <w:r w:rsidR="00656FC0">
        <w:rPr>
          <w:rStyle w:val="FootnoteReference"/>
        </w:rPr>
        <w:footnoteReference w:customMarkFollows="1" w:id="6"/>
        <w:t>4</w:t>
      </w:r>
      <w:r w:rsidR="00EB2652">
        <w:t>. Group S only exists for use in conjunction with Division 1.4</w:t>
      </w:r>
      <w:r w:rsidR="00A444A2">
        <w:t>, defined as “no significant hazard” (relative to high hazard explosives)</w:t>
      </w:r>
      <w:r w:rsidR="00656FC0">
        <w:rPr>
          <w:rStyle w:val="FootnoteReference"/>
        </w:rPr>
        <w:footnoteReference w:customMarkFollows="1" w:id="7"/>
        <w:t>5</w:t>
      </w:r>
      <w:r w:rsidR="00EB2652">
        <w:t xml:space="preserve">. The 1.4S classification </w:t>
      </w:r>
      <w:r w:rsidR="009B0E4A">
        <w:t>serves the purpose of a</w:t>
      </w:r>
      <w:r w:rsidR="00EB2652">
        <w:t xml:space="preserve"> division; the threshold between the 1.4S and 1.4 classifications </w:t>
      </w:r>
      <w:r w:rsidR="00A444A2">
        <w:t xml:space="preserve">determined by Test Series 6 </w:t>
      </w:r>
      <w:r w:rsidR="00EB2652">
        <w:t xml:space="preserve">is as </w:t>
      </w:r>
      <w:r w:rsidR="00674036">
        <w:t>important</w:t>
      </w:r>
      <w:r w:rsidR="0024528B">
        <w:t xml:space="preserve"> </w:t>
      </w:r>
      <w:r w:rsidR="00EB2652">
        <w:t xml:space="preserve">as </w:t>
      </w:r>
      <w:r w:rsidR="00A444A2">
        <w:t xml:space="preserve">the difference </w:t>
      </w:r>
      <w:r w:rsidR="00EB2652">
        <w:t xml:space="preserve">between Division 1.4 and </w:t>
      </w:r>
      <w:r w:rsidR="008B76C5">
        <w:t>d</w:t>
      </w:r>
      <w:r w:rsidR="00EB2652">
        <w:t>ivisions 1.1/1.2/1.3</w:t>
      </w:r>
      <w:r w:rsidR="00B329D9">
        <w:t xml:space="preserve">. A </w:t>
      </w:r>
      <w:r w:rsidR="00EB2652">
        <w:t xml:space="preserve">3-tier system of 1.1/1.2/1.3, 1.4 and 1.4S </w:t>
      </w:r>
      <w:r w:rsidR="00CF209E">
        <w:t>(high, mediu</w:t>
      </w:r>
      <w:r w:rsidR="00FD0C30">
        <w:t>m</w:t>
      </w:r>
      <w:r w:rsidR="00CF209E">
        <w:t xml:space="preserve"> and low hazard) </w:t>
      </w:r>
      <w:r w:rsidR="00EB2652">
        <w:t xml:space="preserve">is apparent throughout </w:t>
      </w:r>
      <w:r w:rsidR="00CF209E">
        <w:t>the dangerous goods regulations</w:t>
      </w:r>
      <w:r w:rsidR="00EB2652">
        <w:t>.</w:t>
      </w:r>
      <w:r w:rsidR="00A444A2">
        <w:t xml:space="preserve"> T</w:t>
      </w:r>
      <w:r w:rsidR="00134A89">
        <w:t xml:space="preserve">he </w:t>
      </w:r>
      <w:r w:rsidR="00436ABC">
        <w:t>result</w:t>
      </w:r>
      <w:r w:rsidR="00134A89">
        <w:t xml:space="preserve"> is that </w:t>
      </w:r>
      <w:r w:rsidR="00436ABC">
        <w:t xml:space="preserve">high and medium hazard explosives are subject to segregation </w:t>
      </w:r>
      <w:r w:rsidR="00CF209E">
        <w:t>of different explosive types</w:t>
      </w:r>
      <w:r w:rsidR="00436ABC">
        <w:t xml:space="preserve">, but </w:t>
      </w:r>
      <w:r w:rsidR="00134A89">
        <w:t>low hazard configurations of any type of explosive may be excepted from segregation restrictions.</w:t>
      </w:r>
    </w:p>
    <w:p w14:paraId="195D35D7" w14:textId="77777777" w:rsidR="00B329D9" w:rsidRDefault="008B0D33" w:rsidP="001C21AD">
      <w:pPr>
        <w:pStyle w:val="SingleTxtG"/>
        <w:numPr>
          <w:ilvl w:val="0"/>
          <w:numId w:val="48"/>
        </w:numPr>
        <w:ind w:left="1134" w:firstLine="0"/>
      </w:pPr>
      <w:r>
        <w:lastRenderedPageBreak/>
        <w:t>In addition to waiving segregation requirements, h</w:t>
      </w:r>
      <w:r w:rsidR="000424E1">
        <w:t xml:space="preserve">azard classification 1.4S has been </w:t>
      </w:r>
      <w:r w:rsidR="00385108">
        <w:t>utilized</w:t>
      </w:r>
      <w:r>
        <w:t xml:space="preserve"> to create many differences in the regulations for low hazard explosives</w:t>
      </w:r>
      <w:r w:rsidR="000424E1">
        <w:t xml:space="preserve">. </w:t>
      </w:r>
      <w:r w:rsidR="00674036">
        <w:t>S</w:t>
      </w:r>
      <w:r w:rsidR="009C2C82">
        <w:t>ome e</w:t>
      </w:r>
      <w:r w:rsidR="00B329D9">
        <w:t xml:space="preserve">xamples of the use of </w:t>
      </w:r>
      <w:r w:rsidR="00BB48D9">
        <w:t>g</w:t>
      </w:r>
      <w:r w:rsidR="00B329D9">
        <w:t>roup S for purposes other than segregation</w:t>
      </w:r>
      <w:r w:rsidR="00674036">
        <w:t xml:space="preserve"> are</w:t>
      </w:r>
      <w:r w:rsidR="00B329D9">
        <w:t>:</w:t>
      </w:r>
    </w:p>
    <w:p w14:paraId="27E74A7B" w14:textId="77777777" w:rsidR="004801F9" w:rsidRPr="00656FC0" w:rsidRDefault="00656FC0" w:rsidP="00656FC0">
      <w:pPr>
        <w:pStyle w:val="SingleTxtG"/>
        <w:ind w:left="2268" w:hanging="567"/>
      </w:pPr>
      <w:r>
        <w:t>(a)</w:t>
      </w:r>
      <w:r>
        <w:tab/>
      </w:r>
      <w:r w:rsidR="004801F9" w:rsidRPr="00656FC0">
        <w:t xml:space="preserve">Only goods classified as 1.4S may be transported as cargo on passenger aircraft. </w:t>
      </w:r>
      <w:r w:rsidR="00DF42F4" w:rsidRPr="00656FC0">
        <w:t>(</w:t>
      </w:r>
      <w:r w:rsidR="004801F9" w:rsidRPr="00656FC0">
        <w:t xml:space="preserve">Other Division 1.4 goods may only be transported by cargo aircraft, and Divisions 1.1, 1.2 and 1.3 </w:t>
      </w:r>
      <w:r w:rsidR="00080E0E" w:rsidRPr="00656FC0">
        <w:t xml:space="preserve">generally </w:t>
      </w:r>
      <w:r w:rsidR="004801F9" w:rsidRPr="00656FC0">
        <w:t>may not be transported by air.</w:t>
      </w:r>
      <w:r w:rsidR="00DF42F4" w:rsidRPr="00656FC0">
        <w:t>)</w:t>
      </w:r>
    </w:p>
    <w:p w14:paraId="6F210E32" w14:textId="77777777" w:rsidR="004801F9" w:rsidRPr="00656FC0" w:rsidRDefault="00656FC0" w:rsidP="00656FC0">
      <w:pPr>
        <w:pStyle w:val="SingleTxtG"/>
        <w:ind w:left="2268" w:hanging="567"/>
      </w:pPr>
      <w:r>
        <w:t>(b)</w:t>
      </w:r>
      <w:r>
        <w:tab/>
      </w:r>
      <w:r w:rsidR="00062A47" w:rsidRPr="00656FC0">
        <w:t>Goods classified as 1.4S do not require a hazard label or placard</w:t>
      </w:r>
      <w:r w:rsidR="005F17C1" w:rsidRPr="00656FC0">
        <w:t xml:space="preserve"> in the Model Regulations</w:t>
      </w:r>
      <w:r w:rsidR="00324C7E" w:rsidRPr="00656FC0">
        <w:t xml:space="preserve"> or</w:t>
      </w:r>
      <w:r w:rsidR="005F17C1" w:rsidRPr="00656FC0">
        <w:t xml:space="preserve"> maritime regulations</w:t>
      </w:r>
      <w:r w:rsidR="00062A47" w:rsidRPr="00656FC0">
        <w:t>.</w:t>
      </w:r>
      <w:r w:rsidRPr="00BB48D9">
        <w:rPr>
          <w:rStyle w:val="FootnoteReference"/>
          <w:sz w:val="20"/>
        </w:rPr>
        <w:footnoteReference w:customMarkFollows="1" w:id="8"/>
        <w:t>6</w:t>
      </w:r>
    </w:p>
    <w:p w14:paraId="622A993C" w14:textId="77777777" w:rsidR="00067B2D" w:rsidRDefault="00067B2D" w:rsidP="00067B2D">
      <w:pPr>
        <w:pStyle w:val="HChG"/>
        <w:ind w:firstLine="0"/>
      </w:pPr>
      <w:r>
        <w:t>Non-relevance</w:t>
      </w:r>
      <w:r w:rsidR="00D35F5F">
        <w:t xml:space="preserve"> of </w:t>
      </w:r>
      <w:r w:rsidR="00BB48D9">
        <w:t>c</w:t>
      </w:r>
      <w:r w:rsidR="00D35F5F">
        <w:t xml:space="preserve">ompatibility </w:t>
      </w:r>
      <w:r w:rsidR="00BB48D9">
        <w:t>g</w:t>
      </w:r>
      <w:r w:rsidR="00D35F5F">
        <w:t>roup S to analogy classifications</w:t>
      </w:r>
    </w:p>
    <w:p w14:paraId="1745836B" w14:textId="77777777" w:rsidR="00067B2D" w:rsidRDefault="00AE0953" w:rsidP="00067B2D">
      <w:pPr>
        <w:pStyle w:val="SingleTxtG"/>
        <w:numPr>
          <w:ilvl w:val="0"/>
          <w:numId w:val="48"/>
        </w:numPr>
        <w:ind w:left="1134" w:firstLine="0"/>
      </w:pPr>
      <w:r>
        <w:t xml:space="preserve">Paragraph 10.1.2 of the Manual of Tests </w:t>
      </w:r>
      <w:r w:rsidR="00BB48D9">
        <w:t>and</w:t>
      </w:r>
      <w:r>
        <w:t xml:space="preserve"> Criteria</w:t>
      </w:r>
      <w:r w:rsidR="005B2AC2">
        <w:t xml:space="preserve">, states </w:t>
      </w:r>
      <w:r>
        <w:t xml:space="preserve">that </w:t>
      </w:r>
      <w:r w:rsidR="00BB48D9">
        <w:t>c</w:t>
      </w:r>
      <w:r w:rsidR="005B2AC2">
        <w:t xml:space="preserve">ompatibility </w:t>
      </w:r>
      <w:r w:rsidR="00BB48D9">
        <w:t>g</w:t>
      </w:r>
      <w:r w:rsidR="009D5278">
        <w:t xml:space="preserve">roup S is eligible for classification by analogy </w:t>
      </w:r>
      <w:r>
        <w:t>without testing based on test results for a comparable</w:t>
      </w:r>
      <w:r w:rsidR="009D5278">
        <w:t xml:space="preserve"> explosive article. </w:t>
      </w:r>
      <w:r w:rsidR="005B2AC2">
        <w:t xml:space="preserve">A </w:t>
      </w:r>
      <w:r w:rsidR="00742408">
        <w:t xml:space="preserve">similar </w:t>
      </w:r>
      <w:r w:rsidR="005B2AC2">
        <w:t xml:space="preserve">statement appears in the </w:t>
      </w:r>
      <w:r w:rsidR="00BB48D9">
        <w:t>Model Regulations Chapter 2.1, para.</w:t>
      </w:r>
      <w:r w:rsidR="005B2AC2">
        <w:t xml:space="preserve"> 2.1</w:t>
      </w:r>
      <w:r w:rsidR="00742408">
        <w:t>.</w:t>
      </w:r>
      <w:r w:rsidR="005B2AC2">
        <w:t xml:space="preserve">3.4.3. </w:t>
      </w:r>
      <w:r w:rsidR="00DF5601">
        <w:t xml:space="preserve">However, based on previous informal discussion amongst the Working Group </w:t>
      </w:r>
      <w:r w:rsidR="00BB48D9">
        <w:t>on Explosives</w:t>
      </w:r>
      <w:r w:rsidR="00DF5601">
        <w:t xml:space="preserve">, there is consensus that competent authorities assign </w:t>
      </w:r>
      <w:r w:rsidR="00FD35CB">
        <w:t xml:space="preserve">analogy </w:t>
      </w:r>
      <w:r w:rsidR="00DF5601">
        <w:t xml:space="preserve">classifications </w:t>
      </w:r>
      <w:r w:rsidR="00FD35CB">
        <w:t xml:space="preserve">without regard to whether an explosive is in </w:t>
      </w:r>
      <w:r w:rsidR="00BB48D9">
        <w:t>c</w:t>
      </w:r>
      <w:r w:rsidR="00FD35CB">
        <w:t xml:space="preserve">ompatibility </w:t>
      </w:r>
      <w:r w:rsidR="00BB48D9">
        <w:t>g</w:t>
      </w:r>
      <w:r w:rsidR="00FD35CB">
        <w:t>roup S, or whether the explosive is an article or a substance. Analogies are</w:t>
      </w:r>
      <w:r w:rsidR="00DF5601">
        <w:t xml:space="preserve"> </w:t>
      </w:r>
      <w:r w:rsidR="00FD35CB">
        <w:t xml:space="preserve">based on similar </w:t>
      </w:r>
      <w:r w:rsidR="00D62637">
        <w:t>explosive configurations</w:t>
      </w:r>
      <w:r w:rsidR="00FD35CB">
        <w:t xml:space="preserve"> within any classification</w:t>
      </w:r>
      <w:r w:rsidR="005140F4">
        <w:t>, using parameters like the type, packaging and amount</w:t>
      </w:r>
      <w:r w:rsidR="00FD35CB">
        <w:t xml:space="preserve">. </w:t>
      </w:r>
    </w:p>
    <w:p w14:paraId="60CF5392" w14:textId="77777777" w:rsidR="00273071" w:rsidRDefault="005B2AC2" w:rsidP="00421F30">
      <w:pPr>
        <w:pStyle w:val="SingleTxtG"/>
        <w:numPr>
          <w:ilvl w:val="0"/>
          <w:numId w:val="48"/>
        </w:numPr>
        <w:ind w:left="1134" w:firstLine="0"/>
      </w:pPr>
      <w:r>
        <w:t>An example of when it should be appropriate to waive test</w:t>
      </w:r>
      <w:r w:rsidR="00961627">
        <w:t>ing</w:t>
      </w:r>
      <w:r>
        <w:t xml:space="preserve"> was discussed </w:t>
      </w:r>
      <w:r w:rsidR="00421F30">
        <w:t>during the review of</w:t>
      </w:r>
      <w:r>
        <w:t xml:space="preserve"> </w:t>
      </w:r>
      <w:r w:rsidR="00656FC0">
        <w:t xml:space="preserve">informal document </w:t>
      </w:r>
      <w:r>
        <w:t xml:space="preserve">INF.21 </w:t>
      </w:r>
      <w:r w:rsidR="00656FC0">
        <w:t>(</w:t>
      </w:r>
      <w:r w:rsidR="00502B6E">
        <w:t>fifty-second</w:t>
      </w:r>
      <w:r w:rsidR="00656FC0">
        <w:t xml:space="preserve"> session) </w:t>
      </w:r>
      <w:r w:rsidR="00421F30">
        <w:t xml:space="preserve">by the </w:t>
      </w:r>
      <w:r w:rsidR="00A4428A">
        <w:t>Working Group</w:t>
      </w:r>
      <w:r w:rsidR="00BB48D9">
        <w:t xml:space="preserve"> on Explosives</w:t>
      </w:r>
      <w:r>
        <w:t xml:space="preserve">. That </w:t>
      </w:r>
      <w:r w:rsidR="00421F30">
        <w:t xml:space="preserve">informal </w:t>
      </w:r>
      <w:r w:rsidR="00BB48D9">
        <w:t>document</w:t>
      </w:r>
      <w:r>
        <w:t xml:space="preserve"> described an article potentially qualifying for Division 1.6N assignment. </w:t>
      </w:r>
      <w:r w:rsidR="00273071">
        <w:t xml:space="preserve">The question raised during the fifty-second session was “Why can’t </w:t>
      </w:r>
      <w:r w:rsidR="00BB48D9">
        <w:t>c</w:t>
      </w:r>
      <w:r w:rsidR="00A4428A">
        <w:t xml:space="preserve">ompatibility </w:t>
      </w:r>
      <w:r w:rsidR="00BB48D9">
        <w:t>g</w:t>
      </w:r>
      <w:r w:rsidR="00A4428A">
        <w:t xml:space="preserve">roup </w:t>
      </w:r>
      <w:r w:rsidR="00273071">
        <w:t>N tests be similarly waived?”</w:t>
      </w:r>
      <w:r w:rsidR="00502B6E">
        <w:t>.</w:t>
      </w:r>
      <w:r w:rsidR="00273071">
        <w:t xml:space="preserve"> At the time, </w:t>
      </w:r>
      <w:r w:rsidR="002D0C4A">
        <w:t>the working group agreed</w:t>
      </w:r>
      <w:r w:rsidR="00421F30">
        <w:t xml:space="preserve"> that analogies </w:t>
      </w:r>
      <w:r w:rsidR="00B26054">
        <w:t xml:space="preserve">can be </w:t>
      </w:r>
      <w:r w:rsidR="00421F30">
        <w:t xml:space="preserve">made </w:t>
      </w:r>
      <w:r w:rsidR="00B26054">
        <w:t>within any</w:t>
      </w:r>
      <w:r w:rsidR="00421F30">
        <w:t xml:space="preserve"> compatibility group</w:t>
      </w:r>
      <w:r w:rsidR="00273071">
        <w:t>.</w:t>
      </w:r>
    </w:p>
    <w:p w14:paraId="0CC5EE9F" w14:textId="77777777" w:rsidR="00583DA3" w:rsidRDefault="00156053" w:rsidP="00F71FA0">
      <w:pPr>
        <w:pStyle w:val="HChG"/>
        <w:ind w:firstLine="0"/>
      </w:pPr>
      <w:r>
        <w:t xml:space="preserve">Corresponding </w:t>
      </w:r>
      <w:r w:rsidR="00BB48D9">
        <w:t>c</w:t>
      </w:r>
      <w:r>
        <w:t>hanges to the</w:t>
      </w:r>
      <w:r w:rsidR="00583DA3">
        <w:t xml:space="preserve"> Model Regulations and the Manual of Tests </w:t>
      </w:r>
      <w:r w:rsidR="00BB48D9">
        <w:t>and</w:t>
      </w:r>
      <w:r w:rsidR="00583DA3">
        <w:t xml:space="preserve"> Criteria</w:t>
      </w:r>
    </w:p>
    <w:p w14:paraId="205FF06D" w14:textId="77777777" w:rsidR="00583DA3" w:rsidRDefault="00156053" w:rsidP="00583DA3">
      <w:pPr>
        <w:pStyle w:val="SingleTxtG"/>
        <w:numPr>
          <w:ilvl w:val="0"/>
          <w:numId w:val="48"/>
        </w:numPr>
        <w:ind w:left="1134" w:firstLine="0"/>
      </w:pPr>
      <w:r>
        <w:t xml:space="preserve">We propose to clarify </w:t>
      </w:r>
      <w:r w:rsidR="002D0C4A">
        <w:t>that</w:t>
      </w:r>
      <w:r>
        <w:t xml:space="preserve"> Test </w:t>
      </w:r>
      <w:r w:rsidR="00045BF0">
        <w:t>S</w:t>
      </w:r>
      <w:r>
        <w:t xml:space="preserve">eries 6 </w:t>
      </w:r>
      <w:r w:rsidR="002D0C4A">
        <w:t xml:space="preserve">is used </w:t>
      </w:r>
      <w:r>
        <w:t>for 1.4S determinations in paragraph 2.1.3.4.2 of the Model Regulations. No change is necessary in the Manual</w:t>
      </w:r>
      <w:r w:rsidR="00BB48D9">
        <w:t xml:space="preserve"> of Tests and Criteria</w:t>
      </w:r>
      <w:r>
        <w:t>, as this is covered in paragraph 10.4.2.3.</w:t>
      </w:r>
    </w:p>
    <w:p w14:paraId="1B9754F3" w14:textId="77777777" w:rsidR="00156053" w:rsidRDefault="004E5C13" w:rsidP="00583DA3">
      <w:pPr>
        <w:pStyle w:val="SingleTxtG"/>
        <w:numPr>
          <w:ilvl w:val="0"/>
          <w:numId w:val="48"/>
        </w:numPr>
        <w:ind w:left="1134" w:firstLine="0"/>
      </w:pPr>
      <w:r>
        <w:t xml:space="preserve">In </w:t>
      </w:r>
      <w:r w:rsidR="00156053">
        <w:t xml:space="preserve">paragraph 2.1.2.1 of the Model Regulations, </w:t>
      </w:r>
      <w:r>
        <w:t xml:space="preserve">we propose to clarify that the assignments of </w:t>
      </w:r>
      <w:r w:rsidR="00BB48D9">
        <w:t>c</w:t>
      </w:r>
      <w:r>
        <w:t xml:space="preserve">ompatibility </w:t>
      </w:r>
      <w:r w:rsidR="00BB48D9">
        <w:t>g</w:t>
      </w:r>
      <w:r>
        <w:t xml:space="preserve">roups N and S are based on testing, </w:t>
      </w:r>
      <w:r w:rsidR="00156053">
        <w:t xml:space="preserve">as currently the text only refers to kinds of explosives. </w:t>
      </w:r>
      <w:r>
        <w:t xml:space="preserve">We also propose to clarify that test results consistent with a </w:t>
      </w:r>
      <w:r w:rsidR="00AB0349">
        <w:t>lower</w:t>
      </w:r>
      <w:r>
        <w:t xml:space="preserve"> level of hazard are the basis for the differences allowed for transport of 1.4S with other explosives. There are no corresponding changes necessary in the Manual</w:t>
      </w:r>
      <w:r w:rsidR="00BB48D9">
        <w:t xml:space="preserve"> of Tests and Criteria</w:t>
      </w:r>
      <w:r>
        <w:t xml:space="preserve">, as the first point is already addressed in paragraph 10.1.2, and unlike the Model Regulations, the Manual </w:t>
      </w:r>
      <w:r w:rsidR="00BB48D9">
        <w:t xml:space="preserve">of Tests and Criteria </w:t>
      </w:r>
      <w:r>
        <w:t xml:space="preserve">does </w:t>
      </w:r>
      <w:r w:rsidR="00C768E1">
        <w:t>not address</w:t>
      </w:r>
      <w:r>
        <w:t xml:space="preserve"> the segregation logic for explosives</w:t>
      </w:r>
      <w:r w:rsidR="00156053">
        <w:t>.</w:t>
      </w:r>
    </w:p>
    <w:p w14:paraId="17A2AF78" w14:textId="77777777" w:rsidR="00156053" w:rsidRDefault="006858A0" w:rsidP="00583DA3">
      <w:pPr>
        <w:pStyle w:val="SingleTxtG"/>
        <w:numPr>
          <w:ilvl w:val="0"/>
          <w:numId w:val="48"/>
        </w:numPr>
        <w:ind w:left="1134" w:firstLine="0"/>
      </w:pPr>
      <w:r>
        <w:t xml:space="preserve">We propose to eliminate the special references to </w:t>
      </w:r>
      <w:r w:rsidR="00BB48D9">
        <w:t>c</w:t>
      </w:r>
      <w:r>
        <w:t xml:space="preserve">ompatibility </w:t>
      </w:r>
      <w:r w:rsidR="00BB48D9">
        <w:t>g</w:t>
      </w:r>
      <w:r>
        <w:t xml:space="preserve">roup S in the context of classification by analogy, and that analogies include substances in addition to explosive </w:t>
      </w:r>
      <w:r>
        <w:lastRenderedPageBreak/>
        <w:t xml:space="preserve">articles. This requires changes to paragraph 2.1.3.4.3 of the </w:t>
      </w:r>
      <w:r w:rsidR="000250CF">
        <w:t>Model Regulations</w:t>
      </w:r>
      <w:r>
        <w:t xml:space="preserve"> and </w:t>
      </w:r>
      <w:r w:rsidR="000250CF">
        <w:t xml:space="preserve">to paragraph 10.1.2 of the Manual </w:t>
      </w:r>
      <w:r w:rsidR="00BB48D9">
        <w:t>of Tests and Criteria</w:t>
      </w:r>
      <w:r w:rsidR="000250CF">
        <w:t>.</w:t>
      </w:r>
    </w:p>
    <w:p w14:paraId="5732431E" w14:textId="77777777" w:rsidR="00DB5DD7" w:rsidRDefault="00DD6AFF" w:rsidP="003E7034">
      <w:pPr>
        <w:pStyle w:val="HChG"/>
        <w:ind w:firstLine="0"/>
      </w:pPr>
      <w:r>
        <w:t>Proposal</w:t>
      </w:r>
      <w:r w:rsidR="000C2501">
        <w:t>s</w:t>
      </w:r>
    </w:p>
    <w:p w14:paraId="3E45BC67" w14:textId="77777777" w:rsidR="004C5957" w:rsidRPr="004C5957" w:rsidRDefault="00961DA4" w:rsidP="004C5957">
      <w:pPr>
        <w:pStyle w:val="SingleTxtG"/>
        <w:rPr>
          <w:i/>
          <w:iCs/>
        </w:rPr>
      </w:pPr>
      <w:r>
        <w:rPr>
          <w:i/>
          <w:iCs/>
        </w:rPr>
        <w:t>(</w:t>
      </w:r>
      <w:r w:rsidR="004C5957" w:rsidRPr="004C5957">
        <w:rPr>
          <w:i/>
          <w:iCs/>
        </w:rPr>
        <w:t xml:space="preserve">New text is </w:t>
      </w:r>
      <w:r w:rsidR="004C5957" w:rsidRPr="004C5957">
        <w:rPr>
          <w:i/>
          <w:iCs/>
          <w:u w:val="single"/>
        </w:rPr>
        <w:t>underlined</w:t>
      </w:r>
      <w:r w:rsidR="004C5957" w:rsidRPr="004C5957">
        <w:rPr>
          <w:i/>
          <w:iCs/>
        </w:rPr>
        <w:t xml:space="preserve">. Deleted text is </w:t>
      </w:r>
      <w:r w:rsidR="00A366F2" w:rsidRPr="00A366F2">
        <w:rPr>
          <w:i/>
          <w:iCs/>
          <w:strike/>
        </w:rPr>
        <w:t>crossed out</w:t>
      </w:r>
      <w:r>
        <w:rPr>
          <w:i/>
          <w:iCs/>
          <w:strike/>
        </w:rPr>
        <w:t>)</w:t>
      </w:r>
    </w:p>
    <w:p w14:paraId="1459817B" w14:textId="77777777" w:rsidR="00681744" w:rsidRDefault="00F14AEA" w:rsidP="001C21AD">
      <w:pPr>
        <w:pStyle w:val="SingleTxtG"/>
        <w:numPr>
          <w:ilvl w:val="0"/>
          <w:numId w:val="48"/>
        </w:numPr>
        <w:ind w:left="1134" w:firstLine="0"/>
      </w:pPr>
      <w:r>
        <w:t xml:space="preserve">Modify paragraph 2.1.3.4.2 of the </w:t>
      </w:r>
      <w:r w:rsidR="00961DA4">
        <w:t>Model Regulations</w:t>
      </w:r>
      <w:r>
        <w:t xml:space="preserve"> as follows:</w:t>
      </w:r>
    </w:p>
    <w:p w14:paraId="48C8F8CA" w14:textId="77777777" w:rsidR="00F14AEA" w:rsidRDefault="00F14AEA" w:rsidP="00656FC0">
      <w:pPr>
        <w:pStyle w:val="SingleTxtG"/>
        <w:ind w:left="1701"/>
      </w:pPr>
      <w:r>
        <w:t>“</w:t>
      </w:r>
      <w:r w:rsidRPr="00F14AEA">
        <w:t>Test series 5, 6 and 7 are used for the determination of the hazard division.</w:t>
      </w:r>
      <w:r w:rsidR="00502B6E" w:rsidRPr="00502B6E">
        <w:t xml:space="preserve"> </w:t>
      </w:r>
      <w:r w:rsidR="00502B6E" w:rsidRPr="00F400B0">
        <w:t>Test series</w:t>
      </w:r>
      <w:r w:rsidR="00502B6E">
        <w:t> </w:t>
      </w:r>
      <w:r w:rsidR="00502B6E" w:rsidRPr="00F400B0">
        <w:t>5 is used to determine whether a substance can be assigned to Division 1.5</w:t>
      </w:r>
      <w:r w:rsidRPr="00F14AEA">
        <w:t>. Test</w:t>
      </w:r>
      <w:r w:rsidR="00502B6E">
        <w:t> </w:t>
      </w:r>
      <w:r w:rsidRPr="00F14AEA">
        <w:t>series 6 is used for the assignment of substances and articles to Divisions 1.1, 1.2, 1.3</w:t>
      </w:r>
      <w:r w:rsidRPr="00F14AEA">
        <w:rPr>
          <w:u w:val="single"/>
        </w:rPr>
        <w:t>,</w:t>
      </w:r>
      <w:r w:rsidRPr="00F14AEA">
        <w:t xml:space="preserve"> </w:t>
      </w:r>
      <w:r w:rsidRPr="00F14AEA">
        <w:rPr>
          <w:strike/>
        </w:rPr>
        <w:t>and</w:t>
      </w:r>
      <w:r w:rsidRPr="00F14AEA">
        <w:t xml:space="preserve"> 1.4</w:t>
      </w:r>
      <w:r w:rsidRPr="00F14AEA">
        <w:rPr>
          <w:u w:val="single"/>
        </w:rPr>
        <w:t xml:space="preserve">, and 1.4 </w:t>
      </w:r>
      <w:r w:rsidR="004C6597">
        <w:rPr>
          <w:u w:val="single"/>
        </w:rPr>
        <w:t>C</w:t>
      </w:r>
      <w:r w:rsidRPr="00F14AEA">
        <w:rPr>
          <w:u w:val="single"/>
        </w:rPr>
        <w:t xml:space="preserve">ompatibility </w:t>
      </w:r>
      <w:r w:rsidR="004C6597">
        <w:rPr>
          <w:u w:val="single"/>
        </w:rPr>
        <w:t>G</w:t>
      </w:r>
      <w:r w:rsidRPr="00F14AEA">
        <w:rPr>
          <w:u w:val="single"/>
        </w:rPr>
        <w:t>roup S</w:t>
      </w:r>
      <w:r w:rsidRPr="00F14AEA">
        <w:t>.</w:t>
      </w:r>
      <w:r w:rsidR="00C768E1">
        <w:t>.</w:t>
      </w:r>
      <w:r w:rsidRPr="00F14AEA">
        <w:t>.</w:t>
      </w:r>
      <w:r>
        <w:t>”</w:t>
      </w:r>
    </w:p>
    <w:p w14:paraId="60FD448F" w14:textId="77777777" w:rsidR="001C144E" w:rsidRDefault="00184541" w:rsidP="001C21AD">
      <w:pPr>
        <w:pStyle w:val="SingleTxtG"/>
        <w:numPr>
          <w:ilvl w:val="0"/>
          <w:numId w:val="48"/>
        </w:numPr>
        <w:ind w:left="1134" w:firstLine="0"/>
      </w:pPr>
      <w:r>
        <w:t xml:space="preserve">Modify </w:t>
      </w:r>
      <w:r w:rsidR="005531DD">
        <w:t>paragraph 2.1.2.1</w:t>
      </w:r>
      <w:r w:rsidR="00502B6E">
        <w:t xml:space="preserve"> </w:t>
      </w:r>
      <w:r w:rsidR="005531DD">
        <w:t xml:space="preserve">of the </w:t>
      </w:r>
      <w:r w:rsidR="00961DA4">
        <w:t>Model Regulations</w:t>
      </w:r>
      <w:r w:rsidR="005531DD">
        <w:t xml:space="preserve"> as follows:</w:t>
      </w:r>
    </w:p>
    <w:p w14:paraId="6F3C005B" w14:textId="77777777" w:rsidR="002261B2" w:rsidRDefault="00961DA4" w:rsidP="00656FC0">
      <w:pPr>
        <w:pStyle w:val="SingleTxtG"/>
        <w:ind w:left="1701"/>
      </w:pPr>
      <w:r>
        <w:t>“</w:t>
      </w:r>
      <w:r w:rsidR="002261B2">
        <w:t xml:space="preserve">2.1.2.1 </w:t>
      </w:r>
      <w:r w:rsidR="00502B6E">
        <w:tab/>
      </w:r>
      <w:r w:rsidR="002261B2">
        <w:t>Goods of Class 1 are assigned to one of six divisions, depending on the type of hazard they present (see 2.1.1.4) and to one of thirteen compatibility groups which identify the kinds of explosive substances and articles that are deemed to be compatibl</w:t>
      </w:r>
      <w:r>
        <w:t>e.</w:t>
      </w:r>
      <w:r w:rsidR="002261B2">
        <w:t xml:space="preserve"> </w:t>
      </w:r>
      <w:r w:rsidR="00BE665A" w:rsidRPr="00184541">
        <w:rPr>
          <w:u w:val="single"/>
        </w:rPr>
        <w:t xml:space="preserve">Compatibility </w:t>
      </w:r>
      <w:r>
        <w:rPr>
          <w:u w:val="single"/>
        </w:rPr>
        <w:t>g</w:t>
      </w:r>
      <w:r w:rsidR="00BE665A" w:rsidRPr="00184541">
        <w:rPr>
          <w:u w:val="single"/>
        </w:rPr>
        <w:t>roups N and S</w:t>
      </w:r>
      <w:r w:rsidR="00BE665A">
        <w:rPr>
          <w:u w:val="single"/>
        </w:rPr>
        <w:t xml:space="preserve"> indicate</w:t>
      </w:r>
      <w:r w:rsidR="00BE665A" w:rsidRPr="00184541">
        <w:rPr>
          <w:u w:val="single"/>
        </w:rPr>
        <w:t xml:space="preserve"> </w:t>
      </w:r>
      <w:r w:rsidR="00294A0A">
        <w:rPr>
          <w:u w:val="single"/>
        </w:rPr>
        <w:t>compliance with</w:t>
      </w:r>
      <w:r w:rsidR="00BE665A" w:rsidRPr="00184541">
        <w:rPr>
          <w:u w:val="single"/>
        </w:rPr>
        <w:t xml:space="preserve"> test criteria</w:t>
      </w:r>
      <w:r w:rsidR="00BE665A">
        <w:rPr>
          <w:u w:val="single"/>
        </w:rPr>
        <w:t xml:space="preserve">. </w:t>
      </w:r>
      <w:r w:rsidR="00336D7D" w:rsidRPr="003E7034">
        <w:rPr>
          <w:u w:val="single"/>
        </w:rPr>
        <w:t>Compatibility G</w:t>
      </w:r>
      <w:r w:rsidR="005531DD" w:rsidRPr="003E7034">
        <w:rPr>
          <w:u w:val="single"/>
        </w:rPr>
        <w:t xml:space="preserve">roup S denotes </w:t>
      </w:r>
      <w:r w:rsidR="005531DD">
        <w:rPr>
          <w:u w:val="single"/>
        </w:rPr>
        <w:t xml:space="preserve">a </w:t>
      </w:r>
      <w:r w:rsidR="0050662C">
        <w:rPr>
          <w:u w:val="single"/>
        </w:rPr>
        <w:t>reduction in</w:t>
      </w:r>
      <w:r w:rsidR="005531DD">
        <w:rPr>
          <w:u w:val="single"/>
        </w:rPr>
        <w:t xml:space="preserve"> hazard</w:t>
      </w:r>
      <w:r w:rsidR="0027182E">
        <w:rPr>
          <w:u w:val="single"/>
        </w:rPr>
        <w:t xml:space="preserve"> irres</w:t>
      </w:r>
      <w:r w:rsidR="0050662C">
        <w:rPr>
          <w:u w:val="single"/>
        </w:rPr>
        <w:t>pective of the kind of explosive</w:t>
      </w:r>
      <w:r w:rsidR="00B26054">
        <w:rPr>
          <w:u w:val="single"/>
        </w:rPr>
        <w:t>, and compatibility with other goods</w:t>
      </w:r>
      <w:r w:rsidR="005531DD">
        <w:rPr>
          <w:u w:val="single"/>
        </w:rPr>
        <w:t>.</w:t>
      </w:r>
      <w:r w:rsidR="005531DD" w:rsidRPr="00077E5B">
        <w:t xml:space="preserve"> </w:t>
      </w:r>
      <w:r w:rsidR="002261B2">
        <w:t>The tables in 2.1.2.1.1 and 2.1.2.1.2 show the scheme of classification into compatibility groups, the possible hazard divisions associated with each group and the consequential classification codes.</w:t>
      </w:r>
      <w:r>
        <w:t>”.</w:t>
      </w:r>
    </w:p>
    <w:p w14:paraId="6BE69E2A" w14:textId="77777777" w:rsidR="006858A0" w:rsidRDefault="006858A0" w:rsidP="006858A0">
      <w:pPr>
        <w:pStyle w:val="SingleTxtG"/>
        <w:numPr>
          <w:ilvl w:val="0"/>
          <w:numId w:val="48"/>
        </w:numPr>
        <w:ind w:left="1134" w:firstLine="0"/>
      </w:pPr>
      <w:r>
        <w:t xml:space="preserve">Modify paragraph 2.1.3.4.3 of the </w:t>
      </w:r>
      <w:r w:rsidR="00961DA4">
        <w:t>Model Regulations</w:t>
      </w:r>
      <w:r>
        <w:t xml:space="preserve"> as follows:</w:t>
      </w:r>
    </w:p>
    <w:p w14:paraId="094E9BE2" w14:textId="77777777" w:rsidR="006858A0" w:rsidRDefault="00961DA4" w:rsidP="00656FC0">
      <w:pPr>
        <w:pStyle w:val="SingleTxtG"/>
        <w:ind w:left="1701"/>
      </w:pPr>
      <w:r>
        <w:t>“</w:t>
      </w:r>
      <w:r w:rsidR="006858A0" w:rsidRPr="007701AF">
        <w:t xml:space="preserve">2.1.3.4.3 </w:t>
      </w:r>
      <w:r w:rsidR="006858A0" w:rsidRPr="007701AF">
        <w:rPr>
          <w:strike/>
        </w:rPr>
        <w:t xml:space="preserve">In the case of Compatibility Group S </w:t>
      </w:r>
      <w:proofErr w:type="gramStart"/>
      <w:r w:rsidR="006858A0" w:rsidRPr="007701AF">
        <w:rPr>
          <w:strike/>
        </w:rPr>
        <w:t>t</w:t>
      </w:r>
      <w:proofErr w:type="gramEnd"/>
      <w:r w:rsidR="006858A0">
        <w:t xml:space="preserve"> </w:t>
      </w:r>
      <w:r w:rsidR="006858A0" w:rsidRPr="007701AF">
        <w:rPr>
          <w:u w:val="single"/>
        </w:rPr>
        <w:t>T</w:t>
      </w:r>
      <w:r w:rsidR="006858A0" w:rsidRPr="007701AF">
        <w:t xml:space="preserve">he tests may be waived by the competent authority if classification by analogy is possible using test results for a comparable </w:t>
      </w:r>
      <w:r w:rsidR="006858A0" w:rsidRPr="007701AF">
        <w:rPr>
          <w:u w:val="single"/>
        </w:rPr>
        <w:t>substance o</w:t>
      </w:r>
      <w:r w:rsidR="006858A0">
        <w:t xml:space="preserve">r </w:t>
      </w:r>
      <w:r w:rsidR="006858A0" w:rsidRPr="007701AF">
        <w:t>article.</w:t>
      </w:r>
      <w:r>
        <w:t>”.</w:t>
      </w:r>
    </w:p>
    <w:p w14:paraId="27BEF2DD" w14:textId="77777777" w:rsidR="00035D50" w:rsidRDefault="00035D50" w:rsidP="001C21AD">
      <w:pPr>
        <w:pStyle w:val="SingleTxtG"/>
        <w:numPr>
          <w:ilvl w:val="0"/>
          <w:numId w:val="48"/>
        </w:numPr>
        <w:ind w:left="1134" w:firstLine="0"/>
      </w:pPr>
      <w:r>
        <w:t xml:space="preserve">Modify </w:t>
      </w:r>
      <w:r w:rsidR="00961DA4">
        <w:t xml:space="preserve">the last sentence of the </w:t>
      </w:r>
      <w:r w:rsidR="00184541">
        <w:t xml:space="preserve">paragraph 10.1.2 </w:t>
      </w:r>
      <w:r w:rsidR="00961DA4">
        <w:t>of the Manual of Tests and Criteria</w:t>
      </w:r>
      <w:r w:rsidR="00184541">
        <w:t xml:space="preserve"> </w:t>
      </w:r>
      <w:r>
        <w:t>as follows:</w:t>
      </w:r>
    </w:p>
    <w:p w14:paraId="6377BFE1" w14:textId="77777777" w:rsidR="007D6A2C" w:rsidRDefault="00961DA4" w:rsidP="00656FC0">
      <w:pPr>
        <w:pStyle w:val="SingleTxtG"/>
        <w:ind w:left="1701"/>
      </w:pPr>
      <w:r>
        <w:t>“</w:t>
      </w:r>
      <w:r w:rsidRPr="00961DA4">
        <w:rPr>
          <w:strike/>
        </w:rPr>
        <w:t>In the case of compatibility groups</w:t>
      </w:r>
      <w:r>
        <w:t xml:space="preserve">. The tests may be waived, (where appropriate by the competent authority) if classification by analogy is based on test results for a comparable </w:t>
      </w:r>
      <w:r w:rsidRPr="00961DA4">
        <w:rPr>
          <w:u w:val="single"/>
        </w:rPr>
        <w:t>substance or</w:t>
      </w:r>
      <w:r>
        <w:t xml:space="preserve"> article.”.</w:t>
      </w:r>
    </w:p>
    <w:p w14:paraId="04091267" w14:textId="77777777" w:rsidR="002E10DE" w:rsidRPr="007701AF" w:rsidRDefault="002E10DE" w:rsidP="007701AF">
      <w:pPr>
        <w:pStyle w:val="ListParagraph"/>
        <w:tabs>
          <w:tab w:val="left" w:pos="1855"/>
        </w:tabs>
        <w:suppressAutoHyphens/>
        <w:spacing w:before="240" w:line="240" w:lineRule="atLeast"/>
        <w:ind w:left="1134" w:right="1134"/>
        <w:jc w:val="center"/>
        <w:rPr>
          <w:sz w:val="20"/>
          <w:szCs w:val="20"/>
          <w:u w:val="single"/>
        </w:rPr>
      </w:pPr>
      <w:r>
        <w:rPr>
          <w:sz w:val="20"/>
          <w:szCs w:val="20"/>
          <w:u w:val="single"/>
        </w:rPr>
        <w:tab/>
      </w:r>
      <w:r>
        <w:rPr>
          <w:sz w:val="20"/>
          <w:szCs w:val="20"/>
          <w:u w:val="single"/>
        </w:rPr>
        <w:tab/>
      </w:r>
      <w:r>
        <w:rPr>
          <w:sz w:val="20"/>
          <w:szCs w:val="20"/>
          <w:u w:val="single"/>
        </w:rPr>
        <w:tab/>
      </w:r>
    </w:p>
    <w:p w14:paraId="6B13AFF7" w14:textId="77777777" w:rsidR="0078270D" w:rsidRDefault="0078270D" w:rsidP="00E41283"/>
    <w:sectPr w:rsidR="0078270D" w:rsidSect="00656FC0">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3F1C" w14:textId="77777777" w:rsidR="00EE6CB5" w:rsidRDefault="00EE6CB5"/>
  </w:endnote>
  <w:endnote w:type="continuationSeparator" w:id="0">
    <w:p w14:paraId="033AD22A" w14:textId="77777777" w:rsidR="00EE6CB5" w:rsidRDefault="00EE6CB5"/>
  </w:endnote>
  <w:endnote w:type="continuationNotice" w:id="1">
    <w:p w14:paraId="69257D13" w14:textId="77777777" w:rsidR="00EE6CB5" w:rsidRDefault="00EE6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CBED" w14:textId="77777777" w:rsidR="00100242" w:rsidRPr="009C67CC" w:rsidRDefault="00100242">
    <w:pPr>
      <w:pStyle w:val="Footer"/>
      <w:rPr>
        <w:b/>
      </w:rPr>
    </w:pPr>
    <w:r w:rsidRPr="009C67CC">
      <w:rPr>
        <w:b/>
      </w:rPr>
      <w:fldChar w:fldCharType="begin"/>
    </w:r>
    <w:r w:rsidRPr="009C67CC">
      <w:rPr>
        <w:b/>
      </w:rPr>
      <w:instrText xml:space="preserve"> PAGE   \* MERGEFORMAT </w:instrText>
    </w:r>
    <w:r w:rsidRPr="009C67CC">
      <w:rPr>
        <w:b/>
      </w:rPr>
      <w:fldChar w:fldCharType="separate"/>
    </w:r>
    <w:r w:rsidR="006A59E4">
      <w:rPr>
        <w:b/>
        <w:noProof/>
      </w:rPr>
      <w:t>2</w:t>
    </w:r>
    <w:r w:rsidRPr="009C67CC">
      <w:rPr>
        <w:b/>
        <w:noProof/>
      </w:rPr>
      <w:fldChar w:fldCharType="end"/>
    </w:r>
  </w:p>
  <w:p w14:paraId="405C070F" w14:textId="77777777" w:rsidR="00100242" w:rsidRDefault="0010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AD3C" w14:textId="77777777" w:rsidR="00100242" w:rsidRPr="009D58C1" w:rsidRDefault="00100242">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6A59E4">
      <w:rPr>
        <w:b/>
        <w:noProof/>
        <w:sz w:val="18"/>
        <w:szCs w:val="18"/>
      </w:rPr>
      <w:t>3</w:t>
    </w:r>
    <w:r w:rsidRPr="009D58C1">
      <w:rPr>
        <w:b/>
        <w:noProof/>
        <w:sz w:val="18"/>
        <w:szCs w:val="18"/>
      </w:rPr>
      <w:fldChar w:fldCharType="end"/>
    </w:r>
  </w:p>
  <w:p w14:paraId="6559D114" w14:textId="77777777" w:rsidR="00100242" w:rsidRPr="00432CFD" w:rsidRDefault="00100242" w:rsidP="009D5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608B" w14:textId="77777777" w:rsidR="00EE6CB5" w:rsidRPr="000B175B" w:rsidRDefault="00EE6CB5" w:rsidP="000B175B">
      <w:pPr>
        <w:tabs>
          <w:tab w:val="right" w:pos="2155"/>
        </w:tabs>
        <w:spacing w:after="80"/>
        <w:ind w:left="680"/>
        <w:rPr>
          <w:u w:val="single"/>
        </w:rPr>
      </w:pPr>
      <w:r>
        <w:rPr>
          <w:u w:val="single"/>
        </w:rPr>
        <w:tab/>
      </w:r>
    </w:p>
  </w:footnote>
  <w:footnote w:type="continuationSeparator" w:id="0">
    <w:p w14:paraId="2C71E897" w14:textId="77777777" w:rsidR="00EE6CB5" w:rsidRPr="00FC68B7" w:rsidRDefault="00EE6CB5" w:rsidP="00FC68B7">
      <w:pPr>
        <w:tabs>
          <w:tab w:val="left" w:pos="2155"/>
        </w:tabs>
        <w:spacing w:after="80"/>
        <w:ind w:left="680"/>
        <w:rPr>
          <w:u w:val="single"/>
        </w:rPr>
      </w:pPr>
      <w:r>
        <w:rPr>
          <w:u w:val="single"/>
        </w:rPr>
        <w:tab/>
      </w:r>
    </w:p>
  </w:footnote>
  <w:footnote w:type="continuationNotice" w:id="1">
    <w:p w14:paraId="4E8AF31B" w14:textId="77777777" w:rsidR="00EE6CB5" w:rsidRDefault="00EE6CB5"/>
  </w:footnote>
  <w:footnote w:id="2">
    <w:p w14:paraId="75DD5A65" w14:textId="77777777" w:rsidR="00656FC0" w:rsidRPr="00656FC0" w:rsidRDefault="00656FC0" w:rsidP="00656FC0">
      <w:pPr>
        <w:pStyle w:val="FootnoteText"/>
        <w:ind w:firstLine="0"/>
        <w:rPr>
          <w:lang w:val="fr-CH"/>
        </w:rPr>
      </w:pPr>
      <w:r>
        <w:rPr>
          <w:rStyle w:val="FootnoteReference"/>
        </w:rPr>
        <w:t>*</w:t>
      </w:r>
      <w:r>
        <w:t xml:space="preserve"> </w:t>
      </w:r>
      <w:r>
        <w:tab/>
      </w:r>
      <w:r w:rsidR="00E11777">
        <w:rPr>
          <w:lang w:val="en-US"/>
        </w:rPr>
        <w:t xml:space="preserve">In accordance with </w:t>
      </w:r>
      <w:r w:rsidR="00E11777" w:rsidRPr="00C77DF8">
        <w:t>the programme</w:t>
      </w:r>
      <w:r w:rsidR="00E11777">
        <w:rPr>
          <w:lang w:val="en-US"/>
        </w:rPr>
        <w:t xml:space="preserve"> of work of the Sub-Committee for 2019-2020 approved by the Committee at its ninth session (see ST/SG/AC.10/C.3/108, paragraph 141 and ST/SG/AC.10/46, paragraph 14).</w:t>
      </w:r>
    </w:p>
  </w:footnote>
  <w:footnote w:id="3">
    <w:p w14:paraId="47E1BB0B" w14:textId="77777777" w:rsidR="00656FC0" w:rsidRPr="00656FC0" w:rsidRDefault="00656FC0" w:rsidP="00656FC0">
      <w:pPr>
        <w:pStyle w:val="FootnoteText"/>
        <w:ind w:firstLine="0"/>
        <w:rPr>
          <w:lang w:val="fr-CH"/>
        </w:rPr>
      </w:pPr>
      <w:r>
        <w:rPr>
          <w:rStyle w:val="FootnoteReference"/>
        </w:rPr>
        <w:t>1</w:t>
      </w:r>
      <w:r>
        <w:t xml:space="preserve"> </w:t>
      </w:r>
      <w:r>
        <w:tab/>
      </w:r>
      <w:r w:rsidR="008B76C5">
        <w:t xml:space="preserve">Model Regulations Chapter </w:t>
      </w:r>
      <w:r w:rsidR="008B76C5">
        <w:t>7.</w:t>
      </w:r>
      <w:r w:rsidR="00BF24F7">
        <w:t>1</w:t>
      </w:r>
      <w:bookmarkStart w:id="0" w:name="_GoBack"/>
      <w:bookmarkEnd w:id="0"/>
      <w:r w:rsidR="008B76C5">
        <w:t>,</w:t>
      </w:r>
      <w:r>
        <w:t xml:space="preserve"> Note at the beginning of 7.1.3.1 and 7.1.3.1.2</w:t>
      </w:r>
      <w:r>
        <w:rPr>
          <w:rStyle w:val="apple-converted-space"/>
        </w:rPr>
        <w:t> (c)</w:t>
      </w:r>
    </w:p>
  </w:footnote>
  <w:footnote w:id="4">
    <w:p w14:paraId="39D173A2" w14:textId="77777777" w:rsidR="00656FC0" w:rsidRPr="00656FC0" w:rsidRDefault="00656FC0" w:rsidP="00656FC0">
      <w:pPr>
        <w:pStyle w:val="FootnoteText"/>
        <w:ind w:firstLine="0"/>
        <w:rPr>
          <w:lang w:val="fr-CH"/>
        </w:rPr>
      </w:pPr>
      <w:r>
        <w:rPr>
          <w:rStyle w:val="FootnoteReference"/>
        </w:rPr>
        <w:t>2</w:t>
      </w:r>
      <w:r>
        <w:t xml:space="preserve"> </w:t>
      </w:r>
      <w:r>
        <w:tab/>
        <w:t xml:space="preserve">See </w:t>
      </w:r>
      <w:r w:rsidR="008B76C5">
        <w:t>Model Regulations Chapter 7.1 paragraphs</w:t>
      </w:r>
      <w:r>
        <w:t xml:space="preserve"> 7.1.3.2.1</w:t>
      </w:r>
      <w:r>
        <w:rPr>
          <w:rStyle w:val="apple-converted-space"/>
        </w:rPr>
        <w:t> and 7.1.3.2.2; however, some regulations allow all Division 1.4 with other classes.</w:t>
      </w:r>
    </w:p>
  </w:footnote>
  <w:footnote w:id="5">
    <w:p w14:paraId="334DD123" w14:textId="77777777" w:rsidR="00656FC0" w:rsidRPr="00656FC0" w:rsidRDefault="00656FC0" w:rsidP="00656FC0">
      <w:pPr>
        <w:pStyle w:val="FootnoteText"/>
        <w:ind w:firstLine="0"/>
        <w:rPr>
          <w:lang w:val="fr-CH"/>
        </w:rPr>
      </w:pPr>
      <w:r>
        <w:rPr>
          <w:rStyle w:val="FootnoteReference"/>
        </w:rPr>
        <w:t>3</w:t>
      </w:r>
      <w:r>
        <w:t xml:space="preserve"> </w:t>
      </w:r>
      <w:r>
        <w:tab/>
      </w:r>
      <w:r w:rsidR="008B76C5">
        <w:t>Model Regulations Chapter 7.1, paragraph</w:t>
      </w:r>
      <w:r>
        <w:rPr>
          <w:lang w:val="en-US"/>
        </w:rPr>
        <w:t xml:space="preserve"> 7.1.3.1.5</w:t>
      </w:r>
    </w:p>
  </w:footnote>
  <w:footnote w:id="6">
    <w:p w14:paraId="4B5D09E6" w14:textId="77777777" w:rsidR="00656FC0" w:rsidRPr="00656FC0" w:rsidRDefault="00656FC0" w:rsidP="00656FC0">
      <w:pPr>
        <w:pStyle w:val="FootnoteText"/>
        <w:ind w:firstLine="0"/>
        <w:rPr>
          <w:lang w:val="fr-CH"/>
        </w:rPr>
      </w:pPr>
      <w:r>
        <w:rPr>
          <w:rStyle w:val="FootnoteReference"/>
        </w:rPr>
        <w:t>4</w:t>
      </w:r>
      <w:r>
        <w:t xml:space="preserve"> </w:t>
      </w:r>
      <w:r>
        <w:tab/>
      </w:r>
      <w:r>
        <w:rPr>
          <w:lang w:val="en-US"/>
        </w:rPr>
        <w:t>Fireworks provide a comprehensive example, with classifications in 1.1G, 1.2G, 1.3G, 1.4G, and 1.4S.</w:t>
      </w:r>
    </w:p>
  </w:footnote>
  <w:footnote w:id="7">
    <w:p w14:paraId="4B51A2C2" w14:textId="77777777" w:rsidR="00656FC0" w:rsidRPr="00656FC0" w:rsidRDefault="00656FC0" w:rsidP="00656FC0">
      <w:pPr>
        <w:pStyle w:val="FootnoteText"/>
        <w:ind w:firstLine="0"/>
        <w:rPr>
          <w:lang w:val="fr-CH"/>
        </w:rPr>
      </w:pPr>
      <w:r>
        <w:rPr>
          <w:rStyle w:val="FootnoteReference"/>
        </w:rPr>
        <w:t>5</w:t>
      </w:r>
      <w:r>
        <w:t xml:space="preserve"> </w:t>
      </w:r>
      <w:r>
        <w:tab/>
      </w:r>
      <w:r>
        <w:rPr>
          <w:lang w:val="en-US"/>
        </w:rPr>
        <w:t xml:space="preserve">See the tables in </w:t>
      </w:r>
      <w:r w:rsidR="008B76C5">
        <w:rPr>
          <w:lang w:val="en-US"/>
        </w:rPr>
        <w:t>Model Regulations Chapter 2.1, paragraphs</w:t>
      </w:r>
      <w:r>
        <w:rPr>
          <w:lang w:val="en-US"/>
        </w:rPr>
        <w:t xml:space="preserve"> 2.1.2.1.1 and 2.1.2.1.2</w:t>
      </w:r>
    </w:p>
  </w:footnote>
  <w:footnote w:id="8">
    <w:p w14:paraId="15DDBD07" w14:textId="77777777" w:rsidR="00656FC0" w:rsidRPr="00656FC0" w:rsidRDefault="00656FC0" w:rsidP="00656FC0">
      <w:pPr>
        <w:pStyle w:val="FootnoteText"/>
        <w:ind w:firstLine="0"/>
        <w:rPr>
          <w:lang w:val="fr-CH"/>
        </w:rPr>
      </w:pPr>
      <w:r>
        <w:rPr>
          <w:rStyle w:val="FootnoteReference"/>
        </w:rPr>
        <w:t>6</w:t>
      </w:r>
      <w:r>
        <w:t xml:space="preserve"> </w:t>
      </w:r>
      <w:r>
        <w:tab/>
      </w:r>
      <w:r w:rsidR="00BB48D9">
        <w:t>Model Regulations Chapter 5.2, paragraph</w:t>
      </w:r>
      <w:r w:rsidRPr="00F71FA0">
        <w:t xml:space="preserve"> 5.2.2.2.1.4; IMDG </w:t>
      </w:r>
      <w:r w:rsidR="00BB48D9">
        <w:t xml:space="preserve">Code, Chapter 5.2, paragraph </w:t>
      </w:r>
      <w:r w:rsidRPr="00F71FA0">
        <w:t>5.2.1.1</w:t>
      </w:r>
      <w:r w:rsidR="00BB48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20A2" w14:textId="77777777" w:rsidR="00100242" w:rsidRPr="00432CFD" w:rsidRDefault="001C21AD">
    <w:pPr>
      <w:pStyle w:val="Header"/>
      <w:rPr>
        <w:lang w:val="fr-CH"/>
      </w:rPr>
    </w:pPr>
    <w:r>
      <w:rPr>
        <w:lang w:val="fr-CH"/>
      </w:rPr>
      <w:t>ST/SG/AC.10/C.3/201</w:t>
    </w:r>
    <w:r w:rsidR="00656FC0">
      <w:rPr>
        <w:lang w:val="fr-CH"/>
      </w:rPr>
      <w:t>9</w:t>
    </w:r>
    <w:r>
      <w:rPr>
        <w:lang w:val="fr-CH"/>
      </w:rPr>
      <w:t>/</w:t>
    </w:r>
    <w:r w:rsidR="00656FC0">
      <w:rPr>
        <w:lang w:val="fr-CH"/>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14DF" w14:textId="77777777" w:rsidR="00100242" w:rsidRPr="009D58C1" w:rsidRDefault="00100242" w:rsidP="009D58C1">
    <w:pPr>
      <w:pStyle w:val="Header"/>
      <w:pBdr>
        <w:bottom w:val="single" w:sz="4" w:space="1" w:color="auto"/>
      </w:pBdr>
      <w:jc w:val="right"/>
      <w:rPr>
        <w:lang w:val="fr-CH"/>
      </w:rPr>
    </w:pPr>
    <w:r>
      <w:rPr>
        <w:lang w:val="fr-CH"/>
      </w:rPr>
      <w:t>ST/SG/AC.10/C.3/201</w:t>
    </w:r>
    <w:r w:rsidR="00656FC0">
      <w:rPr>
        <w:lang w:val="fr-CH"/>
      </w:rPr>
      <w:t>9</w:t>
    </w:r>
    <w:r>
      <w:rPr>
        <w:lang w:val="fr-CH"/>
      </w:rPr>
      <w:t>/</w:t>
    </w:r>
    <w:r w:rsidR="00656FC0">
      <w:rPr>
        <w:lang w:val="fr-CH"/>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AE84" w14:textId="77777777" w:rsidR="00100242" w:rsidRPr="002E10DE" w:rsidRDefault="00100242" w:rsidP="001C21A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15:restartNumberingAfterBreak="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6426A6"/>
    <w:multiLevelType w:val="hybridMultilevel"/>
    <w:tmpl w:val="4A0C0424"/>
    <w:lvl w:ilvl="0" w:tplc="2DFC7C98">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499791C"/>
    <w:multiLevelType w:val="hybridMultilevel"/>
    <w:tmpl w:val="02502E46"/>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25526916"/>
    <w:multiLevelType w:val="hybridMultilevel"/>
    <w:tmpl w:val="32507890"/>
    <w:lvl w:ilvl="0" w:tplc="0464AD1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2A766E"/>
    <w:multiLevelType w:val="hybridMultilevel"/>
    <w:tmpl w:val="93CA590C"/>
    <w:lvl w:ilvl="0" w:tplc="779C2722">
      <w:start w:val="1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CD2CC9"/>
    <w:multiLevelType w:val="hybridMultilevel"/>
    <w:tmpl w:val="038687F8"/>
    <w:lvl w:ilvl="0" w:tplc="371A32E0">
      <w:start w:val="10"/>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6" w15:restartNumberingAfterBreak="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C092866"/>
    <w:multiLevelType w:val="hybridMultilevel"/>
    <w:tmpl w:val="1A50EEF4"/>
    <w:lvl w:ilvl="0" w:tplc="6D4A0AEA">
      <w:start w:val="10"/>
      <w:numFmt w:val="decimal"/>
      <w:lvlText w:val="%1."/>
      <w:lvlJc w:val="left"/>
      <w:pPr>
        <w:ind w:left="180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1845D74"/>
    <w:multiLevelType w:val="hybridMultilevel"/>
    <w:tmpl w:val="171A844C"/>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8"/>
  </w:num>
  <w:num w:numId="13">
    <w:abstractNumId w:val="12"/>
  </w:num>
  <w:num w:numId="14">
    <w:abstractNumId w:val="42"/>
  </w:num>
  <w:num w:numId="15">
    <w:abstractNumId w:val="46"/>
  </w:num>
  <w:num w:numId="16">
    <w:abstractNumId w:val="28"/>
  </w:num>
  <w:num w:numId="17">
    <w:abstractNumId w:val="26"/>
  </w:num>
  <w:num w:numId="18">
    <w:abstractNumId w:val="45"/>
  </w:num>
  <w:num w:numId="19">
    <w:abstractNumId w:val="19"/>
  </w:num>
  <w:num w:numId="20">
    <w:abstractNumId w:val="15"/>
  </w:num>
  <w:num w:numId="21">
    <w:abstractNumId w:val="27"/>
  </w:num>
  <w:num w:numId="22">
    <w:abstractNumId w:val="11"/>
  </w:num>
  <w:num w:numId="23">
    <w:abstractNumId w:val="32"/>
  </w:num>
  <w:num w:numId="24">
    <w:abstractNumId w:val="16"/>
  </w:num>
  <w:num w:numId="25">
    <w:abstractNumId w:val="21"/>
  </w:num>
  <w:num w:numId="26">
    <w:abstractNumId w:val="36"/>
  </w:num>
  <w:num w:numId="27">
    <w:abstractNumId w:val="43"/>
  </w:num>
  <w:num w:numId="28">
    <w:abstractNumId w:val="22"/>
  </w:num>
  <w:num w:numId="29">
    <w:abstractNumId w:val="25"/>
  </w:num>
  <w:num w:numId="30">
    <w:abstractNumId w:val="38"/>
  </w:num>
  <w:num w:numId="31">
    <w:abstractNumId w:val="20"/>
  </w:num>
  <w:num w:numId="32">
    <w:abstractNumId w:val="24"/>
  </w:num>
  <w:num w:numId="33">
    <w:abstractNumId w:val="35"/>
  </w:num>
  <w:num w:numId="34">
    <w:abstractNumId w:val="47"/>
  </w:num>
  <w:num w:numId="35">
    <w:abstractNumId w:val="44"/>
  </w:num>
  <w:num w:numId="36">
    <w:abstractNumId w:val="39"/>
  </w:num>
  <w:num w:numId="37">
    <w:abstractNumId w:val="14"/>
  </w:num>
  <w:num w:numId="38">
    <w:abstractNumId w:val="29"/>
  </w:num>
  <w:num w:numId="39">
    <w:abstractNumId w:val="33"/>
  </w:num>
  <w:num w:numId="40">
    <w:abstractNumId w:val="31"/>
  </w:num>
  <w:num w:numId="41">
    <w:abstractNumId w:val="10"/>
  </w:num>
  <w:num w:numId="42">
    <w:abstractNumId w:val="17"/>
  </w:num>
  <w:num w:numId="43">
    <w:abstractNumId w:val="41"/>
  </w:num>
  <w:num w:numId="44">
    <w:abstractNumId w:val="34"/>
  </w:num>
  <w:num w:numId="45">
    <w:abstractNumId w:val="37"/>
  </w:num>
  <w:num w:numId="46">
    <w:abstractNumId w:val="30"/>
  </w:num>
  <w:num w:numId="47">
    <w:abstractNumId w:val="13"/>
  </w:num>
  <w:num w:numId="4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02B4"/>
    <w:rsid w:val="00001E98"/>
    <w:rsid w:val="0000447A"/>
    <w:rsid w:val="00010403"/>
    <w:rsid w:val="00010840"/>
    <w:rsid w:val="000115A4"/>
    <w:rsid w:val="000134CF"/>
    <w:rsid w:val="00014BA7"/>
    <w:rsid w:val="00021A34"/>
    <w:rsid w:val="000230A1"/>
    <w:rsid w:val="000250CF"/>
    <w:rsid w:val="00025E4D"/>
    <w:rsid w:val="00026046"/>
    <w:rsid w:val="0002626C"/>
    <w:rsid w:val="00027FBE"/>
    <w:rsid w:val="00031FF3"/>
    <w:rsid w:val="00034B57"/>
    <w:rsid w:val="00035D50"/>
    <w:rsid w:val="00037FD8"/>
    <w:rsid w:val="00040E24"/>
    <w:rsid w:val="000424E1"/>
    <w:rsid w:val="00044B65"/>
    <w:rsid w:val="00044DE9"/>
    <w:rsid w:val="00045BF0"/>
    <w:rsid w:val="00050AF4"/>
    <w:rsid w:val="00050F6B"/>
    <w:rsid w:val="00051062"/>
    <w:rsid w:val="000540AC"/>
    <w:rsid w:val="00056542"/>
    <w:rsid w:val="00057EC6"/>
    <w:rsid w:val="00060E74"/>
    <w:rsid w:val="00062A47"/>
    <w:rsid w:val="00062F47"/>
    <w:rsid w:val="00064A74"/>
    <w:rsid w:val="00067422"/>
    <w:rsid w:val="000675CC"/>
    <w:rsid w:val="00067B2D"/>
    <w:rsid w:val="00071BCB"/>
    <w:rsid w:val="00072C8C"/>
    <w:rsid w:val="0007360D"/>
    <w:rsid w:val="00074065"/>
    <w:rsid w:val="00077E5B"/>
    <w:rsid w:val="00080E0E"/>
    <w:rsid w:val="00086FBE"/>
    <w:rsid w:val="000900D2"/>
    <w:rsid w:val="00091419"/>
    <w:rsid w:val="000931C0"/>
    <w:rsid w:val="000A25EF"/>
    <w:rsid w:val="000A47C9"/>
    <w:rsid w:val="000A57F2"/>
    <w:rsid w:val="000B0A3E"/>
    <w:rsid w:val="000B175B"/>
    <w:rsid w:val="000B3A0F"/>
    <w:rsid w:val="000B7309"/>
    <w:rsid w:val="000B73D3"/>
    <w:rsid w:val="000C0BD8"/>
    <w:rsid w:val="000C2501"/>
    <w:rsid w:val="000C29D6"/>
    <w:rsid w:val="000C52A3"/>
    <w:rsid w:val="000D21CE"/>
    <w:rsid w:val="000D2DB2"/>
    <w:rsid w:val="000E0415"/>
    <w:rsid w:val="000E2643"/>
    <w:rsid w:val="000E3BAD"/>
    <w:rsid w:val="000E45F7"/>
    <w:rsid w:val="000F2380"/>
    <w:rsid w:val="000F5031"/>
    <w:rsid w:val="00100242"/>
    <w:rsid w:val="00105D5C"/>
    <w:rsid w:val="0010735D"/>
    <w:rsid w:val="00113889"/>
    <w:rsid w:val="00115198"/>
    <w:rsid w:val="00117787"/>
    <w:rsid w:val="00130B2B"/>
    <w:rsid w:val="00131714"/>
    <w:rsid w:val="00131767"/>
    <w:rsid w:val="00131D42"/>
    <w:rsid w:val="001329B7"/>
    <w:rsid w:val="00134A89"/>
    <w:rsid w:val="001359E2"/>
    <w:rsid w:val="001415AC"/>
    <w:rsid w:val="00141AC5"/>
    <w:rsid w:val="0014274C"/>
    <w:rsid w:val="0014570C"/>
    <w:rsid w:val="001472C9"/>
    <w:rsid w:val="0014749F"/>
    <w:rsid w:val="00147BFD"/>
    <w:rsid w:val="00150A37"/>
    <w:rsid w:val="0015390C"/>
    <w:rsid w:val="001559C5"/>
    <w:rsid w:val="00155A9F"/>
    <w:rsid w:val="00156053"/>
    <w:rsid w:val="00161C05"/>
    <w:rsid w:val="0016239A"/>
    <w:rsid w:val="001633FB"/>
    <w:rsid w:val="001649AD"/>
    <w:rsid w:val="00167398"/>
    <w:rsid w:val="001832E7"/>
    <w:rsid w:val="00184541"/>
    <w:rsid w:val="00186AE8"/>
    <w:rsid w:val="0018709C"/>
    <w:rsid w:val="00191FC2"/>
    <w:rsid w:val="001A0D51"/>
    <w:rsid w:val="001A6DA3"/>
    <w:rsid w:val="001B1A57"/>
    <w:rsid w:val="001B4B04"/>
    <w:rsid w:val="001C08BC"/>
    <w:rsid w:val="001C144E"/>
    <w:rsid w:val="001C21AD"/>
    <w:rsid w:val="001C3F03"/>
    <w:rsid w:val="001C4992"/>
    <w:rsid w:val="001C6663"/>
    <w:rsid w:val="001C70FB"/>
    <w:rsid w:val="001C7895"/>
    <w:rsid w:val="001D26DF"/>
    <w:rsid w:val="001D2FDC"/>
    <w:rsid w:val="001D510E"/>
    <w:rsid w:val="001D67E2"/>
    <w:rsid w:val="001E5B82"/>
    <w:rsid w:val="001F2F2D"/>
    <w:rsid w:val="001F7DAC"/>
    <w:rsid w:val="00204D75"/>
    <w:rsid w:val="002054BE"/>
    <w:rsid w:val="0020640F"/>
    <w:rsid w:val="00211BD8"/>
    <w:rsid w:val="00211E0B"/>
    <w:rsid w:val="00212046"/>
    <w:rsid w:val="00213254"/>
    <w:rsid w:val="002156C9"/>
    <w:rsid w:val="002213FA"/>
    <w:rsid w:val="00221988"/>
    <w:rsid w:val="0022446F"/>
    <w:rsid w:val="002261B2"/>
    <w:rsid w:val="002262D3"/>
    <w:rsid w:val="002309A7"/>
    <w:rsid w:val="00230CED"/>
    <w:rsid w:val="00230F2E"/>
    <w:rsid w:val="00235937"/>
    <w:rsid w:val="002370FA"/>
    <w:rsid w:val="00237785"/>
    <w:rsid w:val="00241466"/>
    <w:rsid w:val="00244BA0"/>
    <w:rsid w:val="0024528B"/>
    <w:rsid w:val="00253374"/>
    <w:rsid w:val="00262441"/>
    <w:rsid w:val="002642BC"/>
    <w:rsid w:val="00265251"/>
    <w:rsid w:val="00265A8C"/>
    <w:rsid w:val="00266EF2"/>
    <w:rsid w:val="0027182E"/>
    <w:rsid w:val="00271844"/>
    <w:rsid w:val="00271FD4"/>
    <w:rsid w:val="002725CA"/>
    <w:rsid w:val="00273071"/>
    <w:rsid w:val="00273296"/>
    <w:rsid w:val="00273765"/>
    <w:rsid w:val="00276796"/>
    <w:rsid w:val="0027776D"/>
    <w:rsid w:val="002807B9"/>
    <w:rsid w:val="00280EB7"/>
    <w:rsid w:val="00282E6F"/>
    <w:rsid w:val="00283B0C"/>
    <w:rsid w:val="002845E7"/>
    <w:rsid w:val="00285581"/>
    <w:rsid w:val="00287C9D"/>
    <w:rsid w:val="00291742"/>
    <w:rsid w:val="00294A0A"/>
    <w:rsid w:val="00297FDB"/>
    <w:rsid w:val="002A2457"/>
    <w:rsid w:val="002A3034"/>
    <w:rsid w:val="002A60F8"/>
    <w:rsid w:val="002A6E0B"/>
    <w:rsid w:val="002A7BC0"/>
    <w:rsid w:val="002B1A41"/>
    <w:rsid w:val="002B1CDA"/>
    <w:rsid w:val="002B26CF"/>
    <w:rsid w:val="002C0B10"/>
    <w:rsid w:val="002C56EC"/>
    <w:rsid w:val="002C638D"/>
    <w:rsid w:val="002D0C4A"/>
    <w:rsid w:val="002D30CC"/>
    <w:rsid w:val="002D767C"/>
    <w:rsid w:val="002E0A46"/>
    <w:rsid w:val="002E10DE"/>
    <w:rsid w:val="002E6066"/>
    <w:rsid w:val="002F0ACF"/>
    <w:rsid w:val="002F7AAF"/>
    <w:rsid w:val="002F7B28"/>
    <w:rsid w:val="002F7F51"/>
    <w:rsid w:val="00301F46"/>
    <w:rsid w:val="003024D1"/>
    <w:rsid w:val="003107FA"/>
    <w:rsid w:val="003110DF"/>
    <w:rsid w:val="00316CDE"/>
    <w:rsid w:val="003229D8"/>
    <w:rsid w:val="00323B8F"/>
    <w:rsid w:val="00324C7E"/>
    <w:rsid w:val="00325099"/>
    <w:rsid w:val="003307C0"/>
    <w:rsid w:val="00336A2D"/>
    <w:rsid w:val="00336D7D"/>
    <w:rsid w:val="003437DC"/>
    <w:rsid w:val="00350974"/>
    <w:rsid w:val="003509EE"/>
    <w:rsid w:val="00350C40"/>
    <w:rsid w:val="00363CCA"/>
    <w:rsid w:val="00364DED"/>
    <w:rsid w:val="003759C6"/>
    <w:rsid w:val="00376216"/>
    <w:rsid w:val="0037785D"/>
    <w:rsid w:val="00380F90"/>
    <w:rsid w:val="00381151"/>
    <w:rsid w:val="00383CC3"/>
    <w:rsid w:val="00385108"/>
    <w:rsid w:val="0039277A"/>
    <w:rsid w:val="00393FE4"/>
    <w:rsid w:val="003972E0"/>
    <w:rsid w:val="003A2736"/>
    <w:rsid w:val="003A4A7A"/>
    <w:rsid w:val="003B5E83"/>
    <w:rsid w:val="003C144C"/>
    <w:rsid w:val="003C247C"/>
    <w:rsid w:val="003C2CC4"/>
    <w:rsid w:val="003D4B23"/>
    <w:rsid w:val="003E1CED"/>
    <w:rsid w:val="003E3164"/>
    <w:rsid w:val="003E5E81"/>
    <w:rsid w:val="003E7034"/>
    <w:rsid w:val="003E7451"/>
    <w:rsid w:val="003F347E"/>
    <w:rsid w:val="003F66B7"/>
    <w:rsid w:val="004028F0"/>
    <w:rsid w:val="00412C82"/>
    <w:rsid w:val="0041748B"/>
    <w:rsid w:val="00421F30"/>
    <w:rsid w:val="004230C6"/>
    <w:rsid w:val="004325CB"/>
    <w:rsid w:val="00432CFD"/>
    <w:rsid w:val="00434D54"/>
    <w:rsid w:val="00436ABC"/>
    <w:rsid w:val="00436E22"/>
    <w:rsid w:val="00437F3F"/>
    <w:rsid w:val="00443E7D"/>
    <w:rsid w:val="004444D3"/>
    <w:rsid w:val="00445784"/>
    <w:rsid w:val="00446DE4"/>
    <w:rsid w:val="00447A01"/>
    <w:rsid w:val="00454036"/>
    <w:rsid w:val="00457ED8"/>
    <w:rsid w:val="00462EB7"/>
    <w:rsid w:val="00463344"/>
    <w:rsid w:val="00463DBC"/>
    <w:rsid w:val="00465A22"/>
    <w:rsid w:val="00471D64"/>
    <w:rsid w:val="00474B1C"/>
    <w:rsid w:val="004801F9"/>
    <w:rsid w:val="0048040E"/>
    <w:rsid w:val="004815BC"/>
    <w:rsid w:val="00482228"/>
    <w:rsid w:val="00486F0C"/>
    <w:rsid w:val="004906B4"/>
    <w:rsid w:val="00495374"/>
    <w:rsid w:val="004A411D"/>
    <w:rsid w:val="004A57CE"/>
    <w:rsid w:val="004A72B1"/>
    <w:rsid w:val="004B2C9D"/>
    <w:rsid w:val="004B4C10"/>
    <w:rsid w:val="004C008C"/>
    <w:rsid w:val="004C3287"/>
    <w:rsid w:val="004C5957"/>
    <w:rsid w:val="004C5AF0"/>
    <w:rsid w:val="004C6597"/>
    <w:rsid w:val="004C6CF4"/>
    <w:rsid w:val="004D0FBF"/>
    <w:rsid w:val="004E2C23"/>
    <w:rsid w:val="004E5C13"/>
    <w:rsid w:val="004E795A"/>
    <w:rsid w:val="004F44DC"/>
    <w:rsid w:val="004F5F1B"/>
    <w:rsid w:val="004F6A4C"/>
    <w:rsid w:val="00502B6E"/>
    <w:rsid w:val="00503B9C"/>
    <w:rsid w:val="0050662C"/>
    <w:rsid w:val="00511413"/>
    <w:rsid w:val="005123DA"/>
    <w:rsid w:val="00512CB6"/>
    <w:rsid w:val="005140F4"/>
    <w:rsid w:val="00515F83"/>
    <w:rsid w:val="00516993"/>
    <w:rsid w:val="00517A3F"/>
    <w:rsid w:val="005203EB"/>
    <w:rsid w:val="00522D44"/>
    <w:rsid w:val="00524600"/>
    <w:rsid w:val="00527910"/>
    <w:rsid w:val="00532908"/>
    <w:rsid w:val="00534DA8"/>
    <w:rsid w:val="0053686F"/>
    <w:rsid w:val="005420F2"/>
    <w:rsid w:val="00547520"/>
    <w:rsid w:val="005531DD"/>
    <w:rsid w:val="00553BE1"/>
    <w:rsid w:val="00553F25"/>
    <w:rsid w:val="00555BB3"/>
    <w:rsid w:val="005601F0"/>
    <w:rsid w:val="005616F9"/>
    <w:rsid w:val="00564E9D"/>
    <w:rsid w:val="00572388"/>
    <w:rsid w:val="005725A0"/>
    <w:rsid w:val="0057266D"/>
    <w:rsid w:val="00573567"/>
    <w:rsid w:val="00574827"/>
    <w:rsid w:val="00580F83"/>
    <w:rsid w:val="00583DA3"/>
    <w:rsid w:val="005872A8"/>
    <w:rsid w:val="00590144"/>
    <w:rsid w:val="00593E47"/>
    <w:rsid w:val="005962B5"/>
    <w:rsid w:val="00596AFB"/>
    <w:rsid w:val="005A3505"/>
    <w:rsid w:val="005A4D8F"/>
    <w:rsid w:val="005A585F"/>
    <w:rsid w:val="005A58DB"/>
    <w:rsid w:val="005B2AC2"/>
    <w:rsid w:val="005B3DB3"/>
    <w:rsid w:val="005C00DF"/>
    <w:rsid w:val="005C5058"/>
    <w:rsid w:val="005C67A3"/>
    <w:rsid w:val="005D1CA6"/>
    <w:rsid w:val="005D476B"/>
    <w:rsid w:val="005D5296"/>
    <w:rsid w:val="005D5E45"/>
    <w:rsid w:val="005E0F7B"/>
    <w:rsid w:val="005E482E"/>
    <w:rsid w:val="005E5BFE"/>
    <w:rsid w:val="005F17C1"/>
    <w:rsid w:val="00601025"/>
    <w:rsid w:val="006014D2"/>
    <w:rsid w:val="00603378"/>
    <w:rsid w:val="00604506"/>
    <w:rsid w:val="00606BD8"/>
    <w:rsid w:val="006119AE"/>
    <w:rsid w:val="00611FC4"/>
    <w:rsid w:val="006167A5"/>
    <w:rsid w:val="0061691B"/>
    <w:rsid w:val="006176FB"/>
    <w:rsid w:val="00625510"/>
    <w:rsid w:val="00626845"/>
    <w:rsid w:val="006304B5"/>
    <w:rsid w:val="0063419C"/>
    <w:rsid w:val="00640B26"/>
    <w:rsid w:val="006420B1"/>
    <w:rsid w:val="006500BA"/>
    <w:rsid w:val="00650DBA"/>
    <w:rsid w:val="00656FC0"/>
    <w:rsid w:val="006612FE"/>
    <w:rsid w:val="00663B47"/>
    <w:rsid w:val="00665C33"/>
    <w:rsid w:val="00674036"/>
    <w:rsid w:val="006804E7"/>
    <w:rsid w:val="00680EC5"/>
    <w:rsid w:val="00681546"/>
    <w:rsid w:val="00681628"/>
    <w:rsid w:val="00681744"/>
    <w:rsid w:val="0068403D"/>
    <w:rsid w:val="00684E8C"/>
    <w:rsid w:val="006858A0"/>
    <w:rsid w:val="00690794"/>
    <w:rsid w:val="00694768"/>
    <w:rsid w:val="0069492F"/>
    <w:rsid w:val="00696595"/>
    <w:rsid w:val="00697525"/>
    <w:rsid w:val="006A59E4"/>
    <w:rsid w:val="006A7392"/>
    <w:rsid w:val="006B38C5"/>
    <w:rsid w:val="006B5CA3"/>
    <w:rsid w:val="006B7933"/>
    <w:rsid w:val="006C0D34"/>
    <w:rsid w:val="006C1CA0"/>
    <w:rsid w:val="006C54A0"/>
    <w:rsid w:val="006C7E11"/>
    <w:rsid w:val="006D0AF8"/>
    <w:rsid w:val="006D247B"/>
    <w:rsid w:val="006D5191"/>
    <w:rsid w:val="006E564B"/>
    <w:rsid w:val="006E6FBD"/>
    <w:rsid w:val="006F3E52"/>
    <w:rsid w:val="006F4D74"/>
    <w:rsid w:val="006F5501"/>
    <w:rsid w:val="007012C4"/>
    <w:rsid w:val="0070311F"/>
    <w:rsid w:val="00704A7F"/>
    <w:rsid w:val="007102D9"/>
    <w:rsid w:val="007227B6"/>
    <w:rsid w:val="00725848"/>
    <w:rsid w:val="0072632A"/>
    <w:rsid w:val="0073039D"/>
    <w:rsid w:val="007319D5"/>
    <w:rsid w:val="00731BEA"/>
    <w:rsid w:val="00741915"/>
    <w:rsid w:val="00741D76"/>
    <w:rsid w:val="00742408"/>
    <w:rsid w:val="00745352"/>
    <w:rsid w:val="0075116C"/>
    <w:rsid w:val="00753201"/>
    <w:rsid w:val="007548D5"/>
    <w:rsid w:val="007553DC"/>
    <w:rsid w:val="007612E0"/>
    <w:rsid w:val="00761389"/>
    <w:rsid w:val="00762706"/>
    <w:rsid w:val="007665DE"/>
    <w:rsid w:val="00767650"/>
    <w:rsid w:val="007701AF"/>
    <w:rsid w:val="00770C42"/>
    <w:rsid w:val="00771113"/>
    <w:rsid w:val="007713F2"/>
    <w:rsid w:val="00776CA4"/>
    <w:rsid w:val="00777356"/>
    <w:rsid w:val="00780921"/>
    <w:rsid w:val="0078270D"/>
    <w:rsid w:val="007857CD"/>
    <w:rsid w:val="00790791"/>
    <w:rsid w:val="00791404"/>
    <w:rsid w:val="007A23EF"/>
    <w:rsid w:val="007A5086"/>
    <w:rsid w:val="007A66B2"/>
    <w:rsid w:val="007B63B6"/>
    <w:rsid w:val="007B6BA5"/>
    <w:rsid w:val="007B6FE6"/>
    <w:rsid w:val="007C3390"/>
    <w:rsid w:val="007C4F4B"/>
    <w:rsid w:val="007D6A2C"/>
    <w:rsid w:val="007E3A92"/>
    <w:rsid w:val="007E51DE"/>
    <w:rsid w:val="007E5D88"/>
    <w:rsid w:val="007E7937"/>
    <w:rsid w:val="007F25B3"/>
    <w:rsid w:val="007F28CB"/>
    <w:rsid w:val="007F6611"/>
    <w:rsid w:val="00800138"/>
    <w:rsid w:val="00802D27"/>
    <w:rsid w:val="0080387F"/>
    <w:rsid w:val="008041BA"/>
    <w:rsid w:val="008124A5"/>
    <w:rsid w:val="008129F0"/>
    <w:rsid w:val="008164C0"/>
    <w:rsid w:val="008175E9"/>
    <w:rsid w:val="008213BB"/>
    <w:rsid w:val="00822225"/>
    <w:rsid w:val="008242D7"/>
    <w:rsid w:val="0083337A"/>
    <w:rsid w:val="00836585"/>
    <w:rsid w:val="00837843"/>
    <w:rsid w:val="00841AB4"/>
    <w:rsid w:val="0084441D"/>
    <w:rsid w:val="00846136"/>
    <w:rsid w:val="00853FAE"/>
    <w:rsid w:val="008548B3"/>
    <w:rsid w:val="008554E7"/>
    <w:rsid w:val="00855967"/>
    <w:rsid w:val="00861ACC"/>
    <w:rsid w:val="00866523"/>
    <w:rsid w:val="00871FD5"/>
    <w:rsid w:val="00874782"/>
    <w:rsid w:val="00874C3C"/>
    <w:rsid w:val="00877482"/>
    <w:rsid w:val="00880DE7"/>
    <w:rsid w:val="008828E0"/>
    <w:rsid w:val="00884B25"/>
    <w:rsid w:val="00885E87"/>
    <w:rsid w:val="00886B11"/>
    <w:rsid w:val="00893828"/>
    <w:rsid w:val="008947E2"/>
    <w:rsid w:val="00894C13"/>
    <w:rsid w:val="008979B1"/>
    <w:rsid w:val="008A1350"/>
    <w:rsid w:val="008A29F7"/>
    <w:rsid w:val="008A5C06"/>
    <w:rsid w:val="008A6B25"/>
    <w:rsid w:val="008A6B52"/>
    <w:rsid w:val="008A6C4F"/>
    <w:rsid w:val="008B003B"/>
    <w:rsid w:val="008B0D33"/>
    <w:rsid w:val="008B174F"/>
    <w:rsid w:val="008B6E64"/>
    <w:rsid w:val="008B76C5"/>
    <w:rsid w:val="008C0C4E"/>
    <w:rsid w:val="008C3133"/>
    <w:rsid w:val="008C4A16"/>
    <w:rsid w:val="008C518D"/>
    <w:rsid w:val="008C7398"/>
    <w:rsid w:val="008D16E8"/>
    <w:rsid w:val="008D16EF"/>
    <w:rsid w:val="008D5AB6"/>
    <w:rsid w:val="008D6FE1"/>
    <w:rsid w:val="008D7973"/>
    <w:rsid w:val="008D7AB3"/>
    <w:rsid w:val="008E0E46"/>
    <w:rsid w:val="008E0F28"/>
    <w:rsid w:val="008E3B3C"/>
    <w:rsid w:val="008F395E"/>
    <w:rsid w:val="008F596C"/>
    <w:rsid w:val="008F671F"/>
    <w:rsid w:val="009019F7"/>
    <w:rsid w:val="0090324A"/>
    <w:rsid w:val="009043FC"/>
    <w:rsid w:val="00904592"/>
    <w:rsid w:val="00910F3B"/>
    <w:rsid w:val="009128F8"/>
    <w:rsid w:val="00915A89"/>
    <w:rsid w:val="00916F49"/>
    <w:rsid w:val="009213A3"/>
    <w:rsid w:val="0092169C"/>
    <w:rsid w:val="00921A36"/>
    <w:rsid w:val="00921FDE"/>
    <w:rsid w:val="00924C9C"/>
    <w:rsid w:val="009270E4"/>
    <w:rsid w:val="0093272D"/>
    <w:rsid w:val="009338EE"/>
    <w:rsid w:val="009346DE"/>
    <w:rsid w:val="00940320"/>
    <w:rsid w:val="00940479"/>
    <w:rsid w:val="0094213D"/>
    <w:rsid w:val="00943B65"/>
    <w:rsid w:val="00945553"/>
    <w:rsid w:val="00945A5D"/>
    <w:rsid w:val="009502B6"/>
    <w:rsid w:val="00952D79"/>
    <w:rsid w:val="00953FD3"/>
    <w:rsid w:val="00956CAD"/>
    <w:rsid w:val="00957C6D"/>
    <w:rsid w:val="00961627"/>
    <w:rsid w:val="00961DA4"/>
    <w:rsid w:val="00963CBA"/>
    <w:rsid w:val="00964B10"/>
    <w:rsid w:val="00967AC9"/>
    <w:rsid w:val="00971136"/>
    <w:rsid w:val="00973555"/>
    <w:rsid w:val="009815DF"/>
    <w:rsid w:val="009848AB"/>
    <w:rsid w:val="00987E8A"/>
    <w:rsid w:val="00987EBF"/>
    <w:rsid w:val="0099124E"/>
    <w:rsid w:val="00991261"/>
    <w:rsid w:val="00992985"/>
    <w:rsid w:val="00993E78"/>
    <w:rsid w:val="0099483C"/>
    <w:rsid w:val="009967A1"/>
    <w:rsid w:val="009A3CB7"/>
    <w:rsid w:val="009A681A"/>
    <w:rsid w:val="009A7CA4"/>
    <w:rsid w:val="009B007F"/>
    <w:rsid w:val="009B0E4A"/>
    <w:rsid w:val="009B0ED1"/>
    <w:rsid w:val="009C25D5"/>
    <w:rsid w:val="009C2953"/>
    <w:rsid w:val="009C2C82"/>
    <w:rsid w:val="009C3671"/>
    <w:rsid w:val="009C46C7"/>
    <w:rsid w:val="009C67CC"/>
    <w:rsid w:val="009D5278"/>
    <w:rsid w:val="009D58C1"/>
    <w:rsid w:val="009E140E"/>
    <w:rsid w:val="009F0F06"/>
    <w:rsid w:val="00A04323"/>
    <w:rsid w:val="00A065BA"/>
    <w:rsid w:val="00A120B4"/>
    <w:rsid w:val="00A1255E"/>
    <w:rsid w:val="00A1427D"/>
    <w:rsid w:val="00A176C2"/>
    <w:rsid w:val="00A23A0D"/>
    <w:rsid w:val="00A250A4"/>
    <w:rsid w:val="00A27434"/>
    <w:rsid w:val="00A27707"/>
    <w:rsid w:val="00A3141D"/>
    <w:rsid w:val="00A328AA"/>
    <w:rsid w:val="00A366F2"/>
    <w:rsid w:val="00A40024"/>
    <w:rsid w:val="00A43937"/>
    <w:rsid w:val="00A4428A"/>
    <w:rsid w:val="00A444A2"/>
    <w:rsid w:val="00A47B65"/>
    <w:rsid w:val="00A53AE5"/>
    <w:rsid w:val="00A60EB5"/>
    <w:rsid w:val="00A67BA6"/>
    <w:rsid w:val="00A72F22"/>
    <w:rsid w:val="00A7341F"/>
    <w:rsid w:val="00A748A6"/>
    <w:rsid w:val="00A74F3D"/>
    <w:rsid w:val="00A75EC9"/>
    <w:rsid w:val="00A879A4"/>
    <w:rsid w:val="00AA11F6"/>
    <w:rsid w:val="00AA3258"/>
    <w:rsid w:val="00AA479F"/>
    <w:rsid w:val="00AA54E3"/>
    <w:rsid w:val="00AA7910"/>
    <w:rsid w:val="00AB0349"/>
    <w:rsid w:val="00AB48E3"/>
    <w:rsid w:val="00AB521F"/>
    <w:rsid w:val="00AB79D3"/>
    <w:rsid w:val="00AC1947"/>
    <w:rsid w:val="00AC1EAA"/>
    <w:rsid w:val="00AC3EB6"/>
    <w:rsid w:val="00AC47CB"/>
    <w:rsid w:val="00AC71C1"/>
    <w:rsid w:val="00AD29A4"/>
    <w:rsid w:val="00AD29BB"/>
    <w:rsid w:val="00AD6445"/>
    <w:rsid w:val="00AE0953"/>
    <w:rsid w:val="00AE5607"/>
    <w:rsid w:val="00AE71B9"/>
    <w:rsid w:val="00AF2A45"/>
    <w:rsid w:val="00AF2B6B"/>
    <w:rsid w:val="00AF3B55"/>
    <w:rsid w:val="00AF5AB8"/>
    <w:rsid w:val="00B045D1"/>
    <w:rsid w:val="00B062A6"/>
    <w:rsid w:val="00B07928"/>
    <w:rsid w:val="00B26054"/>
    <w:rsid w:val="00B27DFF"/>
    <w:rsid w:val="00B30179"/>
    <w:rsid w:val="00B329D9"/>
    <w:rsid w:val="00B32C5C"/>
    <w:rsid w:val="00B32FDB"/>
    <w:rsid w:val="00B3317B"/>
    <w:rsid w:val="00B355CF"/>
    <w:rsid w:val="00B3750B"/>
    <w:rsid w:val="00B41EB4"/>
    <w:rsid w:val="00B43E15"/>
    <w:rsid w:val="00B44874"/>
    <w:rsid w:val="00B44D1E"/>
    <w:rsid w:val="00B47339"/>
    <w:rsid w:val="00B501B7"/>
    <w:rsid w:val="00B50F43"/>
    <w:rsid w:val="00B522E9"/>
    <w:rsid w:val="00B57FBF"/>
    <w:rsid w:val="00B60225"/>
    <w:rsid w:val="00B6429F"/>
    <w:rsid w:val="00B656F0"/>
    <w:rsid w:val="00B725B8"/>
    <w:rsid w:val="00B73FEA"/>
    <w:rsid w:val="00B74841"/>
    <w:rsid w:val="00B75F06"/>
    <w:rsid w:val="00B77F38"/>
    <w:rsid w:val="00B81E12"/>
    <w:rsid w:val="00B82024"/>
    <w:rsid w:val="00B83CFE"/>
    <w:rsid w:val="00B85580"/>
    <w:rsid w:val="00B91DEF"/>
    <w:rsid w:val="00B920A4"/>
    <w:rsid w:val="00B93068"/>
    <w:rsid w:val="00B95070"/>
    <w:rsid w:val="00BA17A3"/>
    <w:rsid w:val="00BB0818"/>
    <w:rsid w:val="00BB3143"/>
    <w:rsid w:val="00BB418D"/>
    <w:rsid w:val="00BB48D9"/>
    <w:rsid w:val="00BC193A"/>
    <w:rsid w:val="00BC1C5D"/>
    <w:rsid w:val="00BC46ED"/>
    <w:rsid w:val="00BC498D"/>
    <w:rsid w:val="00BC5429"/>
    <w:rsid w:val="00BC6F35"/>
    <w:rsid w:val="00BC74E9"/>
    <w:rsid w:val="00BC7EFB"/>
    <w:rsid w:val="00BD011C"/>
    <w:rsid w:val="00BD58AB"/>
    <w:rsid w:val="00BE3C13"/>
    <w:rsid w:val="00BE447C"/>
    <w:rsid w:val="00BE4FDE"/>
    <w:rsid w:val="00BE5B7F"/>
    <w:rsid w:val="00BE618E"/>
    <w:rsid w:val="00BE665A"/>
    <w:rsid w:val="00BF24F7"/>
    <w:rsid w:val="00BF5F47"/>
    <w:rsid w:val="00BF6D59"/>
    <w:rsid w:val="00BF7A1A"/>
    <w:rsid w:val="00C02B2A"/>
    <w:rsid w:val="00C1320F"/>
    <w:rsid w:val="00C13534"/>
    <w:rsid w:val="00C13800"/>
    <w:rsid w:val="00C15D9D"/>
    <w:rsid w:val="00C16149"/>
    <w:rsid w:val="00C20967"/>
    <w:rsid w:val="00C223FD"/>
    <w:rsid w:val="00C26657"/>
    <w:rsid w:val="00C302B4"/>
    <w:rsid w:val="00C343DC"/>
    <w:rsid w:val="00C35AE7"/>
    <w:rsid w:val="00C36DD5"/>
    <w:rsid w:val="00C44685"/>
    <w:rsid w:val="00C463DD"/>
    <w:rsid w:val="00C4716A"/>
    <w:rsid w:val="00C53C82"/>
    <w:rsid w:val="00C622ED"/>
    <w:rsid w:val="00C62F76"/>
    <w:rsid w:val="00C63D40"/>
    <w:rsid w:val="00C65026"/>
    <w:rsid w:val="00C662AA"/>
    <w:rsid w:val="00C70858"/>
    <w:rsid w:val="00C72005"/>
    <w:rsid w:val="00C72E02"/>
    <w:rsid w:val="00C73C17"/>
    <w:rsid w:val="00C73FD9"/>
    <w:rsid w:val="00C740DA"/>
    <w:rsid w:val="00C745C3"/>
    <w:rsid w:val="00C74A11"/>
    <w:rsid w:val="00C766CC"/>
    <w:rsid w:val="00C768E1"/>
    <w:rsid w:val="00C8384C"/>
    <w:rsid w:val="00C85F8B"/>
    <w:rsid w:val="00C927AC"/>
    <w:rsid w:val="00CA1183"/>
    <w:rsid w:val="00CA1F88"/>
    <w:rsid w:val="00CA516D"/>
    <w:rsid w:val="00CA7279"/>
    <w:rsid w:val="00CB03EB"/>
    <w:rsid w:val="00CB26B3"/>
    <w:rsid w:val="00CB4F11"/>
    <w:rsid w:val="00CB51FE"/>
    <w:rsid w:val="00CC0E7D"/>
    <w:rsid w:val="00CC2702"/>
    <w:rsid w:val="00CC78A6"/>
    <w:rsid w:val="00CD20A1"/>
    <w:rsid w:val="00CD3225"/>
    <w:rsid w:val="00CD64B5"/>
    <w:rsid w:val="00CD747F"/>
    <w:rsid w:val="00CE1382"/>
    <w:rsid w:val="00CE4A8F"/>
    <w:rsid w:val="00CF03F4"/>
    <w:rsid w:val="00CF05AF"/>
    <w:rsid w:val="00CF0AEF"/>
    <w:rsid w:val="00CF209E"/>
    <w:rsid w:val="00CF25E3"/>
    <w:rsid w:val="00CF277B"/>
    <w:rsid w:val="00CF3DF4"/>
    <w:rsid w:val="00CF3F39"/>
    <w:rsid w:val="00CF657E"/>
    <w:rsid w:val="00D01A4C"/>
    <w:rsid w:val="00D038EE"/>
    <w:rsid w:val="00D06940"/>
    <w:rsid w:val="00D102AE"/>
    <w:rsid w:val="00D12E4C"/>
    <w:rsid w:val="00D2031B"/>
    <w:rsid w:val="00D20C87"/>
    <w:rsid w:val="00D20EF4"/>
    <w:rsid w:val="00D21AA4"/>
    <w:rsid w:val="00D234A9"/>
    <w:rsid w:val="00D25FE2"/>
    <w:rsid w:val="00D34FB3"/>
    <w:rsid w:val="00D351EB"/>
    <w:rsid w:val="00D35F5F"/>
    <w:rsid w:val="00D3772B"/>
    <w:rsid w:val="00D37904"/>
    <w:rsid w:val="00D43252"/>
    <w:rsid w:val="00D462A7"/>
    <w:rsid w:val="00D46E50"/>
    <w:rsid w:val="00D4764D"/>
    <w:rsid w:val="00D50452"/>
    <w:rsid w:val="00D52036"/>
    <w:rsid w:val="00D62637"/>
    <w:rsid w:val="00D72DC1"/>
    <w:rsid w:val="00D74901"/>
    <w:rsid w:val="00D753D8"/>
    <w:rsid w:val="00D76673"/>
    <w:rsid w:val="00D80431"/>
    <w:rsid w:val="00D80A99"/>
    <w:rsid w:val="00D8153A"/>
    <w:rsid w:val="00D86516"/>
    <w:rsid w:val="00D87F4C"/>
    <w:rsid w:val="00D94B0C"/>
    <w:rsid w:val="00D95826"/>
    <w:rsid w:val="00D95B5B"/>
    <w:rsid w:val="00D96CC5"/>
    <w:rsid w:val="00D978C6"/>
    <w:rsid w:val="00DA67AD"/>
    <w:rsid w:val="00DB0CD3"/>
    <w:rsid w:val="00DB0CF8"/>
    <w:rsid w:val="00DB1F53"/>
    <w:rsid w:val="00DB5DD7"/>
    <w:rsid w:val="00DB6AEE"/>
    <w:rsid w:val="00DC1AA4"/>
    <w:rsid w:val="00DC5166"/>
    <w:rsid w:val="00DC5FBA"/>
    <w:rsid w:val="00DD5C8B"/>
    <w:rsid w:val="00DD6AFF"/>
    <w:rsid w:val="00DE0613"/>
    <w:rsid w:val="00DE112D"/>
    <w:rsid w:val="00DF236F"/>
    <w:rsid w:val="00DF2772"/>
    <w:rsid w:val="00DF3CF2"/>
    <w:rsid w:val="00DF42F4"/>
    <w:rsid w:val="00DF453A"/>
    <w:rsid w:val="00DF498E"/>
    <w:rsid w:val="00DF5601"/>
    <w:rsid w:val="00DF662C"/>
    <w:rsid w:val="00E000AD"/>
    <w:rsid w:val="00E05A00"/>
    <w:rsid w:val="00E07564"/>
    <w:rsid w:val="00E1169F"/>
    <w:rsid w:val="00E11777"/>
    <w:rsid w:val="00E130AB"/>
    <w:rsid w:val="00E147D5"/>
    <w:rsid w:val="00E14CFE"/>
    <w:rsid w:val="00E23AA7"/>
    <w:rsid w:val="00E241E1"/>
    <w:rsid w:val="00E26278"/>
    <w:rsid w:val="00E328FE"/>
    <w:rsid w:val="00E335A4"/>
    <w:rsid w:val="00E35C1C"/>
    <w:rsid w:val="00E41283"/>
    <w:rsid w:val="00E42C83"/>
    <w:rsid w:val="00E43CE3"/>
    <w:rsid w:val="00E549B7"/>
    <w:rsid w:val="00E5644E"/>
    <w:rsid w:val="00E608B1"/>
    <w:rsid w:val="00E60AC0"/>
    <w:rsid w:val="00E62EA5"/>
    <w:rsid w:val="00E62F12"/>
    <w:rsid w:val="00E631DD"/>
    <w:rsid w:val="00E63654"/>
    <w:rsid w:val="00E6387D"/>
    <w:rsid w:val="00E65EF4"/>
    <w:rsid w:val="00E70AD0"/>
    <w:rsid w:val="00E7260F"/>
    <w:rsid w:val="00E747A5"/>
    <w:rsid w:val="00E7485D"/>
    <w:rsid w:val="00E7601D"/>
    <w:rsid w:val="00E76142"/>
    <w:rsid w:val="00E826F0"/>
    <w:rsid w:val="00E83483"/>
    <w:rsid w:val="00E8535A"/>
    <w:rsid w:val="00E856CE"/>
    <w:rsid w:val="00E9059F"/>
    <w:rsid w:val="00E90F23"/>
    <w:rsid w:val="00E94E64"/>
    <w:rsid w:val="00E96630"/>
    <w:rsid w:val="00EA06C3"/>
    <w:rsid w:val="00EA392B"/>
    <w:rsid w:val="00EA772F"/>
    <w:rsid w:val="00EB18D7"/>
    <w:rsid w:val="00EB2652"/>
    <w:rsid w:val="00EB30C3"/>
    <w:rsid w:val="00EB5EFC"/>
    <w:rsid w:val="00EB6832"/>
    <w:rsid w:val="00EB70E2"/>
    <w:rsid w:val="00EC5505"/>
    <w:rsid w:val="00EC5BC7"/>
    <w:rsid w:val="00EC7146"/>
    <w:rsid w:val="00ED6D82"/>
    <w:rsid w:val="00ED7A2A"/>
    <w:rsid w:val="00EE5771"/>
    <w:rsid w:val="00EE639C"/>
    <w:rsid w:val="00EE6CB5"/>
    <w:rsid w:val="00EF0B5A"/>
    <w:rsid w:val="00EF1D7F"/>
    <w:rsid w:val="00EF2383"/>
    <w:rsid w:val="00EF497D"/>
    <w:rsid w:val="00EF6834"/>
    <w:rsid w:val="00F10225"/>
    <w:rsid w:val="00F14AAA"/>
    <w:rsid w:val="00F14AEA"/>
    <w:rsid w:val="00F14DD8"/>
    <w:rsid w:val="00F16818"/>
    <w:rsid w:val="00F179DE"/>
    <w:rsid w:val="00F20E52"/>
    <w:rsid w:val="00F236CE"/>
    <w:rsid w:val="00F2630D"/>
    <w:rsid w:val="00F30427"/>
    <w:rsid w:val="00F345D5"/>
    <w:rsid w:val="00F34DAE"/>
    <w:rsid w:val="00F36C76"/>
    <w:rsid w:val="00F3711E"/>
    <w:rsid w:val="00F40E75"/>
    <w:rsid w:val="00F41498"/>
    <w:rsid w:val="00F42066"/>
    <w:rsid w:val="00F512F3"/>
    <w:rsid w:val="00F51379"/>
    <w:rsid w:val="00F518F7"/>
    <w:rsid w:val="00F5194B"/>
    <w:rsid w:val="00F532F9"/>
    <w:rsid w:val="00F54674"/>
    <w:rsid w:val="00F54E67"/>
    <w:rsid w:val="00F55A1F"/>
    <w:rsid w:val="00F55FD3"/>
    <w:rsid w:val="00F61B05"/>
    <w:rsid w:val="00F623B0"/>
    <w:rsid w:val="00F64EBE"/>
    <w:rsid w:val="00F701A2"/>
    <w:rsid w:val="00F70522"/>
    <w:rsid w:val="00F71FA0"/>
    <w:rsid w:val="00F7224B"/>
    <w:rsid w:val="00F729F2"/>
    <w:rsid w:val="00F76BC5"/>
    <w:rsid w:val="00F778FA"/>
    <w:rsid w:val="00F81292"/>
    <w:rsid w:val="00F826CB"/>
    <w:rsid w:val="00F85B4A"/>
    <w:rsid w:val="00F85DBE"/>
    <w:rsid w:val="00F91C7F"/>
    <w:rsid w:val="00F94942"/>
    <w:rsid w:val="00F954BA"/>
    <w:rsid w:val="00F95D4B"/>
    <w:rsid w:val="00FB016C"/>
    <w:rsid w:val="00FB09F1"/>
    <w:rsid w:val="00FB2719"/>
    <w:rsid w:val="00FC2B0A"/>
    <w:rsid w:val="00FC5E08"/>
    <w:rsid w:val="00FC68B7"/>
    <w:rsid w:val="00FD0275"/>
    <w:rsid w:val="00FD02C1"/>
    <w:rsid w:val="00FD0C30"/>
    <w:rsid w:val="00FD199B"/>
    <w:rsid w:val="00FD21A9"/>
    <w:rsid w:val="00FD2885"/>
    <w:rsid w:val="00FD35CB"/>
    <w:rsid w:val="00FD59E3"/>
    <w:rsid w:val="00FD6B2B"/>
    <w:rsid w:val="00FE26FA"/>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D8A1E"/>
  <w15:docId w15:val="{57AB88A4-0734-4727-ACF8-68B62CD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 w:type="paragraph" w:customStyle="1" w:styleId="p1">
    <w:name w:val="p1"/>
    <w:basedOn w:val="Normal"/>
    <w:rsid w:val="00DB6AEE"/>
    <w:pPr>
      <w:suppressAutoHyphens w:val="0"/>
      <w:spacing w:line="240" w:lineRule="auto"/>
    </w:pPr>
    <w:rPr>
      <w:sz w:val="17"/>
      <w:szCs w:val="17"/>
      <w:lang w:val="en-US"/>
    </w:rPr>
  </w:style>
  <w:style w:type="character" w:customStyle="1" w:styleId="apple-converted-space">
    <w:name w:val="apple-converted-space"/>
    <w:basedOn w:val="DefaultParagraphFont"/>
    <w:rsid w:val="00DB6AEE"/>
  </w:style>
  <w:style w:type="paragraph" w:styleId="Revision">
    <w:name w:val="Revision"/>
    <w:hidden/>
    <w:uiPriority w:val="99"/>
    <w:semiHidden/>
    <w:rsid w:val="00AB03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5079">
      <w:bodyDiv w:val="1"/>
      <w:marLeft w:val="0"/>
      <w:marRight w:val="0"/>
      <w:marTop w:val="0"/>
      <w:marBottom w:val="0"/>
      <w:divBdr>
        <w:top w:val="none" w:sz="0" w:space="0" w:color="auto"/>
        <w:left w:val="none" w:sz="0" w:space="0" w:color="auto"/>
        <w:bottom w:val="none" w:sz="0" w:space="0" w:color="auto"/>
        <w:right w:val="none" w:sz="0" w:space="0" w:color="auto"/>
      </w:divBdr>
    </w:div>
    <w:div w:id="354773228">
      <w:bodyDiv w:val="1"/>
      <w:marLeft w:val="0"/>
      <w:marRight w:val="0"/>
      <w:marTop w:val="0"/>
      <w:marBottom w:val="0"/>
      <w:divBdr>
        <w:top w:val="none" w:sz="0" w:space="0" w:color="auto"/>
        <w:left w:val="none" w:sz="0" w:space="0" w:color="auto"/>
        <w:bottom w:val="none" w:sz="0" w:space="0" w:color="auto"/>
        <w:right w:val="none" w:sz="0" w:space="0" w:color="auto"/>
      </w:divBdr>
    </w:div>
    <w:div w:id="659424903">
      <w:bodyDiv w:val="1"/>
      <w:marLeft w:val="0"/>
      <w:marRight w:val="0"/>
      <w:marTop w:val="0"/>
      <w:marBottom w:val="0"/>
      <w:divBdr>
        <w:top w:val="none" w:sz="0" w:space="0" w:color="auto"/>
        <w:left w:val="none" w:sz="0" w:space="0" w:color="auto"/>
        <w:bottom w:val="none" w:sz="0" w:space="0" w:color="auto"/>
        <w:right w:val="none" w:sz="0" w:space="0" w:color="auto"/>
      </w:divBdr>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4490453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24344691">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396002495">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02172136">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 w:id="1878004813">
      <w:bodyDiv w:val="1"/>
      <w:marLeft w:val="0"/>
      <w:marRight w:val="0"/>
      <w:marTop w:val="0"/>
      <w:marBottom w:val="0"/>
      <w:divBdr>
        <w:top w:val="none" w:sz="0" w:space="0" w:color="auto"/>
        <w:left w:val="none" w:sz="0" w:space="0" w:color="auto"/>
        <w:bottom w:val="none" w:sz="0" w:space="0" w:color="auto"/>
        <w:right w:val="none" w:sz="0" w:space="0" w:color="auto"/>
      </w:divBdr>
    </w:div>
    <w:div w:id="2042632127">
      <w:bodyDiv w:val="1"/>
      <w:marLeft w:val="0"/>
      <w:marRight w:val="0"/>
      <w:marTop w:val="0"/>
      <w:marBottom w:val="0"/>
      <w:divBdr>
        <w:top w:val="none" w:sz="0" w:space="0" w:color="auto"/>
        <w:left w:val="none" w:sz="0" w:space="0" w:color="auto"/>
        <w:bottom w:val="none" w:sz="0" w:space="0" w:color="auto"/>
        <w:right w:val="none" w:sz="0" w:space="0" w:color="auto"/>
      </w:divBdr>
    </w:div>
    <w:div w:id="21449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9277-8BD9-44C6-85A3-CE7306EB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1518</Words>
  <Characters>8384</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10</cp:revision>
  <cp:lastPrinted>2019-04-03T13:24:00Z</cp:lastPrinted>
  <dcterms:created xsi:type="dcterms:W3CDTF">2019-04-02T09:58:00Z</dcterms:created>
  <dcterms:modified xsi:type="dcterms:W3CDTF">2019-04-03T13:24:00Z</dcterms:modified>
</cp:coreProperties>
</file>