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A5D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A5DE6" w:rsidP="00CA5DE6">
            <w:pPr>
              <w:jc w:val="right"/>
            </w:pPr>
            <w:r w:rsidRPr="00CA5DE6">
              <w:rPr>
                <w:sz w:val="40"/>
              </w:rPr>
              <w:t>ECE</w:t>
            </w:r>
            <w:r>
              <w:t>/TRANS/WP.29/GRVA/2018/1</w:t>
            </w:r>
          </w:p>
        </w:tc>
      </w:tr>
      <w:tr w:rsidR="002D5AAC" w:rsidRPr="00884D4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A5DE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A5DE6" w:rsidRDefault="00CA5DE6" w:rsidP="00CA5D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July 2018</w:t>
            </w:r>
          </w:p>
          <w:p w:rsidR="00CA5DE6" w:rsidRDefault="00CA5DE6" w:rsidP="00CA5D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A5DE6" w:rsidRPr="008D53B6" w:rsidRDefault="00CA5DE6" w:rsidP="00CA5D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A5DE6" w:rsidRPr="00CA5DE6" w:rsidRDefault="00CA5DE6" w:rsidP="00CA5DE6">
      <w:pPr>
        <w:suppressAutoHyphens w:val="0"/>
        <w:spacing w:before="120" w:after="120" w:line="240" w:lineRule="auto"/>
        <w:rPr>
          <w:sz w:val="28"/>
        </w:rPr>
      </w:pPr>
      <w:r w:rsidRPr="00CA5DE6">
        <w:rPr>
          <w:sz w:val="28"/>
        </w:rPr>
        <w:t>Комитет по внутреннему транспорту</w:t>
      </w:r>
    </w:p>
    <w:p w:rsidR="00CA5DE6" w:rsidRPr="00CA5DE6" w:rsidRDefault="00CA5DE6" w:rsidP="00CA5DE6">
      <w:pPr>
        <w:suppressAutoHyphens w:val="0"/>
        <w:spacing w:line="240" w:lineRule="auto"/>
        <w:rPr>
          <w:b/>
          <w:bCs/>
          <w:sz w:val="24"/>
        </w:rPr>
      </w:pPr>
      <w:r w:rsidRPr="00CA5DE6">
        <w:rPr>
          <w:b/>
          <w:bCs/>
          <w:sz w:val="24"/>
        </w:rPr>
        <w:t xml:space="preserve">Всемирный форум для согласования правил </w:t>
      </w:r>
      <w:r>
        <w:rPr>
          <w:b/>
          <w:bCs/>
          <w:sz w:val="24"/>
        </w:rPr>
        <w:br/>
      </w:r>
      <w:r w:rsidRPr="00CA5DE6">
        <w:rPr>
          <w:b/>
          <w:bCs/>
          <w:sz w:val="24"/>
        </w:rPr>
        <w:t>в области транспортных средств</w:t>
      </w:r>
    </w:p>
    <w:p w:rsidR="00CA5DE6" w:rsidRPr="00CA5DE6" w:rsidRDefault="00CA5DE6" w:rsidP="00CA5DE6">
      <w:pPr>
        <w:suppressAutoHyphens w:val="0"/>
        <w:spacing w:before="120" w:after="120" w:line="240" w:lineRule="auto"/>
        <w:rPr>
          <w:b/>
          <w:bCs/>
        </w:rPr>
      </w:pPr>
      <w:bookmarkStart w:id="1" w:name="_Hlk518466992"/>
      <w:r w:rsidRPr="00CA5DE6"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</w:r>
      <w:r w:rsidRPr="00CA5DE6">
        <w:rPr>
          <w:b/>
          <w:bCs/>
        </w:rPr>
        <w:t>и подключенным транспортным средствам</w:t>
      </w:r>
      <w:r w:rsidRPr="00CA5DE6">
        <w:rPr>
          <w:bCs/>
        </w:rPr>
        <w:footnoteReference w:customMarkFollows="1" w:id="1"/>
        <w:t>*</w:t>
      </w:r>
      <w:bookmarkEnd w:id="1"/>
    </w:p>
    <w:p w:rsidR="00CA5DE6" w:rsidRPr="00CA5DE6" w:rsidRDefault="00CA5DE6" w:rsidP="00CA5DE6">
      <w:pPr>
        <w:suppressAutoHyphens w:val="0"/>
        <w:spacing w:line="240" w:lineRule="auto"/>
        <w:rPr>
          <w:b/>
          <w:bCs/>
        </w:rPr>
      </w:pPr>
      <w:r w:rsidRPr="00CA5DE6">
        <w:rPr>
          <w:b/>
          <w:bCs/>
        </w:rPr>
        <w:t>Первая сессия</w:t>
      </w:r>
    </w:p>
    <w:p w:rsidR="00CA5DE6" w:rsidRPr="00CA5DE6" w:rsidRDefault="00CA5DE6" w:rsidP="00CA5DE6">
      <w:pPr>
        <w:suppressAutoHyphens w:val="0"/>
        <w:spacing w:line="240" w:lineRule="auto"/>
      </w:pPr>
      <w:r w:rsidRPr="00CA5DE6">
        <w:t>Женева, 25–28 сентября 2018 года</w:t>
      </w:r>
    </w:p>
    <w:p w:rsidR="00CA5DE6" w:rsidRPr="00CA5DE6" w:rsidRDefault="00CA5DE6" w:rsidP="00CA5DE6">
      <w:pPr>
        <w:suppressAutoHyphens w:val="0"/>
        <w:spacing w:line="240" w:lineRule="auto"/>
      </w:pPr>
      <w:r w:rsidRPr="00CA5DE6">
        <w:t>Пункт 1 предварительной повестки дня</w:t>
      </w:r>
    </w:p>
    <w:p w:rsidR="00CA5DE6" w:rsidRPr="00CA5DE6" w:rsidRDefault="00CA5DE6" w:rsidP="00CA5DE6">
      <w:pPr>
        <w:suppressAutoHyphens w:val="0"/>
        <w:spacing w:line="240" w:lineRule="auto"/>
        <w:rPr>
          <w:b/>
        </w:rPr>
      </w:pPr>
      <w:r w:rsidRPr="00CA5DE6">
        <w:rPr>
          <w:b/>
          <w:bCs/>
        </w:rPr>
        <w:t>Утверждение повестки дня</w:t>
      </w:r>
    </w:p>
    <w:p w:rsidR="00CA5DE6" w:rsidRPr="00CA5DE6" w:rsidRDefault="00CA5DE6" w:rsidP="00CA5DE6">
      <w:pPr>
        <w:pStyle w:val="HChGR"/>
      </w:pPr>
      <w:bookmarkStart w:id="2" w:name="OLE_LINK2"/>
      <w:r w:rsidRPr="00CA5DE6">
        <w:tab/>
      </w:r>
      <w:r w:rsidRPr="00CA5DE6">
        <w:tab/>
        <w:t>Предварительная повестка дня первой сессии</w:t>
      </w:r>
      <w:r w:rsidRPr="00CA5DE6">
        <w:rPr>
          <w:b w:val="0"/>
          <w:bCs/>
          <w:sz w:val="20"/>
        </w:rPr>
        <w:footnoteReference w:customMarkFollows="1" w:id="2"/>
        <w:t>**</w:t>
      </w:r>
      <w:r w:rsidRPr="00CA5DE6">
        <w:rPr>
          <w:b w:val="0"/>
          <w:bCs/>
          <w:sz w:val="20"/>
          <w:vertAlign w:val="superscript"/>
        </w:rPr>
        <w:t xml:space="preserve">, </w:t>
      </w:r>
      <w:r w:rsidRPr="00CA5DE6">
        <w:rPr>
          <w:b w:val="0"/>
          <w:bCs/>
          <w:sz w:val="20"/>
        </w:rPr>
        <w:footnoteReference w:customMarkFollows="1" w:id="3"/>
        <w:t>***,</w:t>
      </w:r>
      <w:r w:rsidRPr="00CA5DE6">
        <w:rPr>
          <w:b w:val="0"/>
          <w:sz w:val="20"/>
        </w:rPr>
        <w:t xml:space="preserve"> </w:t>
      </w:r>
      <w:bookmarkEnd w:id="2"/>
    </w:p>
    <w:p w:rsidR="00CA5DE6" w:rsidRPr="00CA5DE6" w:rsidRDefault="00CA5DE6" w:rsidP="00CA5DE6">
      <w:pPr>
        <w:pStyle w:val="SingleTxtGR"/>
      </w:pPr>
      <w:r w:rsidRPr="00CA5DE6">
        <w:t xml:space="preserve">которая состоится во Дворце Наций в Женеве, начнется в 09 ч 30 мин 25 сентября </w:t>
      </w:r>
      <w:r>
        <w:br/>
      </w:r>
      <w:r w:rsidRPr="00CA5DE6">
        <w:t>2018 года и завершится в 12 ч 30 мин 28 сентября 2018 года</w:t>
      </w:r>
    </w:p>
    <w:p w:rsidR="00CA5DE6" w:rsidRPr="00CA5DE6" w:rsidRDefault="00CA5DE6" w:rsidP="00CA5DE6">
      <w:pPr>
        <w:pStyle w:val="SingleTxtGR"/>
      </w:pPr>
      <w:r w:rsidRPr="00CA5DE6">
        <w:rPr>
          <w:u w:val="single"/>
        </w:rPr>
        <w:t>Примечание</w:t>
      </w:r>
      <w:r w:rsidRPr="00CA5DE6">
        <w:t>: В соответствии с просьбой Комитета по внутреннему транспорту (ECE/TRANS/274, пункт 52) WP.29 решил (ECE/TRANS/WP.29/1139, пункт 33) преобразовать Рабочую группу по вопросам торможения и ходовой части (GRRF) в Рабочую группу по автоматизированным/автономным и подключенным транспортным средствам (GRVA). Поэтому предварительная повестка дня была подготовлена для первой сессии GRVA, а не восемьдесят седьмой сессии GRRF, как это первоначально планировалось. GRVA будет иметь административный мандат прежней GRRF, а также возьмет на себя бо́льшую часть обязанностей прежней GRRF, как указано в пункте 3 предварительной повестки дня ниже, при условии окончательного утверждения Комитетом по внутреннему транспорту на его сессии в феврале 2019 года.</w:t>
      </w:r>
      <w:bookmarkStart w:id="3" w:name="_Hlk518907314"/>
      <w:bookmarkStart w:id="4" w:name="_Hlk518907422"/>
      <w:bookmarkEnd w:id="3"/>
      <w:bookmarkEnd w:id="4"/>
    </w:p>
    <w:p w:rsidR="00CA5DE6" w:rsidRPr="00CA5DE6" w:rsidRDefault="00CA5DE6" w:rsidP="00CA5DE6">
      <w:pPr>
        <w:pStyle w:val="HChGR"/>
      </w:pPr>
      <w:r w:rsidRPr="00CA5DE6">
        <w:lastRenderedPageBreak/>
        <w:tab/>
        <w:t>I.</w:t>
      </w:r>
      <w:r w:rsidRPr="00CA5DE6">
        <w:tab/>
        <w:t>Предварительная повестка дня</w:t>
      </w:r>
    </w:p>
    <w:p w:rsidR="00CA5DE6" w:rsidRPr="00CA5DE6" w:rsidRDefault="00884D4F" w:rsidP="00884D4F">
      <w:pPr>
        <w:pStyle w:val="H1GR"/>
      </w:pPr>
      <w:r>
        <w:tab/>
      </w:r>
      <w:r w:rsidR="00CA5DE6" w:rsidRPr="00CA5DE6">
        <w:t>A.</w:t>
      </w:r>
      <w:r w:rsidR="00CA5DE6" w:rsidRPr="00CA5DE6">
        <w:tab/>
        <w:t>Нетехнические вопросы</w:t>
      </w:r>
    </w:p>
    <w:p w:rsidR="00CA5DE6" w:rsidRPr="00CA5DE6" w:rsidRDefault="00CA5DE6" w:rsidP="00CA5DE6">
      <w:pPr>
        <w:pStyle w:val="SingleTxtGR"/>
      </w:pPr>
      <w:r w:rsidRPr="00CA5DE6">
        <w:t>1.</w:t>
      </w:r>
      <w:r w:rsidRPr="00CA5DE6">
        <w:tab/>
        <w:t>Утверждение повестки дня.</w:t>
      </w:r>
    </w:p>
    <w:p w:rsidR="00CA5DE6" w:rsidRPr="00CA5DE6" w:rsidRDefault="00CA5DE6" w:rsidP="00CA5DE6">
      <w:pPr>
        <w:pStyle w:val="SingleTxtGR"/>
      </w:pPr>
      <w:r w:rsidRPr="00CA5DE6">
        <w:t>2.</w:t>
      </w:r>
      <w:r w:rsidRPr="00CA5DE6">
        <w:tab/>
        <w:t>Выборы должностных лиц.</w:t>
      </w:r>
    </w:p>
    <w:p w:rsidR="00CA5DE6" w:rsidRPr="00CA5DE6" w:rsidRDefault="00CA5DE6" w:rsidP="00CA5DE6">
      <w:pPr>
        <w:pStyle w:val="SingleTxtGR"/>
        <w:ind w:left="2268" w:hanging="1134"/>
      </w:pPr>
      <w:r w:rsidRPr="00CA5DE6">
        <w:t>3.</w:t>
      </w:r>
      <w:r w:rsidRPr="00CA5DE6">
        <w:tab/>
        <w:t>Основные вопросы, рассмотренные на сессиях WP.29 в марте и июне 2018 года.</w:t>
      </w:r>
    </w:p>
    <w:p w:rsidR="00CA5DE6" w:rsidRPr="00CA5DE6" w:rsidRDefault="00884D4F" w:rsidP="00884D4F">
      <w:pPr>
        <w:pStyle w:val="H1GR"/>
      </w:pPr>
      <w:r>
        <w:tab/>
      </w:r>
      <w:r w:rsidR="00CA5DE6" w:rsidRPr="00CA5DE6">
        <w:t>B.</w:t>
      </w:r>
      <w:r w:rsidR="00CA5DE6" w:rsidRPr="00CA5DE6">
        <w:tab/>
        <w:t>Обмен мнениями по приоритетам работы в области автоматизации транспортных средств</w:t>
      </w:r>
    </w:p>
    <w:p w:rsidR="00CA5DE6" w:rsidRPr="00CA5DE6" w:rsidRDefault="00CA5DE6" w:rsidP="00884D4F">
      <w:pPr>
        <w:pStyle w:val="SingleTxtGR"/>
        <w:ind w:left="1701" w:hanging="567"/>
      </w:pPr>
      <w:r w:rsidRPr="00CA5DE6">
        <w:t>4.</w:t>
      </w:r>
      <w:r w:rsidRPr="00CA5DE6">
        <w:tab/>
        <w:t>Обмен мнениями по приоритетам работы, связанной с автоматизацией транспортных средств.</w:t>
      </w:r>
    </w:p>
    <w:p w:rsidR="00CA5DE6" w:rsidRPr="00CA5DE6" w:rsidRDefault="00CA5DE6" w:rsidP="00884D4F">
      <w:pPr>
        <w:pStyle w:val="SingleTxtGR"/>
        <w:ind w:left="1701" w:hanging="567"/>
      </w:pPr>
      <w:r w:rsidRPr="00CA5DE6">
        <w:t>5.</w:t>
      </w:r>
      <w:r w:rsidRPr="00CA5DE6">
        <w:tab/>
        <w:t>Обмен мнениями по вопросу эффективности технологий, инновациям и соответствующим национальным мероприятиям.</w:t>
      </w:r>
    </w:p>
    <w:p w:rsidR="00CA5DE6" w:rsidRPr="00CA5DE6" w:rsidRDefault="00884D4F" w:rsidP="00884D4F">
      <w:pPr>
        <w:pStyle w:val="H1GR"/>
      </w:pPr>
      <w:r>
        <w:tab/>
      </w:r>
      <w:r w:rsidR="00CA5DE6" w:rsidRPr="00CA5DE6">
        <w:t>C.</w:t>
      </w:r>
      <w:r w:rsidR="00CA5DE6" w:rsidRPr="00CA5DE6">
        <w:tab/>
        <w:t>Технические вопросы</w:t>
      </w:r>
    </w:p>
    <w:p w:rsidR="00CA5DE6" w:rsidRPr="00CA5DE6" w:rsidRDefault="00CA5DE6" w:rsidP="00CA5DE6">
      <w:pPr>
        <w:pStyle w:val="SingleTxtGR"/>
        <w:ind w:left="2268" w:hanging="1134"/>
      </w:pPr>
      <w:r w:rsidRPr="00CA5DE6">
        <w:t>6.</w:t>
      </w:r>
      <w:r w:rsidRPr="00CA5DE6">
        <w:tab/>
        <w:t>Автономные/автоматизированные и подключенные транспортные средства:</w:t>
      </w:r>
    </w:p>
    <w:p w:rsidR="00CA5DE6" w:rsidRPr="00CA5DE6" w:rsidRDefault="00CA5DE6" w:rsidP="00884D4F">
      <w:pPr>
        <w:pStyle w:val="SingleTxtGR"/>
        <w:ind w:left="2268" w:hanging="1134"/>
      </w:pPr>
      <w:r>
        <w:tab/>
      </w:r>
      <w:r w:rsidRPr="00CA5DE6">
        <w:t>a)</w:t>
      </w:r>
      <w:r w:rsidRPr="00CA5DE6">
        <w:tab/>
        <w:t>Целевая группа по испытанию автоматизированных транспортных средств и ее подгруппы;</w:t>
      </w:r>
    </w:p>
    <w:p w:rsidR="00CA5DE6" w:rsidRPr="00CA5DE6" w:rsidRDefault="00884D4F" w:rsidP="00CA5DE6">
      <w:pPr>
        <w:pStyle w:val="SingleTxtGR"/>
        <w:ind w:left="2835" w:hanging="1701"/>
      </w:pPr>
      <w:r>
        <w:tab/>
      </w:r>
      <w:r w:rsidR="00CA5DE6" w:rsidRPr="00CA5DE6">
        <w:t>b)</w:t>
      </w:r>
      <w:r w:rsidR="00CA5DE6" w:rsidRPr="00CA5DE6">
        <w:tab/>
        <w:t>кибербезопасность и защита данных;</w:t>
      </w:r>
    </w:p>
    <w:p w:rsidR="00CA5DE6" w:rsidRPr="00CA5DE6" w:rsidRDefault="00CA5DE6" w:rsidP="00CA5DE6">
      <w:pPr>
        <w:pStyle w:val="SingleTxtGR"/>
        <w:ind w:left="2835" w:hanging="1701"/>
      </w:pPr>
      <w:r w:rsidRPr="00CA5DE6">
        <w:tab/>
        <w:t>c)</w:t>
      </w:r>
      <w:r w:rsidRPr="00CA5DE6">
        <w:tab/>
        <w:t>обновление программного обеспечения (включая беспроводную связь);</w:t>
      </w:r>
    </w:p>
    <w:p w:rsidR="00CA5DE6" w:rsidRPr="00CA5DE6" w:rsidRDefault="00CA5DE6" w:rsidP="00CA5DE6">
      <w:pPr>
        <w:pStyle w:val="SingleTxtGR"/>
        <w:ind w:left="2835" w:hanging="1701"/>
      </w:pPr>
      <w:r w:rsidRPr="00CA5DE6">
        <w:tab/>
        <w:t>d)</w:t>
      </w:r>
      <w:r w:rsidRPr="00CA5DE6">
        <w:tab/>
        <w:t>автоматизированная функция рулевого управления (АФРУ);</w:t>
      </w:r>
    </w:p>
    <w:p w:rsidR="00CA5DE6" w:rsidRPr="00CA5DE6" w:rsidRDefault="00CA5DE6" w:rsidP="00884D4F">
      <w:pPr>
        <w:pStyle w:val="SingleTxtGR"/>
        <w:ind w:left="2268" w:hanging="1134"/>
      </w:pPr>
      <w:r w:rsidRPr="00CA5DE6">
        <w:tab/>
        <w:t>е)</w:t>
      </w:r>
      <w:r w:rsidRPr="00CA5DE6">
        <w:tab/>
        <w:t>требования, касающиеся комплексных электронных систем контроля (КЭС).</w:t>
      </w:r>
    </w:p>
    <w:p w:rsidR="00CA5DE6" w:rsidRPr="00CA5DE6" w:rsidRDefault="00CA5DE6" w:rsidP="00CA5DE6">
      <w:pPr>
        <w:pStyle w:val="SingleTxtGR"/>
        <w:ind w:left="1701" w:hanging="567"/>
      </w:pPr>
      <w:r w:rsidRPr="00CA5DE6">
        <w:t>7.</w:t>
      </w:r>
      <w:r w:rsidRPr="00CA5DE6">
        <w:tab/>
        <w:t>Системы автоматического экстренного торможения.</w:t>
      </w:r>
    </w:p>
    <w:p w:rsidR="00CA5DE6" w:rsidRPr="00CA5DE6" w:rsidRDefault="00CA5DE6" w:rsidP="00CA5DE6">
      <w:pPr>
        <w:pStyle w:val="SingleTxtGR"/>
        <w:ind w:left="1701" w:hanging="567"/>
      </w:pPr>
      <w:r w:rsidRPr="00CA5DE6">
        <w:t>8.</w:t>
      </w:r>
      <w:r w:rsidRPr="00CA5DE6">
        <w:tab/>
        <w:t>Правила № 13, 13-H, 139 и 140 ООН:</w:t>
      </w:r>
    </w:p>
    <w:p w:rsidR="00CA5DE6" w:rsidRPr="00CA5DE6" w:rsidRDefault="00CA5DE6" w:rsidP="00CA5DE6">
      <w:pPr>
        <w:pStyle w:val="SingleTxtGR"/>
        <w:ind w:left="1701" w:hanging="567"/>
      </w:pPr>
      <w:r>
        <w:tab/>
      </w:r>
      <w:r w:rsidRPr="00CA5DE6">
        <w:t>a)</w:t>
      </w:r>
      <w:r w:rsidRPr="00CA5DE6">
        <w:tab/>
        <w:t>электронный контроль устойчивости;</w:t>
      </w:r>
    </w:p>
    <w:p w:rsidR="00CA5DE6" w:rsidRPr="00CA5DE6" w:rsidRDefault="00CA5DE6" w:rsidP="00CA5DE6">
      <w:pPr>
        <w:pStyle w:val="SingleTxtGR"/>
        <w:ind w:left="1701" w:hanging="567"/>
      </w:pPr>
      <w:r>
        <w:tab/>
      </w:r>
      <w:r w:rsidRPr="00CA5DE6">
        <w:t>b)</w:t>
      </w:r>
      <w:r w:rsidRPr="00CA5DE6">
        <w:tab/>
        <w:t>составы модульных транспортных средств;</w:t>
      </w:r>
    </w:p>
    <w:p w:rsidR="00CA5DE6" w:rsidRPr="00CA5DE6" w:rsidRDefault="00CA5DE6" w:rsidP="00CA5DE6">
      <w:pPr>
        <w:pStyle w:val="SingleTxtGR"/>
        <w:ind w:left="1701" w:hanging="567"/>
      </w:pPr>
      <w:r>
        <w:tab/>
      </w:r>
      <w:r w:rsidRPr="00CA5DE6">
        <w:t>c)</w:t>
      </w:r>
      <w:r w:rsidRPr="00CA5DE6">
        <w:tab/>
        <w:t>уточнения;</w:t>
      </w:r>
    </w:p>
    <w:p w:rsidR="00CA5DE6" w:rsidRPr="00CA5DE6" w:rsidRDefault="00CA5DE6" w:rsidP="00CA5DE6">
      <w:pPr>
        <w:pStyle w:val="SingleTxtGR"/>
        <w:ind w:left="1701" w:hanging="567"/>
      </w:pPr>
      <w:r>
        <w:tab/>
      </w:r>
      <w:r w:rsidRPr="00CA5DE6">
        <w:t>d)</w:t>
      </w:r>
      <w:r w:rsidRPr="00CA5DE6">
        <w:tab/>
        <w:t>прочие вопросы.</w:t>
      </w:r>
    </w:p>
    <w:p w:rsidR="00CA5DE6" w:rsidRPr="00CA5DE6" w:rsidRDefault="00CA5DE6" w:rsidP="00CA5DE6">
      <w:pPr>
        <w:pStyle w:val="SingleTxtGR"/>
        <w:ind w:left="1701" w:hanging="567"/>
      </w:pPr>
      <w:r w:rsidRPr="00CA5DE6">
        <w:t>9.</w:t>
      </w:r>
      <w:r w:rsidRPr="00CA5DE6">
        <w:tab/>
        <w:t>Тормозные системы мотоциклов:</w:t>
      </w:r>
    </w:p>
    <w:p w:rsidR="00CA5DE6" w:rsidRPr="00CA5DE6" w:rsidRDefault="00CA5DE6" w:rsidP="00CA5DE6">
      <w:pPr>
        <w:pStyle w:val="SingleTxtGR"/>
        <w:ind w:left="1701" w:hanging="567"/>
      </w:pPr>
      <w:r w:rsidRPr="00CA5DE6">
        <w:tab/>
        <w:t>a)</w:t>
      </w:r>
      <w:r w:rsidRPr="00CA5DE6">
        <w:tab/>
        <w:t>Глобальные технические правила № 3 ООН;</w:t>
      </w:r>
    </w:p>
    <w:p w:rsidR="00CA5DE6" w:rsidRPr="00CA5DE6" w:rsidRDefault="00CA5DE6" w:rsidP="00CA5DE6">
      <w:pPr>
        <w:pStyle w:val="SingleTxtGR"/>
        <w:ind w:left="1701" w:hanging="567"/>
      </w:pPr>
      <w:r w:rsidRPr="00CA5DE6">
        <w:tab/>
        <w:t>b)</w:t>
      </w:r>
      <w:r w:rsidRPr="00CA5DE6">
        <w:tab/>
        <w:t>Правила № 78 ООН.</w:t>
      </w:r>
    </w:p>
    <w:p w:rsidR="00CA5DE6" w:rsidRPr="00E541D5" w:rsidRDefault="00CA5DE6" w:rsidP="00CA5DE6">
      <w:pPr>
        <w:pStyle w:val="SingleTxtGR"/>
        <w:ind w:left="1701" w:hanging="567"/>
      </w:pPr>
      <w:r w:rsidRPr="00CA5DE6">
        <w:t>10.</w:t>
      </w:r>
      <w:r w:rsidRPr="00CA5DE6">
        <w:tab/>
        <w:t>Правила № 79 ООН</w:t>
      </w:r>
      <w:r w:rsidR="00E541D5">
        <w:t>.</w:t>
      </w:r>
    </w:p>
    <w:p w:rsidR="00CA5DE6" w:rsidRPr="00CA5DE6" w:rsidRDefault="00CA5DE6" w:rsidP="00CA5DE6">
      <w:pPr>
        <w:pStyle w:val="SingleTxtGR"/>
        <w:ind w:left="1701" w:hanging="567"/>
      </w:pPr>
      <w:r w:rsidRPr="00CA5DE6">
        <w:t>11.</w:t>
      </w:r>
      <w:r w:rsidRPr="00CA5DE6">
        <w:tab/>
        <w:t xml:space="preserve">Правила № 89 ООН. </w:t>
      </w:r>
    </w:p>
    <w:p w:rsidR="00CA5DE6" w:rsidRPr="00CA5DE6" w:rsidRDefault="00CA5DE6" w:rsidP="00CA5DE6">
      <w:pPr>
        <w:pStyle w:val="SingleTxtGR"/>
        <w:ind w:left="1701" w:hanging="567"/>
      </w:pPr>
      <w:r w:rsidRPr="00CA5DE6">
        <w:t>12.</w:t>
      </w:r>
      <w:r w:rsidRPr="00CA5DE6">
        <w:tab/>
        <w:t xml:space="preserve">Правила № 90 ООН. </w:t>
      </w:r>
    </w:p>
    <w:p w:rsidR="00CA5DE6" w:rsidRPr="00CA5DE6" w:rsidRDefault="00CA5DE6" w:rsidP="00CA5DE6">
      <w:pPr>
        <w:pStyle w:val="SingleTxtGR"/>
        <w:ind w:left="1701" w:hanging="567"/>
      </w:pPr>
      <w:r w:rsidRPr="00CA5DE6">
        <w:t>13.</w:t>
      </w:r>
      <w:r w:rsidRPr="00CA5DE6">
        <w:tab/>
        <w:t>Пересмотр 3 Соглашения 1958 года:</w:t>
      </w:r>
    </w:p>
    <w:p w:rsidR="00CA5DE6" w:rsidRPr="00CA5DE6" w:rsidRDefault="00CA5DE6" w:rsidP="00CA5DE6">
      <w:pPr>
        <w:pStyle w:val="SingleTxtGR"/>
        <w:ind w:left="2835" w:hanging="1701"/>
      </w:pPr>
      <w:r>
        <w:tab/>
      </w:r>
      <w:r w:rsidRPr="00CA5DE6">
        <w:t>a)</w:t>
      </w:r>
      <w:r w:rsidRPr="00CA5DE6">
        <w:tab/>
        <w:t>осуществление новых положен</w:t>
      </w:r>
      <w:r w:rsidR="00E4253E">
        <w:t>ий Пересмотра 3 Соглашения 1958 </w:t>
      </w:r>
      <w:r w:rsidRPr="00CA5DE6">
        <w:t>года;</w:t>
      </w:r>
    </w:p>
    <w:p w:rsidR="00CA5DE6" w:rsidRPr="00CA5DE6" w:rsidRDefault="00CA5DE6" w:rsidP="00884D4F">
      <w:pPr>
        <w:pStyle w:val="SingleTxtGR"/>
        <w:ind w:left="2268" w:hanging="1134"/>
      </w:pPr>
      <w:r>
        <w:tab/>
      </w:r>
      <w:r w:rsidRPr="00CA5DE6">
        <w:t>b)</w:t>
      </w:r>
      <w:r w:rsidRPr="00CA5DE6">
        <w:tab/>
        <w:t>международное официальное утверждение типа комплектного транспортного средства.</w:t>
      </w:r>
    </w:p>
    <w:p w:rsidR="00CA5DE6" w:rsidRPr="00CA5DE6" w:rsidRDefault="00CA5DE6" w:rsidP="00884D4F">
      <w:pPr>
        <w:pStyle w:val="SingleTxtGR"/>
        <w:ind w:left="1701" w:hanging="567"/>
      </w:pPr>
      <w:r w:rsidRPr="00CA5DE6">
        <w:t>14.</w:t>
      </w:r>
      <w:r w:rsidRPr="00CA5DE6">
        <w:tab/>
        <w:t>Оставшиеся мероприятия прежней Рабочей группы по вопросам торможения и ходовой части (период передачи дел):</w:t>
      </w:r>
    </w:p>
    <w:p w:rsidR="00CA5DE6" w:rsidRPr="00CA5DE6" w:rsidRDefault="00CA5DE6" w:rsidP="00CA5DE6">
      <w:pPr>
        <w:pStyle w:val="SingleTxtGR"/>
        <w:ind w:left="2835" w:hanging="1701"/>
      </w:pPr>
      <w:r>
        <w:lastRenderedPageBreak/>
        <w:tab/>
      </w:r>
      <w:r w:rsidRPr="00CA5DE6">
        <w:t>a)</w:t>
      </w:r>
      <w:r w:rsidRPr="00CA5DE6">
        <w:tab/>
        <w:t>шины;</w:t>
      </w:r>
    </w:p>
    <w:p w:rsidR="00CA5DE6" w:rsidRPr="00CA5DE6" w:rsidRDefault="00CA5DE6" w:rsidP="00CA5DE6">
      <w:pPr>
        <w:pStyle w:val="SingleTxtGR"/>
        <w:ind w:left="2835" w:hanging="1701"/>
      </w:pPr>
      <w:r>
        <w:tab/>
      </w:r>
      <w:r w:rsidRPr="00CA5DE6">
        <w:t>b)</w:t>
      </w:r>
      <w:r w:rsidRPr="00CA5DE6">
        <w:tab/>
        <w:t>механические сцепные устройства.</w:t>
      </w:r>
    </w:p>
    <w:p w:rsidR="00CA5DE6" w:rsidRPr="00CA5DE6" w:rsidRDefault="00CA5DE6" w:rsidP="00CA5DE6">
      <w:pPr>
        <w:pStyle w:val="SingleTxtGR"/>
        <w:ind w:left="2835" w:hanging="1701"/>
      </w:pPr>
      <w:r w:rsidRPr="00CA5DE6">
        <w:t>15.</w:t>
      </w:r>
      <w:r w:rsidRPr="00CA5DE6">
        <w:tab/>
        <w:t>Прочие вопросы.</w:t>
      </w:r>
    </w:p>
    <w:p w:rsidR="00CA5DE6" w:rsidRPr="00CA5DE6" w:rsidRDefault="00CA5DE6" w:rsidP="00CA5DE6">
      <w:pPr>
        <w:pStyle w:val="HChGR"/>
      </w:pPr>
      <w:r w:rsidRPr="00CA5DE6">
        <w:tab/>
        <w:t>II.</w:t>
      </w:r>
      <w:r w:rsidRPr="00CA5DE6">
        <w:tab/>
        <w:t>Аннотации и перечень документов</w:t>
      </w:r>
    </w:p>
    <w:p w:rsidR="00CA5DE6" w:rsidRDefault="00CA5DE6" w:rsidP="00CA5DE6">
      <w:pPr>
        <w:pStyle w:val="H1GR"/>
      </w:pPr>
      <w:r w:rsidRPr="00CA5DE6">
        <w:tab/>
        <w:t>A.</w:t>
      </w:r>
      <w:r w:rsidRPr="00CA5DE6">
        <w:tab/>
        <w:t>Нетехнические вопросы</w:t>
      </w:r>
    </w:p>
    <w:p w:rsidR="00884D4F" w:rsidRPr="00884D4F" w:rsidRDefault="00884D4F" w:rsidP="00884D4F">
      <w:pPr>
        <w:pStyle w:val="H23GR"/>
      </w:pPr>
      <w:r w:rsidRPr="00884D4F">
        <w:tab/>
        <w:t>1.</w:t>
      </w:r>
      <w:r w:rsidRPr="00884D4F">
        <w:tab/>
        <w:t>Утверждение повестки дня</w:t>
      </w:r>
    </w:p>
    <w:p w:rsidR="00CA5DE6" w:rsidRPr="00CA5DE6" w:rsidRDefault="00CA5DE6" w:rsidP="00CA5DE6">
      <w:pPr>
        <w:pStyle w:val="SingleTxtGR"/>
        <w:rPr>
          <w:bCs/>
        </w:rPr>
      </w:pPr>
      <w:r w:rsidRPr="00CA5DE6">
        <w:rPr>
          <w:b/>
        </w:rPr>
        <w:tab/>
      </w:r>
      <w:r w:rsidRPr="00CA5DE6">
        <w:rPr>
          <w:bCs/>
        </w:rPr>
        <w:t>В соответствии с правилом 7 главы III правил процедуры (TRANS/WP.29/690/Rev.1)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:rsidR="00CA5DE6" w:rsidRPr="00CA5DE6" w:rsidRDefault="00CA5DE6" w:rsidP="00CA5DE6">
      <w:pPr>
        <w:pStyle w:val="SingleTxtGR"/>
      </w:pPr>
      <w:r w:rsidRPr="00CA5DE6">
        <w:rPr>
          <w:b/>
        </w:rPr>
        <w:t>Документация</w:t>
      </w:r>
      <w:r w:rsidRPr="00696A90">
        <w:rPr>
          <w:b/>
          <w:bCs/>
        </w:rPr>
        <w:t>:</w:t>
      </w:r>
      <w:r w:rsidRPr="00CA5DE6">
        <w:rPr>
          <w:bCs/>
        </w:rPr>
        <w:tab/>
        <w:t>ECE/TRANS/WP.29/GRVA/2018/1</w:t>
      </w:r>
    </w:p>
    <w:p w:rsidR="00CA5DE6" w:rsidRPr="00CA5DE6" w:rsidRDefault="00CA5DE6" w:rsidP="00CA5DE6">
      <w:pPr>
        <w:pStyle w:val="H23GR"/>
      </w:pPr>
      <w:r w:rsidRPr="00CA5DE6">
        <w:tab/>
        <w:t>2.</w:t>
      </w:r>
      <w:r w:rsidRPr="00CA5DE6">
        <w:tab/>
        <w:t>Выборы должностных лиц</w:t>
      </w:r>
    </w:p>
    <w:p w:rsidR="00CA5DE6" w:rsidRPr="00CA5DE6" w:rsidRDefault="00B60F4E" w:rsidP="00CA5DE6">
      <w:pPr>
        <w:pStyle w:val="SingleTxtGR"/>
      </w:pPr>
      <w:r>
        <w:tab/>
      </w:r>
      <w:r w:rsidR="00CA5DE6" w:rsidRPr="00CA5DE6">
        <w:t>Рабочая группа по автоматизированным/автономным и подключенным транспортным средствам (GRVA), возможно, пожелает избрать Председателя и заместителя Председателя для первой сессии GRVA.</w:t>
      </w:r>
    </w:p>
    <w:p w:rsidR="00CA5DE6" w:rsidRPr="00CA5DE6" w:rsidRDefault="00B60F4E" w:rsidP="00CA5DE6">
      <w:pPr>
        <w:pStyle w:val="SingleTxtGR"/>
      </w:pPr>
      <w:r>
        <w:tab/>
      </w:r>
      <w:r w:rsidR="00CA5DE6" w:rsidRPr="00CA5DE6">
        <w:t>В соответствии с правилом 37 правил процедуры (TRANS/WP.29/690/Rev.1) GRVA изберет Председателя и заместителя Председателя для сессий, запланированных на 2019 год.</w:t>
      </w:r>
    </w:p>
    <w:p w:rsidR="00CA5DE6" w:rsidRPr="00CA5DE6" w:rsidRDefault="00CA5DE6" w:rsidP="00CA5DE6">
      <w:pPr>
        <w:pStyle w:val="H23GR"/>
      </w:pPr>
      <w:r w:rsidRPr="00CA5DE6">
        <w:tab/>
        <w:t>3.</w:t>
      </w:r>
      <w:r w:rsidRPr="00CA5DE6">
        <w:tab/>
        <w:t>Основные вопросы, рассмотренные на сессиях WP.29 в марте и июне 2018 года</w:t>
      </w:r>
    </w:p>
    <w:p w:rsidR="00CA5DE6" w:rsidRPr="00CA5DE6" w:rsidRDefault="00CA5DE6" w:rsidP="00CA5DE6">
      <w:pPr>
        <w:pStyle w:val="SingleTxtGR"/>
      </w:pPr>
      <w:r w:rsidRPr="00CA5DE6">
        <w:tab/>
        <w:t>GRVA будет проинформирована о том, что на своей сессии в феврале 2018 года Комитет по внутреннему транспорту (КВТ) признал важность деятельности WP.29, связанной с автоматизированными, автономными и подключенными транспортными средствами, и просил WP.29 рассмотреть вопрос о создании специальной вспомогательной рабочей группы (GR). В соответствии с этой просьбой WP.29 на своей сессии в июне 2018 года решил преобразовать Рабочую группу по вопросам торможения и ходовой части (GRRF) в новую рабочую группу (</w:t>
      </w:r>
      <w:r w:rsidR="00B60F4E">
        <w:t>«</w:t>
      </w:r>
      <w:r w:rsidRPr="00CA5DE6">
        <w:t>Рабочую группу по автономным транспортным средствам</w:t>
      </w:r>
      <w:r w:rsidR="00B60F4E">
        <w:t>»</w:t>
      </w:r>
      <w:r w:rsidRPr="00CA5DE6">
        <w:t xml:space="preserve"> (GRVA)) и перераспределить некоторые прежние направления деятельности GRRF среди других рабочих групп.</w:t>
      </w:r>
      <w:bookmarkStart w:id="5" w:name="_Hlk518907345"/>
      <w:bookmarkStart w:id="6" w:name="_Hlk518907475"/>
      <w:bookmarkEnd w:id="5"/>
    </w:p>
    <w:p w:rsidR="00CA5DE6" w:rsidRPr="00CA5DE6" w:rsidRDefault="00CA5DE6" w:rsidP="00CA5DE6">
      <w:pPr>
        <w:pStyle w:val="SingleTxtGR"/>
        <w:rPr>
          <w:bCs/>
        </w:rPr>
      </w:pPr>
      <w:r w:rsidRPr="00CA5DE6">
        <w:rPr>
          <w:b/>
        </w:rPr>
        <w:tab/>
      </w:r>
      <w:r w:rsidRPr="00CA5DE6">
        <w:rPr>
          <w:bCs/>
        </w:rPr>
        <w:t>Направления деятельности GRRF по вопросам сцепных устройств, в частности Правила № 55 ООН и Правила ООН о единообразных предписаниях, касающихся официального утверждения механических деталей сцепных устройств составов транспортных средств, принятые AC.1 в июне 2018 года, были переданы Рабочей группе по общим предписаниям, касающимся безопасности.</w:t>
      </w:r>
    </w:p>
    <w:p w:rsidR="00CA5DE6" w:rsidRPr="00CA5DE6" w:rsidRDefault="00CA5DE6" w:rsidP="00CA5DE6">
      <w:pPr>
        <w:pStyle w:val="SingleTxtGR"/>
        <w:rPr>
          <w:bCs/>
        </w:rPr>
      </w:pPr>
      <w:r w:rsidRPr="00CA5DE6">
        <w:rPr>
          <w:bCs/>
        </w:rPr>
        <w:tab/>
        <w:t>Все направления деятельности, касающиеся шин GRRF, были переданы Рабочей группе по вопросам шума (GRB)</w:t>
      </w:r>
      <w:r w:rsidRPr="00B60F4E">
        <w:rPr>
          <w:bCs/>
          <w:sz w:val="18"/>
          <w:vertAlign w:val="superscript"/>
        </w:rPr>
        <w:footnoteReference w:id="4"/>
      </w:r>
      <w:r w:rsidRPr="00CA5DE6">
        <w:rPr>
          <w:bCs/>
        </w:rPr>
        <w:t>, включая Глобальные технические правила (ГТП) № 16 ООН (при условии согласия Исполните</w:t>
      </w:r>
      <w:r w:rsidR="00E4253E">
        <w:rPr>
          <w:bCs/>
        </w:rPr>
        <w:t>льного комитета Соглашения 1998 </w:t>
      </w:r>
      <w:r w:rsidRPr="00CA5DE6">
        <w:rPr>
          <w:bCs/>
        </w:rPr>
        <w:t>года (АС.3) на изменение документа ECE/TRANS/WP.29/AC.3/48 с учетом разрешения на разработку поправки к ГТП № 16 ООН) и Правила ООН</w:t>
      </w:r>
      <w:bookmarkStart w:id="7" w:name="_Hlk518907517"/>
      <w:bookmarkEnd w:id="6"/>
      <w:bookmarkEnd w:id="7"/>
      <w:r w:rsidRPr="00CA5DE6">
        <w:rPr>
          <w:bCs/>
        </w:rPr>
        <w:t xml:space="preserve"> №:</w:t>
      </w:r>
    </w:p>
    <w:p w:rsidR="00CA5DE6" w:rsidRPr="00CA5DE6" w:rsidRDefault="00CA5DE6" w:rsidP="00B60F4E">
      <w:pPr>
        <w:pStyle w:val="Bullet1GR"/>
      </w:pPr>
      <w:r w:rsidRPr="00CA5DE6">
        <w:t>30 (шины для легковых автомобилей и их прицепов);</w:t>
      </w:r>
    </w:p>
    <w:p w:rsidR="00CA5DE6" w:rsidRPr="00CA5DE6" w:rsidRDefault="00CA5DE6" w:rsidP="00B60F4E">
      <w:pPr>
        <w:pStyle w:val="Bullet1GR"/>
      </w:pPr>
      <w:r w:rsidRPr="00CA5DE6">
        <w:t>54 (шины для транспортных средств неиндивидуального пользования и их прицепов);</w:t>
      </w:r>
    </w:p>
    <w:p w:rsidR="00CA5DE6" w:rsidRPr="00CA5DE6" w:rsidRDefault="00CA5DE6" w:rsidP="00B60F4E">
      <w:pPr>
        <w:pStyle w:val="Bullet1GR"/>
      </w:pPr>
      <w:r w:rsidRPr="00CA5DE6">
        <w:t>64 (запасное колесо в сборе для временного использования, шины, пригодные для использования в спущенном состоянии, система эксплуатации шины в спущенном состоянии и система контроля давления в шинах);</w:t>
      </w:r>
    </w:p>
    <w:p w:rsidR="00CA5DE6" w:rsidRPr="00CA5DE6" w:rsidRDefault="00CA5DE6" w:rsidP="00B60F4E">
      <w:pPr>
        <w:pStyle w:val="Bullet1GR"/>
        <w:rPr>
          <w:lang w:val="en-GB"/>
        </w:rPr>
      </w:pPr>
      <w:r w:rsidRPr="00CA5DE6">
        <w:lastRenderedPageBreak/>
        <w:t>75 (шины для мотоциклов);</w:t>
      </w:r>
    </w:p>
    <w:p w:rsidR="00CA5DE6" w:rsidRPr="00CA5DE6" w:rsidRDefault="00CA5DE6" w:rsidP="00B60F4E">
      <w:pPr>
        <w:pStyle w:val="Bullet1GR"/>
      </w:pPr>
      <w:r w:rsidRPr="00CA5DE6">
        <w:t>106 (шины для сельскохозяйственных транспортных средств);</w:t>
      </w:r>
    </w:p>
    <w:p w:rsidR="00CA5DE6" w:rsidRPr="00CA5DE6" w:rsidRDefault="00CA5DE6" w:rsidP="00B60F4E">
      <w:pPr>
        <w:pStyle w:val="Bullet1GR"/>
      </w:pPr>
      <w:r w:rsidRPr="00CA5DE6">
        <w:t xml:space="preserve">108 (шины с восстановленным протектором для легковых автомобилей и их прицепов); </w:t>
      </w:r>
    </w:p>
    <w:p w:rsidR="00CA5DE6" w:rsidRPr="00CA5DE6" w:rsidRDefault="00CA5DE6" w:rsidP="00B60F4E">
      <w:pPr>
        <w:pStyle w:val="Bullet1GR"/>
      </w:pPr>
      <w:r w:rsidRPr="00CA5DE6">
        <w:t>109 (шины с восстановленным протектором для транспортных средств неиндивидуального пользования и их прицепов);</w:t>
      </w:r>
    </w:p>
    <w:p w:rsidR="00CA5DE6" w:rsidRPr="00CA5DE6" w:rsidRDefault="00CA5DE6" w:rsidP="00B60F4E">
      <w:pPr>
        <w:pStyle w:val="Bullet1GR"/>
      </w:pPr>
      <w:r w:rsidRPr="00CA5DE6">
        <w:t>117 (шины: сопротивление качению, издаваемый при качении звук и сцепление на мокрых поверхностях) (Правила в целом);</w:t>
      </w:r>
    </w:p>
    <w:p w:rsidR="00CA5DE6" w:rsidRPr="00CA5DE6" w:rsidRDefault="00CA5DE6" w:rsidP="00B60F4E">
      <w:pPr>
        <w:pStyle w:val="Bullet1GR"/>
      </w:pPr>
      <w:r w:rsidRPr="00CA5DE6">
        <w:t>124 (сменные колеса для легковых автомобилей);</w:t>
      </w:r>
    </w:p>
    <w:p w:rsidR="00CA5DE6" w:rsidRPr="00CA5DE6" w:rsidRDefault="00CA5DE6" w:rsidP="00B60F4E">
      <w:pPr>
        <w:pStyle w:val="Bullet1GR"/>
      </w:pPr>
      <w:r w:rsidRPr="00CA5DE6">
        <w:t>141 (системы контроля давления в шинах);</w:t>
      </w:r>
    </w:p>
    <w:p w:rsidR="00CA5DE6" w:rsidRPr="00CA5DE6" w:rsidRDefault="00CA5DE6" w:rsidP="00B60F4E">
      <w:pPr>
        <w:pStyle w:val="Bullet1GR"/>
        <w:rPr>
          <w:lang w:val="en-GB"/>
        </w:rPr>
      </w:pPr>
      <w:r w:rsidRPr="00CA5DE6">
        <w:t>142 (установка шин).</w:t>
      </w:r>
    </w:p>
    <w:p w:rsidR="00CA5DE6" w:rsidRPr="00CA5DE6" w:rsidRDefault="00B60F4E" w:rsidP="00CA5DE6">
      <w:pPr>
        <w:pStyle w:val="SingleTxtGR"/>
      </w:pPr>
      <w:r>
        <w:rPr>
          <w:bCs/>
        </w:rPr>
        <w:tab/>
      </w:r>
      <w:r w:rsidR="00CA5DE6" w:rsidRPr="00CA5DE6">
        <w:rPr>
          <w:bCs/>
        </w:rPr>
        <w:t>Программа работы WP.29 была изменена соответствующим образом. Для того чтобы четко отразить новые обязанности GRB, касающиеся шин, WP.29 предложил изменить название GRB на Рабочую группу по вопросам шума и шин (GRBP).</w:t>
      </w:r>
    </w:p>
    <w:p w:rsidR="00CA5DE6" w:rsidRPr="00CA5DE6" w:rsidRDefault="00CA5DE6" w:rsidP="00CA5DE6">
      <w:pPr>
        <w:pStyle w:val="SingleTxtGR"/>
      </w:pPr>
      <w:r w:rsidRPr="00CA5DE6">
        <w:tab/>
        <w:t xml:space="preserve">WP.29 согласился с тем, что GRVA должна начать функционировать как можно скорее и созвать свою первую сессию в сентябре 2018 года, используя выделенные для совещания GRRF даты (25–28 сентября 2018 года). Для обеспечения плавного процесса передачи GRB направлений деятельности, касающихся шин, председатели GRB и прежней GRRF провели совещание с секретариатом в ходе июньской сессии WP.29 2018 года. Было решено, что связанные с шинами документы, как и планировалось, будут представлены GRVA (бывшей GRRF) для сентябрьской сессии 2018 года в официальные предельные сроки, предусмотренные для этого совещания. Однако вместо GRVA эти документы будут рассмотрены GRB на ее сессии в сентябре 2018 года. </w:t>
      </w:r>
    </w:p>
    <w:p w:rsidR="00CA5DE6" w:rsidRPr="00CA5DE6" w:rsidRDefault="00CA5DE6" w:rsidP="00CA5DE6">
      <w:pPr>
        <w:pStyle w:val="SingleTxtGR"/>
      </w:pPr>
      <w:r w:rsidRPr="00CA5DE6">
        <w:tab/>
        <w:t>GRVA, возможно, пожелает также ознакомиться с кратким докладом по соответствующим вопросам и итогам сессий WP.29, состоявшихся в марте и июне 2018 года, в связи с другими темами, помимо упомянутых выше.</w:t>
      </w:r>
    </w:p>
    <w:p w:rsidR="00CA5DE6" w:rsidRPr="00CA5DE6" w:rsidRDefault="00CA5DE6" w:rsidP="00CA5DE6">
      <w:pPr>
        <w:pStyle w:val="SingleTxtGR"/>
        <w:rPr>
          <w:bCs/>
          <w:lang w:val="en-GB"/>
        </w:rPr>
      </w:pPr>
      <w:r w:rsidRPr="00CA5DE6">
        <w:rPr>
          <w:b/>
          <w:bCs/>
        </w:rPr>
        <w:t>Документация</w:t>
      </w:r>
      <w:r w:rsidRPr="00CA5DE6">
        <w:rPr>
          <w:b/>
          <w:lang w:val="en-US"/>
        </w:rPr>
        <w:t>:</w:t>
      </w:r>
      <w:r w:rsidRPr="00CA5DE6">
        <w:rPr>
          <w:b/>
          <w:lang w:val="en-US"/>
        </w:rPr>
        <w:tab/>
      </w:r>
      <w:r w:rsidRPr="00CA5DE6">
        <w:rPr>
          <w:bCs/>
          <w:lang w:val="en-US"/>
        </w:rPr>
        <w:t xml:space="preserve">ECE/TRANS/WP.29/1137 </w:t>
      </w:r>
      <w:r w:rsidR="00E4253E">
        <w:rPr>
          <w:bCs/>
          <w:lang w:val="en-US"/>
        </w:rPr>
        <w:br/>
      </w:r>
      <w:r w:rsidR="00E4253E">
        <w:rPr>
          <w:bCs/>
          <w:lang w:val="en-US"/>
        </w:rPr>
        <w:tab/>
      </w:r>
      <w:r w:rsidR="00E4253E">
        <w:rPr>
          <w:bCs/>
          <w:lang w:val="en-US"/>
        </w:rPr>
        <w:tab/>
      </w:r>
      <w:r w:rsidR="00E4253E">
        <w:rPr>
          <w:bCs/>
          <w:lang w:val="en-US"/>
        </w:rPr>
        <w:tab/>
      </w:r>
      <w:r w:rsidRPr="00CA5DE6">
        <w:rPr>
          <w:bCs/>
          <w:lang w:val="en-US"/>
        </w:rPr>
        <w:t>ECE/TRANS/WP.29/1139</w:t>
      </w:r>
    </w:p>
    <w:p w:rsidR="00CA5DE6" w:rsidRPr="00CA5DE6" w:rsidRDefault="00CA5DE6" w:rsidP="00CA5DE6">
      <w:pPr>
        <w:pStyle w:val="H1GR"/>
      </w:pPr>
      <w:r w:rsidRPr="00CA5DE6">
        <w:rPr>
          <w:lang w:val="en-US"/>
        </w:rPr>
        <w:tab/>
      </w:r>
      <w:r w:rsidRPr="00CA5DE6">
        <w:t>B.</w:t>
      </w:r>
      <w:r w:rsidRPr="00CA5DE6">
        <w:tab/>
        <w:t>Обмен мнениями по приоритетам работы в области автоматизации транспортных средств</w:t>
      </w:r>
    </w:p>
    <w:p w:rsidR="00CA5DE6" w:rsidRPr="00CA5DE6" w:rsidRDefault="00CA5DE6" w:rsidP="00CA5DE6">
      <w:pPr>
        <w:pStyle w:val="H23GR"/>
      </w:pPr>
      <w:r w:rsidRPr="00CA5DE6">
        <w:tab/>
        <w:t>4.</w:t>
      </w:r>
      <w:r w:rsidRPr="00CA5DE6">
        <w:tab/>
        <w:t>Обмен мнениями по приоритетам работы, связанной с автоматизацией транспортных средств</w:t>
      </w:r>
    </w:p>
    <w:p w:rsidR="00CA5DE6" w:rsidRPr="00CA5DE6" w:rsidRDefault="00CA5DE6" w:rsidP="00CA5DE6">
      <w:pPr>
        <w:pStyle w:val="SingleTxtGR"/>
      </w:pPr>
      <w:r w:rsidRPr="00CA5DE6">
        <w:tab/>
        <w:t xml:space="preserve">WP.29 рассмотрел неофициальные документы WP.29-175-29 и WP.29-175-08 на своей сессии в июне 2018 года. Представитель Соединенного Королевства Великобритании и Северной Ирландии, Председатель прежней GRRF, предложил в этой связи, чтобы неофициальные документы WP.29-175-29 и WP.29-175-08 были включены в число документов, которые он намеревается направить заинтересованным сторонам для обстоятельного обсуждения приоритетов этой группы до сессии GRVA в сентябре 2018 года. Он добавил, что результаты обсуждений по этим документам, проведенных его группой, будут включены в приложение к докладу о работе сентябрьской сессии GRVA 2018 года или изданы в качестве отдельного документа для рассмотрения на сессии WP.29/АС.3 в ноябре. </w:t>
      </w:r>
    </w:p>
    <w:p w:rsidR="00CA5DE6" w:rsidRPr="00CA5DE6" w:rsidRDefault="00CA5DE6" w:rsidP="00CA5DE6">
      <w:pPr>
        <w:pStyle w:val="SingleTxtGR"/>
      </w:pPr>
      <w:r w:rsidRPr="00CA5DE6">
        <w:tab/>
        <w:t>GRVA, возможно, пожелает отметить, что 3 июля 2018 года Председатель GRRF провел консультации с главами делегаций GRRF, для того чтобы выяснить их мнения о приоритетах GRVA по следующим вопросам:</w:t>
      </w:r>
    </w:p>
    <w:p w:rsidR="00CA5DE6" w:rsidRPr="00CA5DE6" w:rsidRDefault="00CA5DE6" w:rsidP="00B60F4E">
      <w:pPr>
        <w:pStyle w:val="Bullet1GR"/>
      </w:pPr>
      <w:r w:rsidRPr="00CA5DE6">
        <w:t>рамочные правила по автоматизированным/автономным транспортным средствам;</w:t>
      </w:r>
    </w:p>
    <w:p w:rsidR="00CA5DE6" w:rsidRPr="00CA5DE6" w:rsidRDefault="00CA5DE6" w:rsidP="00B60F4E">
      <w:pPr>
        <w:pStyle w:val="Bullet1GR"/>
      </w:pPr>
      <w:r w:rsidRPr="00CA5DE6">
        <w:t>оценка трековой езды/вождения в реальных условиях эксплуатации;</w:t>
      </w:r>
    </w:p>
    <w:p w:rsidR="00CA5DE6" w:rsidRPr="00CA5DE6" w:rsidRDefault="00CA5DE6" w:rsidP="00B60F4E">
      <w:pPr>
        <w:pStyle w:val="Bullet1GR"/>
      </w:pPr>
      <w:r w:rsidRPr="00CA5DE6">
        <w:lastRenderedPageBreak/>
        <w:t>моделирование/виртуальная/практическая оценка автоматизированного вождения;</w:t>
      </w:r>
    </w:p>
    <w:p w:rsidR="00CA5DE6" w:rsidRPr="00CA5DE6" w:rsidRDefault="00CA5DE6" w:rsidP="00B60F4E">
      <w:pPr>
        <w:pStyle w:val="Bullet1GR"/>
      </w:pPr>
      <w:r w:rsidRPr="00CA5DE6">
        <w:t>контроль за движением транспортного средства в продольном направлении (адаптивная система стабилизатора скорости, превентивное торможение);</w:t>
      </w:r>
    </w:p>
    <w:p w:rsidR="00CA5DE6" w:rsidRPr="00CA5DE6" w:rsidRDefault="00CA5DE6" w:rsidP="00B60F4E">
      <w:pPr>
        <w:pStyle w:val="Bullet1GR"/>
      </w:pPr>
      <w:r w:rsidRPr="00CA5DE6">
        <w:t>запрос на передачу управления (человеко-машинный интерфейс (ЧМИ));</w:t>
      </w:r>
    </w:p>
    <w:p w:rsidR="00CA5DE6" w:rsidRPr="00CA5DE6" w:rsidRDefault="00CA5DE6" w:rsidP="00B60F4E">
      <w:pPr>
        <w:pStyle w:val="Bullet1GR"/>
        <w:rPr>
          <w:lang w:val="en-GB"/>
        </w:rPr>
      </w:pPr>
      <w:r w:rsidRPr="00CA5DE6">
        <w:t>распознавание готовности водителя;</w:t>
      </w:r>
    </w:p>
    <w:p w:rsidR="00CA5DE6" w:rsidRPr="00CA5DE6" w:rsidRDefault="00CA5DE6" w:rsidP="00B60F4E">
      <w:pPr>
        <w:pStyle w:val="Bullet1GR"/>
        <w:rPr>
          <w:lang w:val="en-GB"/>
        </w:rPr>
      </w:pPr>
      <w:r w:rsidRPr="00CA5DE6">
        <w:t>информация для водителя (ЧМИ);</w:t>
      </w:r>
    </w:p>
    <w:p w:rsidR="00CA5DE6" w:rsidRPr="00CA5DE6" w:rsidRDefault="00CA5DE6" w:rsidP="00B60F4E">
      <w:pPr>
        <w:pStyle w:val="Bullet1GR"/>
      </w:pPr>
      <w:r w:rsidRPr="00CA5DE6">
        <w:t>соблюдение требований к электронным системам (разработка комплексных электронных систем);</w:t>
      </w:r>
    </w:p>
    <w:p w:rsidR="00CA5DE6" w:rsidRPr="00CA5DE6" w:rsidRDefault="00CA5DE6" w:rsidP="00B60F4E">
      <w:pPr>
        <w:pStyle w:val="Bullet1GR"/>
      </w:pPr>
      <w:r w:rsidRPr="00CA5DE6">
        <w:t>положения о периодическом техническом осмотре;</w:t>
      </w:r>
    </w:p>
    <w:p w:rsidR="00CA5DE6" w:rsidRPr="00CA5DE6" w:rsidRDefault="00CA5DE6" w:rsidP="00B60F4E">
      <w:pPr>
        <w:pStyle w:val="Bullet1GR"/>
        <w:rPr>
          <w:lang w:val="en-GB"/>
        </w:rPr>
      </w:pPr>
      <w:r w:rsidRPr="00CA5DE6">
        <w:t>кибербезопасность;</w:t>
      </w:r>
    </w:p>
    <w:p w:rsidR="00CA5DE6" w:rsidRPr="00CA5DE6" w:rsidRDefault="00CA5DE6" w:rsidP="00B60F4E">
      <w:pPr>
        <w:pStyle w:val="Bullet1GR"/>
      </w:pPr>
      <w:r w:rsidRPr="00CA5DE6">
        <w:t>обновление программного обеспечения (включая беспроводную связь);</w:t>
      </w:r>
    </w:p>
    <w:p w:rsidR="00CA5DE6" w:rsidRPr="00CA5DE6" w:rsidRDefault="00CA5DE6" w:rsidP="00B60F4E">
      <w:pPr>
        <w:pStyle w:val="Bullet1GR"/>
      </w:pPr>
      <w:r w:rsidRPr="00CA5DE6">
        <w:t>системы хранения данных для автоматизированного вождения (СХДАВ);</w:t>
      </w:r>
    </w:p>
    <w:p w:rsidR="00CA5DE6" w:rsidRPr="00CA5DE6" w:rsidRDefault="00CA5DE6" w:rsidP="00B60F4E">
      <w:pPr>
        <w:pStyle w:val="Bullet1GR"/>
        <w:rPr>
          <w:lang w:val="en-GB"/>
        </w:rPr>
      </w:pPr>
      <w:r w:rsidRPr="00CA5DE6">
        <w:t>видимость в ночное время;</w:t>
      </w:r>
    </w:p>
    <w:p w:rsidR="00CA5DE6" w:rsidRPr="00CA5DE6" w:rsidRDefault="00CA5DE6" w:rsidP="00B60F4E">
      <w:pPr>
        <w:pStyle w:val="Bullet1GR"/>
      </w:pPr>
      <w:r w:rsidRPr="00CA5DE6">
        <w:t>предупреждение об объектах, движущихся в поперечном направлении сзади;</w:t>
      </w:r>
    </w:p>
    <w:p w:rsidR="00CA5DE6" w:rsidRPr="00CA5DE6" w:rsidRDefault="00CA5DE6" w:rsidP="00B60F4E">
      <w:pPr>
        <w:pStyle w:val="Bullet1GR"/>
      </w:pPr>
      <w:r w:rsidRPr="00CA5DE6">
        <w:t>обнаружение открытой двери в мертвой зоне;</w:t>
      </w:r>
    </w:p>
    <w:p w:rsidR="00CA5DE6" w:rsidRPr="00CA5DE6" w:rsidRDefault="00CA5DE6" w:rsidP="00B60F4E">
      <w:pPr>
        <w:pStyle w:val="Bullet1GR"/>
        <w:rPr>
          <w:lang w:val="en-GB"/>
        </w:rPr>
      </w:pPr>
      <w:r w:rsidRPr="00CA5DE6">
        <w:t>монитор кругового обзора.</w:t>
      </w:r>
    </w:p>
    <w:p w:rsidR="00CA5DE6" w:rsidRPr="00CA5DE6" w:rsidRDefault="00CA5DE6" w:rsidP="00CA5DE6">
      <w:pPr>
        <w:pStyle w:val="SingleTxtGR"/>
      </w:pPr>
      <w:r w:rsidRPr="00CA5DE6">
        <w:tab/>
        <w:t>Ожидается, что GRVA проинформирует WP.29 и AC.3 на их сессиях в ноябре 2018 года о ходе обсуждений GRVA по этому пункту повестки дня.</w:t>
      </w:r>
    </w:p>
    <w:p w:rsidR="00CA5DE6" w:rsidRPr="00CA5DE6" w:rsidRDefault="00CA5DE6" w:rsidP="00CA5DE6">
      <w:pPr>
        <w:pStyle w:val="H23GR"/>
      </w:pPr>
      <w:r w:rsidRPr="00CA5DE6">
        <w:tab/>
        <w:t>5.</w:t>
      </w:r>
      <w:r w:rsidRPr="00CA5DE6">
        <w:tab/>
        <w:t xml:space="preserve">Обмен мнениями по вопросу эффективности технологий, инновациям </w:t>
      </w:r>
      <w:r w:rsidR="00B60F4E">
        <w:br/>
      </w:r>
      <w:r w:rsidRPr="00CA5DE6">
        <w:t>и соответствующим национальным мероприятиям</w:t>
      </w:r>
    </w:p>
    <w:p w:rsidR="00CA5DE6" w:rsidRPr="00CA5DE6" w:rsidRDefault="00CA5DE6" w:rsidP="00CA5DE6">
      <w:pPr>
        <w:pStyle w:val="SingleTxtGR"/>
      </w:pPr>
      <w:r w:rsidRPr="00CA5DE6">
        <w:tab/>
        <w:t>GRVA, возможно, пожелает заслушать сообщения по обмену мнениями и информацией об эффективности технологий, инновациях и соответствующих национальных мероприятиях, если таковые будут представлены.</w:t>
      </w:r>
    </w:p>
    <w:p w:rsidR="00CA5DE6" w:rsidRPr="00CA5DE6" w:rsidRDefault="00CA5DE6" w:rsidP="00CA5DE6">
      <w:pPr>
        <w:pStyle w:val="SingleTxtGR"/>
      </w:pPr>
      <w:r w:rsidRPr="00CA5DE6">
        <w:tab/>
        <w:t>GRVA, возможно, пожелает обсудить в рамках этого пункта повестки дня любые вопросы, касающиеся подключенных и/или автоматизированных/автономных транспортных средств, которые на данном этапе необязательно будут связаны с нормативной деятельностью, если таковые имеются.</w:t>
      </w:r>
    </w:p>
    <w:p w:rsidR="00CA5DE6" w:rsidRPr="00CA5DE6" w:rsidRDefault="00CA5DE6" w:rsidP="00CA5DE6">
      <w:pPr>
        <w:pStyle w:val="H1GR"/>
      </w:pPr>
      <w:r w:rsidRPr="00CA5DE6">
        <w:tab/>
        <w:t>C.</w:t>
      </w:r>
      <w:r w:rsidRPr="00CA5DE6">
        <w:tab/>
        <w:t>Технические вопросы</w:t>
      </w:r>
    </w:p>
    <w:p w:rsidR="00CA5DE6" w:rsidRPr="00CA5DE6" w:rsidRDefault="00CA5DE6" w:rsidP="00CA5DE6">
      <w:pPr>
        <w:pStyle w:val="H23GR"/>
      </w:pPr>
      <w:r w:rsidRPr="00CA5DE6">
        <w:tab/>
        <w:t>6.</w:t>
      </w:r>
      <w:r w:rsidRPr="00CA5DE6">
        <w:tab/>
        <w:t>Автономные/автоматизированные и подключенные транспортные средства</w:t>
      </w:r>
    </w:p>
    <w:p w:rsidR="00CA5DE6" w:rsidRPr="00CA5DE6" w:rsidRDefault="00CA5DE6" w:rsidP="00B60F4E">
      <w:pPr>
        <w:pStyle w:val="H4GR"/>
      </w:pPr>
      <w:r w:rsidRPr="00CA5DE6">
        <w:tab/>
        <w:t>a)</w:t>
      </w:r>
      <w:r w:rsidRPr="00CA5DE6">
        <w:tab/>
        <w:t xml:space="preserve">Целевая группа по испытанию автоматизированных транспортных средств </w:t>
      </w:r>
      <w:r w:rsidR="00E4253E">
        <w:br/>
      </w:r>
      <w:r w:rsidRPr="00CA5DE6">
        <w:t>и ее подгруппы</w:t>
      </w:r>
    </w:p>
    <w:p w:rsidR="00CA5DE6" w:rsidRPr="00CA5DE6" w:rsidRDefault="00CA5DE6" w:rsidP="00CA5DE6">
      <w:pPr>
        <w:pStyle w:val="SingleTxtGR"/>
      </w:pPr>
      <w:r w:rsidRPr="00CA5DE6">
        <w:tab/>
        <w:t>На своей сессии в марте 2018 года Неофициальная рабочая группа (НРГ) по интеллектуальным транспортным системам/автоматизированному вождению (ИТС/АВ) обсудила необходимость создания целевой группы по испытанию автоматизированных транспортных средств и ее подгрупп. WP.29 согласился с предложениями НРГ (ECE/TRANS/WP.29/1137, пункт 30). В июне 2018 года целевая группа отчиталась перед НРГ о своей работе и представила проект круга ведения. WP.29 не стал утверждать круг ведения, передав этот вопрос на рассмотрение GRVA. GRVA, возможно, пожелает обсудить предложение о круге ведения Целевой группы по испытанию автоматизированных транспортных средств и ее подгрупп.</w:t>
      </w:r>
    </w:p>
    <w:p w:rsidR="00CA5DE6" w:rsidRPr="00CA5DE6" w:rsidRDefault="00CA5DE6" w:rsidP="00CA5DE6">
      <w:pPr>
        <w:pStyle w:val="SingleTxtGR"/>
      </w:pPr>
      <w:r w:rsidRPr="00CA5DE6">
        <w:tab/>
        <w:t>GRVA, возможно, пожелает ознакомиться с докладом о ходе работы целевой группы и ее подгрупп, если таковой будет представлен.</w:t>
      </w:r>
    </w:p>
    <w:p w:rsidR="00CA5DE6" w:rsidRPr="00CA5DE6" w:rsidRDefault="00CA5DE6" w:rsidP="00CA5DE6">
      <w:pPr>
        <w:pStyle w:val="SingleTxtGR"/>
      </w:pPr>
      <w:r w:rsidRPr="00CA5DE6">
        <w:lastRenderedPageBreak/>
        <w:tab/>
        <w:t>WP.29 с удовлетворением отметил документ WP.29-175-21 и передал его на рассмотрение Целевой группы по испытанию автоматизированных транспортных средств.</w:t>
      </w:r>
    </w:p>
    <w:p w:rsidR="00CA5DE6" w:rsidRPr="00CA5DE6" w:rsidRDefault="00CA5DE6" w:rsidP="00B60F4E">
      <w:pPr>
        <w:pStyle w:val="SingleTxtGR"/>
        <w:ind w:left="2835" w:hanging="1701"/>
        <w:jc w:val="left"/>
      </w:pPr>
      <w:r w:rsidRPr="00CA5DE6">
        <w:rPr>
          <w:b/>
          <w:bCs/>
        </w:rPr>
        <w:t>Документация</w:t>
      </w:r>
      <w:r w:rsidRPr="00CB1803">
        <w:rPr>
          <w:b/>
        </w:rPr>
        <w:t>:</w:t>
      </w:r>
      <w:r w:rsidRPr="00CA5DE6">
        <w:tab/>
        <w:t xml:space="preserve">ECE/TRANS/WP.29/1137, пункт 30 </w:t>
      </w:r>
      <w:r w:rsidR="00B60F4E">
        <w:br/>
      </w:r>
      <w:r w:rsidRPr="00CA5DE6">
        <w:t xml:space="preserve">ECE/TRANS/WP.29/1139, пункты 37–39 </w:t>
      </w:r>
      <w:r w:rsidR="00B60F4E">
        <w:br/>
      </w:r>
      <w:r w:rsidRPr="00CA5DE6">
        <w:t xml:space="preserve">неофициальный документ WP.29-175-21 </w:t>
      </w:r>
      <w:r w:rsidR="00B60F4E">
        <w:br/>
      </w:r>
      <w:r w:rsidRPr="00CA5DE6">
        <w:t>рабочие документы ITS/AD-15-04a-Rev.1 и ITS/AD-15-04b</w:t>
      </w:r>
    </w:p>
    <w:p w:rsidR="00CA5DE6" w:rsidRPr="00CA5DE6" w:rsidRDefault="00CA5DE6" w:rsidP="00B60F4E">
      <w:pPr>
        <w:pStyle w:val="H4GR"/>
      </w:pPr>
      <w:r w:rsidRPr="00CA5DE6">
        <w:tab/>
        <w:t>b)</w:t>
      </w:r>
      <w:r w:rsidRPr="00CA5DE6">
        <w:tab/>
        <w:t>Кибербезопасность и защита данных</w:t>
      </w:r>
    </w:p>
    <w:p w:rsidR="00CA5DE6" w:rsidRPr="00CA5DE6" w:rsidRDefault="00CA5DE6" w:rsidP="00CA5DE6">
      <w:pPr>
        <w:pStyle w:val="SingleTxtGR"/>
      </w:pPr>
      <w:r w:rsidRPr="00CA5DE6">
        <w:tab/>
        <w:t>В соответствии с решением WP.29 (ECE/TRANS/WP.29/1137, пункт 33) Целевая группа по вопросам кибербезопасности и беспроводной связи будет отчитываться перед GRVA. WP.29 согласился продлить мандат группы до декабря 2018 года.</w:t>
      </w:r>
    </w:p>
    <w:p w:rsidR="00CA5DE6" w:rsidRPr="00CA5DE6" w:rsidRDefault="00CA5DE6" w:rsidP="00CA5DE6">
      <w:pPr>
        <w:pStyle w:val="SingleTxtGR"/>
      </w:pPr>
      <w:r w:rsidRPr="00CA5DE6">
        <w:tab/>
        <w:t>GRVA, возможно, пожелает ознакомиться с докладом о ходе работы Целевой группы по вопросам кибербезопасности, если таковой будет представлен.</w:t>
      </w:r>
    </w:p>
    <w:p w:rsidR="00CA5DE6" w:rsidRPr="00CA5DE6" w:rsidRDefault="00CA5DE6" w:rsidP="00CA5DE6">
      <w:pPr>
        <w:pStyle w:val="SingleTxtGR"/>
      </w:pPr>
      <w:r w:rsidRPr="00CA5DE6">
        <w:tab/>
        <w:t>GRVA, возможно, пожелает отметить, что WP.29 принял руководящие положения о кибербезопасности и защите данных, содержащиеся в приложении к Сводной резолюции СР.3.</w:t>
      </w:r>
    </w:p>
    <w:p w:rsidR="00CA5DE6" w:rsidRPr="00CA5DE6" w:rsidRDefault="00CA5DE6" w:rsidP="00CA5DE6">
      <w:pPr>
        <w:pStyle w:val="SingleTxtGR"/>
      </w:pPr>
      <w:r w:rsidRPr="00CA5DE6">
        <w:rPr>
          <w:b/>
          <w:bCs/>
        </w:rPr>
        <w:t>Документация</w:t>
      </w:r>
      <w:r w:rsidRPr="002602D5">
        <w:rPr>
          <w:b/>
        </w:rPr>
        <w:t>:</w:t>
      </w:r>
      <w:r w:rsidRPr="00CA5DE6">
        <w:tab/>
        <w:t>ECE/TRANS/WP.29/78/Rev.6, приложение 6</w:t>
      </w:r>
    </w:p>
    <w:p w:rsidR="00CA5DE6" w:rsidRPr="00CA5DE6" w:rsidRDefault="00CA5DE6" w:rsidP="00B60F4E">
      <w:pPr>
        <w:pStyle w:val="H4GR"/>
      </w:pPr>
      <w:r w:rsidRPr="00CA5DE6">
        <w:tab/>
        <w:t>c)</w:t>
      </w:r>
      <w:r w:rsidRPr="00CA5DE6">
        <w:tab/>
        <w:t>Обновление программного обеспечения (включая беспроводную связь)</w:t>
      </w:r>
    </w:p>
    <w:p w:rsidR="00CA5DE6" w:rsidRPr="00CA5DE6" w:rsidRDefault="00CA5DE6" w:rsidP="00CA5DE6">
      <w:pPr>
        <w:pStyle w:val="SingleTxtGR"/>
      </w:pPr>
      <w:r w:rsidRPr="00CA5DE6">
        <w:tab/>
        <w:t>GRVA, возможно, пожелает ознакомиться с докладом о ходе работы по вопросам обновления программного обеспечения (включая беспроводную связь), если таковой будет представлен.</w:t>
      </w:r>
    </w:p>
    <w:p w:rsidR="00CA5DE6" w:rsidRPr="00CA5DE6" w:rsidRDefault="00CA5DE6" w:rsidP="00B60F4E">
      <w:pPr>
        <w:pStyle w:val="H4GR"/>
      </w:pPr>
      <w:r w:rsidRPr="00CA5DE6">
        <w:tab/>
        <w:t>d)</w:t>
      </w:r>
      <w:r w:rsidRPr="00CA5DE6">
        <w:tab/>
        <w:t>Автоматизированная функция рулевого управления</w:t>
      </w:r>
    </w:p>
    <w:p w:rsidR="00CA5DE6" w:rsidRPr="00CA5DE6" w:rsidRDefault="00CA5DE6" w:rsidP="00CA5DE6">
      <w:pPr>
        <w:pStyle w:val="SingleTxtGR"/>
      </w:pPr>
      <w:r w:rsidRPr="00CA5DE6">
        <w:tab/>
        <w:t xml:space="preserve">GRVA, возможно, пожелает ознакомиться с докладом о ходе работы НРГ по автоматизированным функциям рулевого управления (АФРУ) о деятельности, связанной с АФРУ категории B2. </w:t>
      </w:r>
    </w:p>
    <w:p w:rsidR="00CA5DE6" w:rsidRPr="00CA5DE6" w:rsidRDefault="00CA5DE6" w:rsidP="00CA5DE6">
      <w:pPr>
        <w:pStyle w:val="SingleTxtGR"/>
      </w:pPr>
      <w:r w:rsidRPr="00CA5DE6">
        <w:tab/>
        <w:t>GRVA, возможно, пожелает обсудить состояние системы хранения данных для автоматизированного вождения (СХДАВ) в соответствии с поручением WP.29 (ECE/TRANS/WP.29/1137, пункт 31).</w:t>
      </w:r>
    </w:p>
    <w:p w:rsidR="00CA5DE6" w:rsidRPr="00CA5DE6" w:rsidRDefault="00CA5DE6" w:rsidP="00CA5DE6">
      <w:pPr>
        <w:pStyle w:val="SingleTxtGR"/>
      </w:pPr>
      <w:r w:rsidRPr="00CA5DE6">
        <w:tab/>
        <w:t>GRVA, возможно, пожелает рассмотреть предложение, представленное экспертами от Международной организации предприятий автомобильной промышленности (МОПАП) и Европейской ассоциации поставщиков автомобильных деталей (КСАОД), с поправками к положениям, касающимся АФРУ категории C.</w:t>
      </w:r>
    </w:p>
    <w:p w:rsidR="00CA5DE6" w:rsidRPr="00CA5DE6" w:rsidRDefault="00CA5DE6" w:rsidP="00CA5DE6">
      <w:pPr>
        <w:pStyle w:val="SingleTxtGR"/>
      </w:pPr>
      <w:r w:rsidRPr="00CA5DE6">
        <w:rPr>
          <w:b/>
          <w:bCs/>
        </w:rPr>
        <w:t>Документация</w:t>
      </w:r>
      <w:r w:rsidRPr="002602D5">
        <w:rPr>
          <w:b/>
        </w:rPr>
        <w:t>:</w:t>
      </w:r>
      <w:r w:rsidRPr="00CA5DE6">
        <w:tab/>
        <w:t>ECE/TRANS/WP.29/GRVA/2018/2</w:t>
      </w:r>
    </w:p>
    <w:p w:rsidR="00CA5DE6" w:rsidRPr="00CA5DE6" w:rsidRDefault="00CA5DE6" w:rsidP="00B60F4E">
      <w:pPr>
        <w:pStyle w:val="H4GR"/>
      </w:pPr>
      <w:r w:rsidRPr="00CA5DE6">
        <w:tab/>
        <w:t>е)</w:t>
      </w:r>
      <w:r w:rsidRPr="00CA5DE6">
        <w:tab/>
        <w:t>Требования, касающиеся комплексных электронных систем контроля (КЭС)</w:t>
      </w:r>
    </w:p>
    <w:p w:rsidR="00CA5DE6" w:rsidRPr="00CA5DE6" w:rsidRDefault="00CA5DE6" w:rsidP="00CA5DE6">
      <w:pPr>
        <w:pStyle w:val="SingleTxtGR"/>
      </w:pPr>
      <w:r w:rsidRPr="00CA5DE6">
        <w:tab/>
        <w:t>GRVA, возможно, пожелает ознакомиться с докладом представителя Соединенного Королевства Великобритании и Северной Ирландии о деятельности, касающейся надежности систем, включая предложения о требованиях к комплексным электронным системам (КЭС) и соображения относительно испытаний и избыточности.</w:t>
      </w:r>
    </w:p>
    <w:p w:rsidR="00CA5DE6" w:rsidRPr="00CA5DE6" w:rsidRDefault="00CA5DE6" w:rsidP="00CA5DE6">
      <w:pPr>
        <w:pStyle w:val="H23GR"/>
      </w:pPr>
      <w:r w:rsidRPr="00CA5DE6">
        <w:tab/>
        <w:t>7.</w:t>
      </w:r>
      <w:r w:rsidRPr="00CA5DE6">
        <w:tab/>
        <w:t>Системы автоматического экстренного торможения</w:t>
      </w:r>
    </w:p>
    <w:p w:rsidR="00CA5DE6" w:rsidRPr="00CA5DE6" w:rsidRDefault="00CA5DE6" w:rsidP="00CA5DE6">
      <w:pPr>
        <w:pStyle w:val="SingleTxtGR"/>
      </w:pPr>
      <w:r w:rsidRPr="00CA5DE6">
        <w:tab/>
        <w:t>GRVA решила обсудить пересмотренное предложение по поправкам серии 03 к Правилам № 131 ООН, касающимся систем автоматического экстренного торможения (САЭТ), подготовленное экспертом от Германии.</w:t>
      </w:r>
    </w:p>
    <w:p w:rsidR="00CA5DE6" w:rsidRPr="00CA5DE6" w:rsidRDefault="00CA5DE6" w:rsidP="00CA5DE6">
      <w:pPr>
        <w:pStyle w:val="SingleTxtGR"/>
      </w:pPr>
      <w:r w:rsidRPr="00CA5DE6">
        <w:rPr>
          <w:b/>
          <w:bCs/>
        </w:rPr>
        <w:t>Документация</w:t>
      </w:r>
      <w:r w:rsidRPr="002602D5">
        <w:rPr>
          <w:b/>
        </w:rPr>
        <w:t>:</w:t>
      </w:r>
      <w:r w:rsidRPr="00CA5DE6">
        <w:tab/>
        <w:t>ECE/TRANS/WP.29/GRVA/2018/4</w:t>
      </w:r>
    </w:p>
    <w:p w:rsidR="00CA5DE6" w:rsidRPr="00CA5DE6" w:rsidRDefault="00CA5DE6" w:rsidP="00CA5DE6">
      <w:pPr>
        <w:pStyle w:val="SingleTxtGR"/>
      </w:pPr>
      <w:r w:rsidRPr="00CA5DE6">
        <w:tab/>
      </w:r>
      <w:r w:rsidR="00E4253E" w:rsidRPr="00CA5DE6">
        <w:t>GRVA</w:t>
      </w:r>
      <w:r w:rsidRPr="00CA5DE6">
        <w:t>, возможно, пожелает ознакомиться с докладом о ходе работы НРГ по САЭТ.</w:t>
      </w:r>
    </w:p>
    <w:p w:rsidR="00CA5DE6" w:rsidRPr="00CA5DE6" w:rsidRDefault="00CA5DE6" w:rsidP="00CA5DE6">
      <w:pPr>
        <w:pStyle w:val="SingleTxtGR"/>
      </w:pPr>
      <w:r w:rsidRPr="00CA5DE6">
        <w:rPr>
          <w:b/>
          <w:bCs/>
        </w:rPr>
        <w:t>Документация</w:t>
      </w:r>
      <w:r w:rsidRPr="002602D5">
        <w:rPr>
          <w:b/>
        </w:rPr>
        <w:t>:</w:t>
      </w:r>
      <w:r w:rsidRPr="00CA5DE6">
        <w:tab/>
        <w:t>GRVA-01-02</w:t>
      </w:r>
    </w:p>
    <w:p w:rsidR="00CA5DE6" w:rsidRPr="00CA5DE6" w:rsidRDefault="00CA5DE6" w:rsidP="00CA5DE6">
      <w:pPr>
        <w:pStyle w:val="H23GR"/>
      </w:pPr>
      <w:r w:rsidRPr="00CA5DE6">
        <w:lastRenderedPageBreak/>
        <w:tab/>
        <w:t>8.</w:t>
      </w:r>
      <w:r w:rsidRPr="00CA5DE6">
        <w:tab/>
        <w:t>Правила № 13, 13-H, 139 и 140 ООН</w:t>
      </w:r>
    </w:p>
    <w:p w:rsidR="00CA5DE6" w:rsidRPr="00CA5DE6" w:rsidRDefault="00CA5DE6" w:rsidP="00B60F4E">
      <w:pPr>
        <w:pStyle w:val="H4GR"/>
      </w:pPr>
      <w:r w:rsidRPr="00CA5DE6">
        <w:tab/>
        <w:t>a)</w:t>
      </w:r>
      <w:r w:rsidRPr="00CA5DE6">
        <w:tab/>
        <w:t>Электронный контроль устойчивости</w:t>
      </w:r>
    </w:p>
    <w:p w:rsidR="00CA5DE6" w:rsidRPr="00CA5DE6" w:rsidRDefault="00CA5DE6" w:rsidP="00CA5DE6">
      <w:pPr>
        <w:pStyle w:val="SingleTxtGR"/>
      </w:pPr>
      <w:r w:rsidRPr="00CA5DE6">
        <w:tab/>
        <w:t>GRVA, как ожидается, рассмотрит неофициальный документ WP.29-175-05 в соответствии с поручением июньской сессии WP.29 2018 года.</w:t>
      </w:r>
    </w:p>
    <w:p w:rsidR="00CA5DE6" w:rsidRPr="00CA5DE6" w:rsidRDefault="00CA5DE6" w:rsidP="00CA5DE6">
      <w:pPr>
        <w:pStyle w:val="SingleTxtGR"/>
      </w:pPr>
      <w:r w:rsidRPr="00CA5DE6">
        <w:rPr>
          <w:b/>
          <w:bCs/>
        </w:rPr>
        <w:t>Документация</w:t>
      </w:r>
      <w:r w:rsidRPr="00CB1803">
        <w:rPr>
          <w:b/>
        </w:rPr>
        <w:t>:</w:t>
      </w:r>
      <w:r w:rsidRPr="00CA5DE6">
        <w:tab/>
        <w:t>неофициальный документ WP.29-175-05</w:t>
      </w:r>
    </w:p>
    <w:p w:rsidR="00CA5DE6" w:rsidRPr="00CA5DE6" w:rsidRDefault="00CA5DE6" w:rsidP="00B60F4E">
      <w:pPr>
        <w:pStyle w:val="H4GR"/>
      </w:pPr>
      <w:r w:rsidRPr="00CA5DE6">
        <w:tab/>
        <w:t>b)</w:t>
      </w:r>
      <w:r w:rsidRPr="00CA5DE6">
        <w:tab/>
        <w:t>Составы модульных транспортных средств</w:t>
      </w:r>
    </w:p>
    <w:p w:rsidR="00CA5DE6" w:rsidRPr="00CA5DE6" w:rsidRDefault="00CA5DE6" w:rsidP="00CA5DE6">
      <w:pPr>
        <w:pStyle w:val="SingleTxtGR"/>
      </w:pPr>
      <w:r w:rsidRPr="00CA5DE6">
        <w:tab/>
        <w:t>GRVA, возможно, пожелает рассмотреть доклад о ходе работы и предложение, если таковые будут представлены, связанные с деятельностью НРГ по вопросу о составах модульных транспортных средств (СМТС). GRVA предлагается принять к сведению, что на своей сессии в марте 2017 года WP.29 продлил мандат НРГ до февраля 2019 года.</w:t>
      </w:r>
    </w:p>
    <w:p w:rsidR="00CA5DE6" w:rsidRPr="00CA5DE6" w:rsidRDefault="00CA5DE6" w:rsidP="00B60F4E">
      <w:pPr>
        <w:pStyle w:val="H4GR"/>
      </w:pPr>
      <w:r w:rsidRPr="00CA5DE6">
        <w:tab/>
        <w:t>c)</w:t>
      </w:r>
      <w:r w:rsidRPr="00CA5DE6">
        <w:tab/>
        <w:t>Уточнения</w:t>
      </w:r>
    </w:p>
    <w:p w:rsidR="00CA5DE6" w:rsidRPr="00CA5DE6" w:rsidRDefault="00CA5DE6" w:rsidP="00CA5DE6">
      <w:pPr>
        <w:pStyle w:val="SingleTxtGR"/>
      </w:pPr>
      <w:r w:rsidRPr="00CA5DE6">
        <w:tab/>
        <w:t>GRVA, как ожидается, рассмотрит неофициальный документ WP.29-175-0</w:t>
      </w:r>
      <w:r w:rsidR="00CB1803" w:rsidRPr="00CB1803">
        <w:t>4</w:t>
      </w:r>
      <w:r w:rsidRPr="00CA5DE6">
        <w:t xml:space="preserve"> в соответствии с поручением июньской сессии WP.29 2018 года.</w:t>
      </w:r>
    </w:p>
    <w:p w:rsidR="00CA5DE6" w:rsidRPr="00CA5DE6" w:rsidRDefault="00CA5DE6" w:rsidP="00CA5DE6">
      <w:pPr>
        <w:pStyle w:val="SingleTxtGR"/>
      </w:pPr>
      <w:r w:rsidRPr="00CA5DE6">
        <w:rPr>
          <w:b/>
          <w:bCs/>
        </w:rPr>
        <w:t>Документация</w:t>
      </w:r>
      <w:r w:rsidRPr="00CB1803">
        <w:rPr>
          <w:b/>
        </w:rPr>
        <w:t>:</w:t>
      </w:r>
      <w:r w:rsidRPr="00CA5DE6">
        <w:tab/>
        <w:t>неофициальный документ WP.29-175-04</w:t>
      </w:r>
    </w:p>
    <w:p w:rsidR="00CA5DE6" w:rsidRPr="00CA5DE6" w:rsidRDefault="00CA5DE6" w:rsidP="00B60F4E">
      <w:pPr>
        <w:pStyle w:val="H4GR"/>
      </w:pPr>
      <w:r w:rsidRPr="00CA5DE6">
        <w:tab/>
        <w:t>d)</w:t>
      </w:r>
      <w:r w:rsidRPr="00CA5DE6">
        <w:tab/>
        <w:t>Прочие вопросы</w:t>
      </w:r>
    </w:p>
    <w:p w:rsidR="00CA5DE6" w:rsidRPr="00CA5DE6" w:rsidRDefault="00CA5DE6" w:rsidP="00CA5DE6">
      <w:pPr>
        <w:pStyle w:val="SingleTxtGR"/>
      </w:pPr>
      <w:r w:rsidRPr="00CA5DE6">
        <w:tab/>
        <w:t>GRVA, возможно, пожелает рассмотреть любое другое предложение по поправкам к правилам № 13, 13-Н, 139 и 140 ООН, если таковое будет представлено.</w:t>
      </w:r>
    </w:p>
    <w:p w:rsidR="00CA5DE6" w:rsidRPr="00CA5DE6" w:rsidRDefault="00CA5DE6" w:rsidP="00CA5DE6">
      <w:pPr>
        <w:pStyle w:val="H23GR"/>
      </w:pPr>
      <w:r w:rsidRPr="00CA5DE6">
        <w:tab/>
        <w:t>9.</w:t>
      </w:r>
      <w:r w:rsidRPr="00CA5DE6">
        <w:tab/>
        <w:t>Тормозные системы мотоциклов</w:t>
      </w:r>
    </w:p>
    <w:p w:rsidR="00CA5DE6" w:rsidRPr="00CA5DE6" w:rsidRDefault="00CA5DE6" w:rsidP="00B60F4E">
      <w:pPr>
        <w:pStyle w:val="H4GR"/>
      </w:pPr>
      <w:r w:rsidRPr="00CA5DE6">
        <w:tab/>
        <w:t>a)</w:t>
      </w:r>
      <w:r w:rsidRPr="00CA5DE6">
        <w:tab/>
        <w:t>Глобальные технические правила № 3 ООН</w:t>
      </w:r>
    </w:p>
    <w:p w:rsidR="00CA5DE6" w:rsidRPr="00CA5DE6" w:rsidRDefault="00CA5DE6" w:rsidP="00CA5DE6">
      <w:pPr>
        <w:pStyle w:val="SingleTxtGR"/>
      </w:pPr>
      <w:r w:rsidRPr="00CA5DE6">
        <w:tab/>
        <w:t>GRVA, как ожидается, обсудит пересмотренное предложение по поправкам к ГТП № 3 ООН (тормозные системы мотоциклов), представленное экспертом от Италии.</w:t>
      </w:r>
    </w:p>
    <w:p w:rsidR="00CA5DE6" w:rsidRPr="00CA5DE6" w:rsidRDefault="00CA5DE6" w:rsidP="00CA5DE6">
      <w:pPr>
        <w:pStyle w:val="SingleTxtGR"/>
        <w:rPr>
          <w:b/>
          <w:bCs/>
        </w:rPr>
      </w:pPr>
      <w:r w:rsidRPr="00CA5DE6">
        <w:rPr>
          <w:b/>
          <w:bCs/>
        </w:rPr>
        <w:t>Документация</w:t>
      </w:r>
      <w:r w:rsidRPr="00CB1803">
        <w:rPr>
          <w:b/>
        </w:rPr>
        <w:t>:</w:t>
      </w:r>
      <w:r w:rsidRPr="00CA5DE6">
        <w:tab/>
        <w:t>ECE/TRANS/WP.29/GRVA/2018/9</w:t>
      </w:r>
    </w:p>
    <w:p w:rsidR="00CA5DE6" w:rsidRPr="00CA5DE6" w:rsidRDefault="00CA5DE6" w:rsidP="00B60F4E">
      <w:pPr>
        <w:pStyle w:val="H4GR"/>
      </w:pPr>
      <w:r w:rsidRPr="00CA5DE6">
        <w:tab/>
        <w:t>b)</w:t>
      </w:r>
      <w:r w:rsidRPr="00CA5DE6">
        <w:tab/>
        <w:t>Правила № 78 ООН</w:t>
      </w:r>
    </w:p>
    <w:p w:rsidR="00CA5DE6" w:rsidRPr="00CA5DE6" w:rsidRDefault="00CA5DE6" w:rsidP="00CA5DE6">
      <w:pPr>
        <w:pStyle w:val="SingleTxtGR"/>
      </w:pPr>
      <w:r w:rsidRPr="00CA5DE6">
        <w:tab/>
        <w:t>GRVA, как ожидается, обсудит пересмотренное предложение эксперта от Международной ассоциации заводов</w:t>
      </w:r>
      <w:r w:rsidR="00E4253E">
        <w:t xml:space="preserve"> – </w:t>
      </w:r>
      <w:r w:rsidRPr="00CA5DE6">
        <w:t>изготовителей мотоциклов (МАЗМ), содержащее положения о включении сигналов торможения.</w:t>
      </w:r>
    </w:p>
    <w:p w:rsidR="00CA5DE6" w:rsidRPr="00CA5DE6" w:rsidRDefault="00CA5DE6" w:rsidP="00CA5DE6">
      <w:pPr>
        <w:pStyle w:val="SingleTxtGR"/>
      </w:pPr>
      <w:r w:rsidRPr="00CA5DE6">
        <w:rPr>
          <w:b/>
          <w:bCs/>
        </w:rPr>
        <w:t>Документация</w:t>
      </w:r>
      <w:r w:rsidRPr="00CB1803">
        <w:rPr>
          <w:b/>
        </w:rPr>
        <w:t>:</w:t>
      </w:r>
      <w:r w:rsidRPr="00CA5DE6">
        <w:tab/>
        <w:t>(неофициальный документ GRRF-8</w:t>
      </w:r>
      <w:r w:rsidR="00E4253E">
        <w:t>6</w:t>
      </w:r>
      <w:r w:rsidRPr="00CA5DE6">
        <w:t>-35)</w:t>
      </w:r>
    </w:p>
    <w:p w:rsidR="00CA5DE6" w:rsidRPr="00CA5DE6" w:rsidRDefault="00CA5DE6" w:rsidP="00CA5DE6">
      <w:pPr>
        <w:pStyle w:val="H23GR"/>
      </w:pPr>
      <w:r w:rsidRPr="00CA5DE6">
        <w:tab/>
        <w:t>10.</w:t>
      </w:r>
      <w:r w:rsidRPr="00CA5DE6">
        <w:tab/>
        <w:t>Правила № 79 ООН</w:t>
      </w:r>
    </w:p>
    <w:p w:rsidR="00CA5DE6" w:rsidRPr="00CA5DE6" w:rsidRDefault="00CA5DE6" w:rsidP="00CA5DE6">
      <w:pPr>
        <w:pStyle w:val="SingleTxtGR"/>
      </w:pPr>
      <w:r w:rsidRPr="00CA5DE6">
        <w:tab/>
        <w:t>GRVA, как ожидается, рассмотрит предложение эксперта от Соединенного Королевства Великобритании и Северной Ирландии, содержащее положения для систем дистанционного маневрирования (СДМ).</w:t>
      </w:r>
    </w:p>
    <w:p w:rsidR="00CA5DE6" w:rsidRPr="00CA5DE6" w:rsidRDefault="00CA5DE6" w:rsidP="00CA5DE6">
      <w:pPr>
        <w:pStyle w:val="SingleTxtGR"/>
      </w:pPr>
      <w:r w:rsidRPr="00CA5DE6">
        <w:rPr>
          <w:b/>
          <w:bCs/>
        </w:rPr>
        <w:t>Документация</w:t>
      </w:r>
      <w:r w:rsidRPr="00CB1803">
        <w:rPr>
          <w:b/>
        </w:rPr>
        <w:t>:</w:t>
      </w:r>
      <w:r w:rsidRPr="00CA5DE6">
        <w:tab/>
        <w:t>ECE/TRANS/WP.29/GRVA/2018/3</w:t>
      </w:r>
    </w:p>
    <w:p w:rsidR="00CA5DE6" w:rsidRPr="00CA5DE6" w:rsidRDefault="00CA5DE6" w:rsidP="00CA5DE6">
      <w:pPr>
        <w:pStyle w:val="SingleTxtGR"/>
      </w:pPr>
      <w:r w:rsidRPr="00CA5DE6">
        <w:tab/>
        <w:t>GRVA, возможно, пожелает рассмотреть предложения по поправкам к Правилам № 79 ООН, если таковые будут представлены.</w:t>
      </w:r>
    </w:p>
    <w:p w:rsidR="00CA5DE6" w:rsidRPr="00CA5DE6" w:rsidRDefault="00CA5DE6" w:rsidP="00CA5DE6">
      <w:pPr>
        <w:pStyle w:val="H23GR"/>
      </w:pPr>
      <w:r w:rsidRPr="00CA5DE6">
        <w:tab/>
        <w:t>11.</w:t>
      </w:r>
      <w:r w:rsidRPr="00CA5DE6">
        <w:tab/>
        <w:t>Правила № 89 ООН</w:t>
      </w:r>
    </w:p>
    <w:p w:rsidR="00CA5DE6" w:rsidRPr="00CA5DE6" w:rsidRDefault="00CA5DE6" w:rsidP="00CA5DE6">
      <w:pPr>
        <w:pStyle w:val="SingleTxtGR"/>
      </w:pPr>
      <w:r w:rsidRPr="00CA5DE6">
        <w:tab/>
        <w:t>GRVA, возможно, пожелает рассмотреть предложения по поправкам к Правилам № 89 ООН, если таковые будут представлены.</w:t>
      </w:r>
    </w:p>
    <w:p w:rsidR="00CA5DE6" w:rsidRPr="00CA5DE6" w:rsidRDefault="00CA5DE6" w:rsidP="00CA5DE6">
      <w:pPr>
        <w:pStyle w:val="H23GR"/>
      </w:pPr>
      <w:r w:rsidRPr="00CA5DE6">
        <w:lastRenderedPageBreak/>
        <w:tab/>
        <w:t>12.</w:t>
      </w:r>
      <w:r w:rsidRPr="00CA5DE6">
        <w:tab/>
        <w:t>Правила № 90 ООН</w:t>
      </w:r>
    </w:p>
    <w:p w:rsidR="00CA5DE6" w:rsidRPr="00CA5DE6" w:rsidRDefault="00CA5DE6" w:rsidP="00CA5DE6">
      <w:pPr>
        <w:pStyle w:val="SingleTxtGR"/>
      </w:pPr>
      <w:r w:rsidRPr="00CA5DE6">
        <w:tab/>
        <w:t>GRVA, возможно, пожелает рассмотреть предложение эксперта от Испании, руководящего работой специальной группы заинтер</w:t>
      </w:r>
      <w:r w:rsidR="00E4253E">
        <w:t>есованных экспертов по Правилам </w:t>
      </w:r>
      <w:r w:rsidRPr="00CA5DE6">
        <w:t>№ 90 ООН.</w:t>
      </w:r>
    </w:p>
    <w:p w:rsidR="00CA5DE6" w:rsidRPr="00CA5DE6" w:rsidRDefault="00CA5DE6" w:rsidP="00CA5DE6">
      <w:pPr>
        <w:pStyle w:val="SingleTxtGR"/>
      </w:pPr>
      <w:r w:rsidRPr="00CA5DE6">
        <w:rPr>
          <w:b/>
          <w:bCs/>
        </w:rPr>
        <w:t>Документация</w:t>
      </w:r>
      <w:r w:rsidRPr="00CB1803">
        <w:rPr>
          <w:b/>
        </w:rPr>
        <w:t>:</w:t>
      </w:r>
      <w:r w:rsidRPr="00CA5DE6">
        <w:tab/>
        <w:t>(неофициальный документ GRRF-86-41)</w:t>
      </w:r>
    </w:p>
    <w:p w:rsidR="00CA5DE6" w:rsidRPr="00CA5DE6" w:rsidRDefault="00CA5DE6" w:rsidP="00CA5DE6">
      <w:pPr>
        <w:pStyle w:val="SingleTxtGR"/>
      </w:pPr>
      <w:r w:rsidRPr="00CA5DE6">
        <w:tab/>
        <w:t xml:space="preserve">GRVA, возможно, пожелает возобновить обсуждение, начатое на восемьдесят шестой сессии GRRF с целью прояснить несоответствия в дополнении 3 к поправкам серии 02 к Правилам № 90 ООН ввиду одновременного принятия документов ECE/TRANS/WP.29/GRRF/2014/23/Rev.2, а также ECE/TRANS/WP.29/GRRF/2015/22 и ECE/TRANS/WP.29/GRRF/2016/22 с несовместимыми положениями. </w:t>
      </w:r>
    </w:p>
    <w:p w:rsidR="00CA5DE6" w:rsidRPr="00CA5DE6" w:rsidRDefault="00CA5DE6" w:rsidP="00CA5DE6">
      <w:pPr>
        <w:pStyle w:val="SingleTxtGR"/>
      </w:pPr>
      <w:r w:rsidRPr="00CA5DE6">
        <w:rPr>
          <w:b/>
          <w:bCs/>
        </w:rPr>
        <w:t>Документация</w:t>
      </w:r>
      <w:r w:rsidRPr="00CB1803">
        <w:rPr>
          <w:b/>
        </w:rPr>
        <w:t>:</w:t>
      </w:r>
      <w:r w:rsidRPr="00CA5DE6">
        <w:tab/>
        <w:t>(неофициальный документ GR</w:t>
      </w:r>
      <w:r w:rsidR="00E4253E">
        <w:rPr>
          <w:lang w:val="en-US"/>
        </w:rPr>
        <w:t>RF</w:t>
      </w:r>
      <w:r w:rsidRPr="00CA5DE6">
        <w:t>-</w:t>
      </w:r>
      <w:r w:rsidR="00E4253E" w:rsidRPr="00E4253E">
        <w:t>86</w:t>
      </w:r>
      <w:r w:rsidRPr="00CA5DE6">
        <w:t>-</w:t>
      </w:r>
      <w:r w:rsidR="00E4253E" w:rsidRPr="00E4253E">
        <w:t>4</w:t>
      </w:r>
      <w:r w:rsidRPr="00CA5DE6">
        <w:t>0-Rev.1)</w:t>
      </w:r>
    </w:p>
    <w:p w:rsidR="00CA5DE6" w:rsidRPr="00CA5DE6" w:rsidRDefault="00CA5DE6" w:rsidP="00CA5DE6">
      <w:pPr>
        <w:pStyle w:val="H23GR"/>
      </w:pPr>
      <w:r w:rsidRPr="00CA5DE6">
        <w:tab/>
        <w:t>13.</w:t>
      </w:r>
      <w:r w:rsidRPr="00CA5DE6">
        <w:tab/>
        <w:t>Пересмотр 3 Соглашения 1958 года</w:t>
      </w:r>
    </w:p>
    <w:p w:rsidR="00CA5DE6" w:rsidRPr="00CA5DE6" w:rsidRDefault="00CA5DE6" w:rsidP="00B60F4E">
      <w:pPr>
        <w:pStyle w:val="H4GR"/>
      </w:pPr>
      <w:r w:rsidRPr="00CA5DE6">
        <w:tab/>
        <w:t>a)</w:t>
      </w:r>
      <w:r w:rsidRPr="00CA5DE6">
        <w:tab/>
        <w:t>Осуществление новых положений Пересмотра 3 Соглашения 1958 года</w:t>
      </w:r>
    </w:p>
    <w:p w:rsidR="00CA5DE6" w:rsidRPr="00CA5DE6" w:rsidRDefault="00CA5DE6" w:rsidP="00CA5DE6">
      <w:pPr>
        <w:pStyle w:val="SingleTxtGR"/>
      </w:pPr>
      <w:r w:rsidRPr="00CA5DE6">
        <w:tab/>
        <w:t>GRVA, возможно, пожелает обсудить шаги, связанные с осуществлением новых положений, содержащихся в Пересмотре 3 Соглашения 1958 года, и касающиеся следующего:</w:t>
      </w:r>
    </w:p>
    <w:p w:rsidR="00CA5DE6" w:rsidRPr="00CA5DE6" w:rsidRDefault="00B60F4E" w:rsidP="00B60F4E">
      <w:pPr>
        <w:pStyle w:val="Bullet1GR"/>
        <w:rPr>
          <w:lang w:val="en-GB"/>
        </w:rPr>
      </w:pPr>
      <w:r>
        <w:t>«</w:t>
      </w:r>
      <w:r w:rsidR="00CA5DE6" w:rsidRPr="00CA5DE6">
        <w:t>уникальный идентификатор</w:t>
      </w:r>
      <w:r>
        <w:t>»</w:t>
      </w:r>
    </w:p>
    <w:p w:rsidR="00CA5DE6" w:rsidRPr="00CA5DE6" w:rsidRDefault="00CA5DE6" w:rsidP="00CA5DE6">
      <w:pPr>
        <w:pStyle w:val="SingleTxtGR"/>
      </w:pPr>
      <w:r w:rsidRPr="00CA5DE6">
        <w:tab/>
        <w:t xml:space="preserve">GRVA, возможно, пожелает уточнить, нужно ли в некоторых правилах, относящихся к ее ведению, прямо запретить использование </w:t>
      </w:r>
      <w:r w:rsidR="00B60F4E">
        <w:t>«</w:t>
      </w:r>
      <w:r w:rsidRPr="00CA5DE6">
        <w:t>уникального идентификатора</w:t>
      </w:r>
      <w:r w:rsidR="00B60F4E">
        <w:t>»</w:t>
      </w:r>
      <w:r w:rsidRPr="00CA5DE6">
        <w:t>, предусмотренного в Пересмотре 3 Соглашения 1958 года.</w:t>
      </w:r>
    </w:p>
    <w:p w:rsidR="00CA5DE6" w:rsidRPr="00B60F4E" w:rsidRDefault="00CA5DE6" w:rsidP="00B60F4E">
      <w:pPr>
        <w:pStyle w:val="Bullet1GR"/>
      </w:pPr>
      <w:r w:rsidRPr="00CA5DE6">
        <w:t>Номера и маркировка официального утверждения</w:t>
      </w:r>
    </w:p>
    <w:p w:rsidR="00CA5DE6" w:rsidRPr="00CA5DE6" w:rsidRDefault="00CA5DE6" w:rsidP="00CA5DE6">
      <w:pPr>
        <w:pStyle w:val="SingleTxtGR"/>
        <w:rPr>
          <w:lang w:val="en-GB"/>
        </w:rPr>
      </w:pPr>
      <w:r w:rsidRPr="00CA5DE6">
        <w:tab/>
        <w:t>GRVA, возможно, пожелает определить план действий для согласования положений, касающихся номеров и маркировки официального утверждения, в соответствии с положениями приложения 4 к Соглашению 1958 года.</w:t>
      </w:r>
    </w:p>
    <w:p w:rsidR="00CA5DE6" w:rsidRPr="00CA5DE6" w:rsidRDefault="00CA5DE6" w:rsidP="00B60F4E">
      <w:pPr>
        <w:pStyle w:val="Bullet1GR"/>
        <w:rPr>
          <w:lang w:val="en-GB"/>
        </w:rPr>
      </w:pPr>
      <w:r w:rsidRPr="00CA5DE6">
        <w:t>Переходные положения в правилах ООН</w:t>
      </w:r>
    </w:p>
    <w:p w:rsidR="00CA5DE6" w:rsidRPr="00CA5DE6" w:rsidRDefault="00CA5DE6" w:rsidP="00CA5DE6">
      <w:pPr>
        <w:pStyle w:val="SingleTxtGR"/>
      </w:pPr>
      <w:r w:rsidRPr="00CA5DE6">
        <w:tab/>
        <w:t>GRVA, возможно, пожелает определить план действий для согласования переходных положений в правилах ООН в соответствии с положениями</w:t>
      </w:r>
      <w:r w:rsidR="00E4253E">
        <w:t xml:space="preserve"> Соглашения 1958 года, например</w:t>
      </w:r>
      <w:r w:rsidRPr="00CA5DE6">
        <w:t xml:space="preserve"> возможность предоставления официального утверждения типа на основании предыдущих вариантов правил ООН.</w:t>
      </w:r>
    </w:p>
    <w:p w:rsidR="00CA5DE6" w:rsidRPr="00CA5DE6" w:rsidRDefault="00CA5DE6" w:rsidP="00B60F4E">
      <w:pPr>
        <w:pStyle w:val="Bullet1GR"/>
        <w:rPr>
          <w:lang w:val="en-GB"/>
        </w:rPr>
      </w:pPr>
      <w:r w:rsidRPr="00CA5DE6">
        <w:t>Статья 12.6 и приложение 7</w:t>
      </w:r>
    </w:p>
    <w:p w:rsidR="00CA5DE6" w:rsidRPr="00CA5DE6" w:rsidRDefault="00CA5DE6" w:rsidP="00CA5DE6">
      <w:pPr>
        <w:pStyle w:val="SingleTxtGR"/>
      </w:pPr>
      <w:r w:rsidRPr="00CA5DE6">
        <w:tab/>
        <w:t>GRVA, возможно, пожелает принять к сведени</w:t>
      </w:r>
      <w:r w:rsidR="00E4253E">
        <w:t>ю цель статьи 12.6 и приложения </w:t>
      </w:r>
      <w:r w:rsidRPr="00CA5DE6">
        <w:t>7 в отношении официального утверждения инновационных решений.</w:t>
      </w:r>
    </w:p>
    <w:p w:rsidR="00CA5DE6" w:rsidRPr="00CA5DE6" w:rsidRDefault="00CA5DE6" w:rsidP="00B60F4E">
      <w:pPr>
        <w:pStyle w:val="Bullet1GR"/>
        <w:rPr>
          <w:lang w:val="en-GB"/>
        </w:rPr>
      </w:pPr>
      <w:r w:rsidRPr="00CA5DE6">
        <w:t>Процедуры соответствия производства</w:t>
      </w:r>
    </w:p>
    <w:p w:rsidR="00CA5DE6" w:rsidRPr="00CA5DE6" w:rsidRDefault="00CA5DE6" w:rsidP="00CA5DE6">
      <w:pPr>
        <w:pStyle w:val="SingleTxtGR"/>
      </w:pPr>
      <w:r w:rsidRPr="00CA5DE6">
        <w:tab/>
        <w:t>GRVA, возможно, пожелает определить план действий для согласования положений о соответствии производства в правилах ООН, руководствуясь положениями Соглашения 1958 года (например, изменить ссылки в правилах ООН с учетом соответствующих действующих положений).</w:t>
      </w:r>
    </w:p>
    <w:p w:rsidR="00CA5DE6" w:rsidRPr="00CA5DE6" w:rsidRDefault="00CA5DE6" w:rsidP="00B60F4E">
      <w:pPr>
        <w:pStyle w:val="H4GR"/>
      </w:pPr>
      <w:r w:rsidRPr="00CA5DE6">
        <w:tab/>
        <w:t>b)</w:t>
      </w:r>
      <w:r w:rsidRPr="00CA5DE6">
        <w:tab/>
        <w:t>Международное официальное утверждение типа комплектного транспортного средства</w:t>
      </w:r>
    </w:p>
    <w:p w:rsidR="00CA5DE6" w:rsidRPr="00CA5DE6" w:rsidRDefault="00CA5DE6" w:rsidP="00CA5DE6">
      <w:pPr>
        <w:pStyle w:val="SingleTxtGR"/>
      </w:pPr>
      <w:r w:rsidRPr="00CA5DE6">
        <w:tab/>
        <w:t>GRVA, возможно, пожелает ознакомиться с докладом о ходе работы НРГ по международному официальному утверждению типа комплектного транспортного средства (МОУТКТС) и деятельности ее подгрупп, если таковой будет представлен.</w:t>
      </w:r>
    </w:p>
    <w:p w:rsidR="00CA5DE6" w:rsidRPr="00CA5DE6" w:rsidRDefault="00CA5DE6" w:rsidP="00CA5DE6">
      <w:pPr>
        <w:pStyle w:val="SingleTxtGR"/>
      </w:pPr>
      <w:r w:rsidRPr="00CA5DE6">
        <w:tab/>
        <w:t xml:space="preserve">GRVA поручено рассмотреть предложение НРГ по МОУТКТС для возможного изменения нумерации официального утверждения в правилах ООН № 37, 90, 99, 108, 109, 117 и 128, с тем чтобы привести ее в соответствие с приложением 4 к Соглашению 1958 года. </w:t>
      </w:r>
    </w:p>
    <w:p w:rsidR="00CA5DE6" w:rsidRPr="00CA5DE6" w:rsidRDefault="00CA5DE6" w:rsidP="00CA5DE6">
      <w:pPr>
        <w:pStyle w:val="H23GR"/>
      </w:pPr>
      <w:r w:rsidRPr="00CA5DE6">
        <w:lastRenderedPageBreak/>
        <w:tab/>
        <w:t>14.</w:t>
      </w:r>
      <w:r w:rsidRPr="00CA5DE6">
        <w:tab/>
        <w:t xml:space="preserve">Оставшиеся мероприятия прежней Рабочей группы по вопросам торможения </w:t>
      </w:r>
      <w:r w:rsidR="00E4253E">
        <w:br/>
      </w:r>
      <w:r w:rsidRPr="00CA5DE6">
        <w:t>и ходо</w:t>
      </w:r>
      <w:r w:rsidR="00E4253E">
        <w:t>вой части (период передачи дел)</w:t>
      </w:r>
    </w:p>
    <w:p w:rsidR="00CA5DE6" w:rsidRPr="00CA5DE6" w:rsidRDefault="00CA5DE6" w:rsidP="00B60F4E">
      <w:pPr>
        <w:pStyle w:val="H4GR"/>
      </w:pPr>
      <w:r w:rsidRPr="00CA5DE6">
        <w:tab/>
        <w:t>a)</w:t>
      </w:r>
      <w:r w:rsidRPr="00CA5DE6">
        <w:tab/>
        <w:t>Шины</w:t>
      </w:r>
    </w:p>
    <w:p w:rsidR="00CA5DE6" w:rsidRPr="00CA5DE6" w:rsidRDefault="00CA5DE6" w:rsidP="00CA5DE6">
      <w:pPr>
        <w:pStyle w:val="SingleTxtGR"/>
      </w:pPr>
      <w:r w:rsidRPr="00CA5DE6">
        <w:tab/>
        <w:t xml:space="preserve">GRVA (прежняя GRRF), возможно, пожелает ознакомиться с докладом о ходе работы НРГ по шинам, касающейся поправок к ГТП № 16 ООН. GRVA, возможно, пожелает возобновить обсуждение на основе меморандума, подготовленного и представленного экспертом от Российской Федерации на восемьдесят шестой сессии GRRF. </w:t>
      </w:r>
    </w:p>
    <w:p w:rsidR="00CA5DE6" w:rsidRPr="00CA5DE6" w:rsidRDefault="00CA5DE6" w:rsidP="00CA5DE6">
      <w:pPr>
        <w:pStyle w:val="SingleTxtGR"/>
      </w:pPr>
      <w:r w:rsidRPr="00CA5DE6">
        <w:rPr>
          <w:b/>
          <w:bCs/>
        </w:rPr>
        <w:t>Документация</w:t>
      </w:r>
      <w:r w:rsidRPr="00CB1803">
        <w:rPr>
          <w:b/>
        </w:rPr>
        <w:t>:</w:t>
      </w:r>
      <w:r w:rsidRPr="00CA5DE6">
        <w:tab/>
        <w:t>(неофициальный документ GRRF-86-22)</w:t>
      </w:r>
    </w:p>
    <w:p w:rsidR="00CA5DE6" w:rsidRPr="00CA5DE6" w:rsidRDefault="00CA5DE6" w:rsidP="00CA5DE6">
      <w:pPr>
        <w:pStyle w:val="SingleTxtGR"/>
      </w:pPr>
      <w:r w:rsidRPr="00CA5DE6">
        <w:tab/>
        <w:t>GRRF сохранила в своей повестке дня документы ECE/TRANS/WP.29/</w:t>
      </w:r>
      <w:r w:rsidR="00E4253E" w:rsidRPr="00E4253E">
        <w:t xml:space="preserve"> </w:t>
      </w:r>
      <w:r w:rsidRPr="00CA5DE6">
        <w:t>GRRF/2016/42, ECE/TRANS/WP.29/GRRF/2016/43, ECE/TRANS/WP.29/GRRF/2017/7 с согласованными редакционными исправлениями в ожидании более существенных предложений по поправкам, прежде чем представлять их WP.29.</w:t>
      </w:r>
    </w:p>
    <w:p w:rsidR="00CA5DE6" w:rsidRPr="00CA5DE6" w:rsidRDefault="00CA5DE6" w:rsidP="00B60F4E">
      <w:pPr>
        <w:pStyle w:val="SingleTxtGR"/>
        <w:ind w:left="2835" w:hanging="1701"/>
        <w:rPr>
          <w:lang w:val="en-US"/>
        </w:rPr>
      </w:pPr>
      <w:r w:rsidRPr="00CA5DE6">
        <w:rPr>
          <w:b/>
          <w:bCs/>
        </w:rPr>
        <w:t>Документация</w:t>
      </w:r>
      <w:r w:rsidRPr="00CB1803">
        <w:rPr>
          <w:b/>
          <w:lang w:val="en-US"/>
        </w:rPr>
        <w:t>:</w:t>
      </w:r>
      <w:r w:rsidRPr="00CA5DE6">
        <w:rPr>
          <w:lang w:val="en-US"/>
        </w:rPr>
        <w:tab/>
        <w:t>ECE/TRANS/WP.29/GRRF/2016/42 ECE/TRANS/WP.29/GRRF/2016/43 ECE/TRANS/WP.29/GRRF/2017/7</w:t>
      </w:r>
    </w:p>
    <w:p w:rsidR="00CA5DE6" w:rsidRPr="00CA5DE6" w:rsidRDefault="00CA5DE6" w:rsidP="00CA5DE6">
      <w:pPr>
        <w:pStyle w:val="SingleTxtGR"/>
      </w:pPr>
      <w:r w:rsidRPr="00CA5DE6">
        <w:rPr>
          <w:lang w:val="en-US"/>
        </w:rPr>
        <w:tab/>
      </w:r>
      <w:r w:rsidRPr="00CA5DE6">
        <w:t>Как было решено в ходе сессии WP.29 в июне 2018 года, GRB рассмотрит предложение, представленное экспертом от Европейской технической организации по вопросам пневматических шин и ободьев колес (ЕТОПОК), в целях включения в Правила № 30 ООН положений, касающиеся шин с расширенной мобильностью (ШРМ).</w:t>
      </w:r>
    </w:p>
    <w:p w:rsidR="00CA5DE6" w:rsidRPr="00CA5DE6" w:rsidRDefault="00CA5DE6" w:rsidP="00CA5DE6">
      <w:pPr>
        <w:pStyle w:val="SingleTxtGR"/>
      </w:pPr>
      <w:r w:rsidRPr="00CA5DE6">
        <w:tab/>
        <w:t>GRB рассмотрит также предложение, представленное экспертом от ЕТОПОК, в целях включения положений, касающихся ШРМ, в Правила № 64 ООН.</w:t>
      </w:r>
    </w:p>
    <w:p w:rsidR="00CA5DE6" w:rsidRPr="00CA5DE6" w:rsidRDefault="00CA5DE6" w:rsidP="00CA5DE6">
      <w:pPr>
        <w:pStyle w:val="SingleTxtGR"/>
      </w:pPr>
      <w:r w:rsidRPr="00CA5DE6">
        <w:tab/>
        <w:t>GRВ, возможно, пожелает рассмотреть пред</w:t>
      </w:r>
      <w:r w:rsidR="00E4253E">
        <w:t>ложение по поправкам к Правилам </w:t>
      </w:r>
      <w:r w:rsidRPr="00CA5DE6">
        <w:t>№ 106 ООН, представленное экспертом от ЕТОПОК.</w:t>
      </w:r>
    </w:p>
    <w:p w:rsidR="00CA5DE6" w:rsidRPr="00CA5DE6" w:rsidRDefault="00CA5DE6" w:rsidP="00CA5DE6">
      <w:pPr>
        <w:pStyle w:val="SingleTxtGR"/>
      </w:pPr>
      <w:r w:rsidRPr="00CA5DE6">
        <w:tab/>
        <w:t>GRВ, возможно, пожелает также рассмотреть предложение по поправкам к Правилам №</w:t>
      </w:r>
      <w:r w:rsidR="00E4253E" w:rsidRPr="00E4253E">
        <w:t xml:space="preserve"> </w:t>
      </w:r>
      <w:r w:rsidRPr="00CA5DE6">
        <w:t>117 ООН, представленное экспертом от ЕТОПОК.</w:t>
      </w:r>
    </w:p>
    <w:p w:rsidR="00CA5DE6" w:rsidRPr="00CA5DE6" w:rsidRDefault="00CA5DE6" w:rsidP="00B60F4E">
      <w:pPr>
        <w:pStyle w:val="SingleTxtGR"/>
        <w:ind w:left="2835" w:hanging="1701"/>
        <w:rPr>
          <w:lang w:val="en-US"/>
        </w:rPr>
      </w:pPr>
      <w:r w:rsidRPr="00CA5DE6">
        <w:rPr>
          <w:b/>
          <w:bCs/>
        </w:rPr>
        <w:t>Документация</w:t>
      </w:r>
      <w:r w:rsidRPr="00CB1803">
        <w:rPr>
          <w:b/>
          <w:lang w:val="en-US"/>
        </w:rPr>
        <w:t>:</w:t>
      </w:r>
      <w:r w:rsidRPr="00CA5DE6">
        <w:rPr>
          <w:lang w:val="en-US"/>
        </w:rPr>
        <w:tab/>
        <w:t>ECE/TRANS/WP.29/GRVA/2018/5 ECE/TRANS/WP.29/GRVA/2018/6 ECE/TRANS/WP.29/GRVA/2018/7 ECE/TRANS/WP.29/GRVA/2018/8</w:t>
      </w:r>
    </w:p>
    <w:p w:rsidR="00CA5DE6" w:rsidRPr="00CA5DE6" w:rsidRDefault="00B60F4E" w:rsidP="00CA5DE6">
      <w:pPr>
        <w:pStyle w:val="SingleTxtGR"/>
      </w:pPr>
      <w:r w:rsidRPr="00E4253E">
        <w:rPr>
          <w:lang w:val="en-US"/>
        </w:rPr>
        <w:tab/>
      </w:r>
      <w:r w:rsidR="00CA5DE6" w:rsidRPr="00CA5DE6">
        <w:t>GRRF начала обсуждение положений о зимних шинах. GRB, возможно, пожелает возобновить обсуждение этого вопроса на основе сообщения эксперта от Германии о ходе реализации так называемого сценария 2, определенного в документе GRRF-86-09.</w:t>
      </w:r>
    </w:p>
    <w:p w:rsidR="00CA5DE6" w:rsidRPr="00CA5DE6" w:rsidRDefault="00CA5DE6" w:rsidP="00CA5DE6">
      <w:pPr>
        <w:pStyle w:val="SingleTxtGR"/>
        <w:rPr>
          <w:iCs/>
        </w:rPr>
      </w:pPr>
      <w:r w:rsidRPr="00CA5DE6">
        <w:rPr>
          <w:b/>
          <w:bCs/>
          <w:iCs/>
        </w:rPr>
        <w:t>Документация</w:t>
      </w:r>
      <w:r w:rsidRPr="00CB1803">
        <w:rPr>
          <w:b/>
          <w:iCs/>
        </w:rPr>
        <w:t>:</w:t>
      </w:r>
      <w:r w:rsidRPr="00CA5DE6">
        <w:rPr>
          <w:iCs/>
        </w:rPr>
        <w:tab/>
        <w:t>(неофициальный документ GRRF-86-09)</w:t>
      </w:r>
    </w:p>
    <w:p w:rsidR="00CA5DE6" w:rsidRPr="00CA5DE6" w:rsidRDefault="00CA5DE6" w:rsidP="00B60F4E">
      <w:pPr>
        <w:pStyle w:val="H4GR"/>
      </w:pPr>
      <w:r w:rsidRPr="00CA5DE6">
        <w:tab/>
        <w:t>b)</w:t>
      </w:r>
      <w:r w:rsidRPr="00CA5DE6">
        <w:tab/>
        <w:t>Механические сцепные устройства</w:t>
      </w:r>
    </w:p>
    <w:p w:rsidR="00CA5DE6" w:rsidRPr="00CA5DE6" w:rsidRDefault="00CA5DE6" w:rsidP="00CA5DE6">
      <w:pPr>
        <w:pStyle w:val="SingleTxtGR"/>
      </w:pPr>
      <w:r w:rsidRPr="00CA5DE6">
        <w:tab/>
        <w:t>GRRF начала обсуждение на своей восемьдесят шестой сессии для уточнения положений в пункте 3.11 приложения 5 к Правилам № 55 ООН.</w:t>
      </w:r>
    </w:p>
    <w:p w:rsidR="00CA5DE6" w:rsidRPr="00CA5DE6" w:rsidRDefault="00CA5DE6" w:rsidP="00CA5DE6">
      <w:pPr>
        <w:pStyle w:val="SingleTxtGR"/>
      </w:pPr>
      <w:r w:rsidRPr="00CA5DE6">
        <w:tab/>
        <w:t xml:space="preserve">GRRF решила на своей восемьдесят шестой сессии обсудить пересмотренное предложение по поправкам к Правилам № 55 ООН, представленное экспертом от Польши. </w:t>
      </w:r>
    </w:p>
    <w:p w:rsidR="00CA5DE6" w:rsidRPr="00CA5DE6" w:rsidRDefault="00CA5DE6" w:rsidP="00CA5DE6">
      <w:pPr>
        <w:pStyle w:val="SingleTxtGR"/>
      </w:pPr>
      <w:r w:rsidRPr="00CA5DE6">
        <w:tab/>
        <w:t>GRVA, возможно, пожелает подготовить рекомендацию для GRSG, с тем чтобы передать на ее рассмотрение Правила № 55 ООН без каких-либо открытых вопросов.</w:t>
      </w:r>
    </w:p>
    <w:p w:rsidR="00CA5DE6" w:rsidRPr="00CA5DE6" w:rsidRDefault="00CA5DE6" w:rsidP="00B60F4E">
      <w:pPr>
        <w:pStyle w:val="SingleTxtGR"/>
        <w:ind w:left="2268" w:hanging="1134"/>
        <w:rPr>
          <w:lang w:val="en-US"/>
        </w:rPr>
      </w:pPr>
      <w:r w:rsidRPr="00CA5DE6">
        <w:rPr>
          <w:b/>
          <w:bCs/>
        </w:rPr>
        <w:t>Документация</w:t>
      </w:r>
      <w:r w:rsidRPr="00CB1803">
        <w:rPr>
          <w:b/>
          <w:lang w:val="en-US"/>
        </w:rPr>
        <w:t>:</w:t>
      </w:r>
      <w:r w:rsidRPr="00CA5DE6">
        <w:rPr>
          <w:lang w:val="en-US"/>
        </w:rPr>
        <w:tab/>
        <w:t xml:space="preserve">ECE/TRANS/WP.29/GRVA/2018/10 </w:t>
      </w:r>
      <w:r w:rsidRPr="00CA5DE6">
        <w:rPr>
          <w:lang w:val="en-US"/>
        </w:rPr>
        <w:tab/>
        <w:t>ECE/TRANS/WP.29/GRVA/2018/11</w:t>
      </w:r>
    </w:p>
    <w:p w:rsidR="00CA5DE6" w:rsidRPr="00CA5DE6" w:rsidRDefault="00CA5DE6" w:rsidP="00CA5DE6">
      <w:pPr>
        <w:pStyle w:val="H23GR"/>
      </w:pPr>
      <w:r w:rsidRPr="00CA5DE6">
        <w:rPr>
          <w:lang w:val="en-US"/>
        </w:rPr>
        <w:lastRenderedPageBreak/>
        <w:tab/>
      </w:r>
      <w:r w:rsidRPr="00CA5DE6">
        <w:t>15.</w:t>
      </w:r>
      <w:r w:rsidRPr="00CA5DE6">
        <w:tab/>
        <w:t>Прочие вопросы</w:t>
      </w:r>
    </w:p>
    <w:p w:rsidR="00CA5DE6" w:rsidRPr="00CA5DE6" w:rsidRDefault="00CA5DE6" w:rsidP="00CA5DE6">
      <w:pPr>
        <w:pStyle w:val="SingleTxtGR"/>
      </w:pPr>
      <w:r w:rsidRPr="00CA5DE6">
        <w:tab/>
        <w:t>GRVA будет проинформирована о стратегии КВТ, которую планируется принять в 2019 году.</w:t>
      </w:r>
    </w:p>
    <w:p w:rsidR="00CA5DE6" w:rsidRPr="00CA5DE6" w:rsidRDefault="00CA5DE6" w:rsidP="00CA5DE6">
      <w:pPr>
        <w:pStyle w:val="SingleTxtGR"/>
      </w:pPr>
      <w:r w:rsidRPr="00CA5DE6">
        <w:tab/>
        <w:t>GRVA, возможно, пожелает рассмотреть любые другие предложения, если таковые будут представлены.</w:t>
      </w:r>
    </w:p>
    <w:p w:rsidR="00CA5DE6" w:rsidRPr="00CA5DE6" w:rsidRDefault="00CA5DE6" w:rsidP="00CA5DE6">
      <w:pPr>
        <w:pStyle w:val="SingleTxtGR"/>
      </w:pPr>
      <w:r w:rsidRPr="00CA5DE6">
        <w:tab/>
        <w:t>GRVA, возможно, пожелает рассмотреть любое другое предложение, если таковое будет получено.</w:t>
      </w:r>
    </w:p>
    <w:p w:rsidR="00CA5DE6" w:rsidRPr="00B60F4E" w:rsidRDefault="00B60F4E" w:rsidP="00B60F4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CA5DE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798" w:rsidRPr="00A312BC" w:rsidRDefault="00EB6798" w:rsidP="00A312BC"/>
  </w:endnote>
  <w:endnote w:type="continuationSeparator" w:id="0">
    <w:p w:rsidR="00EB6798" w:rsidRPr="00A312BC" w:rsidRDefault="00EB679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DE6" w:rsidRPr="00CA5DE6" w:rsidRDefault="00CA5DE6">
    <w:pPr>
      <w:pStyle w:val="Footer"/>
    </w:pPr>
    <w:r w:rsidRPr="00CA5DE6">
      <w:rPr>
        <w:b/>
        <w:sz w:val="18"/>
      </w:rPr>
      <w:fldChar w:fldCharType="begin"/>
    </w:r>
    <w:r w:rsidRPr="00CA5DE6">
      <w:rPr>
        <w:b/>
        <w:sz w:val="18"/>
      </w:rPr>
      <w:instrText xml:space="preserve"> PAGE  \* MERGEFORMAT </w:instrText>
    </w:r>
    <w:r w:rsidRPr="00CA5DE6">
      <w:rPr>
        <w:b/>
        <w:sz w:val="18"/>
      </w:rPr>
      <w:fldChar w:fldCharType="separate"/>
    </w:r>
    <w:r w:rsidR="006609FC">
      <w:rPr>
        <w:b/>
        <w:noProof/>
        <w:sz w:val="18"/>
      </w:rPr>
      <w:t>6</w:t>
    </w:r>
    <w:r w:rsidRPr="00CA5DE6">
      <w:rPr>
        <w:b/>
        <w:sz w:val="18"/>
      </w:rPr>
      <w:fldChar w:fldCharType="end"/>
    </w:r>
    <w:r>
      <w:rPr>
        <w:b/>
        <w:sz w:val="18"/>
      </w:rPr>
      <w:tab/>
    </w:r>
    <w:r>
      <w:t>GE.18-11665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DE6" w:rsidRPr="00CA5DE6" w:rsidRDefault="00CA5DE6" w:rsidP="00CA5DE6">
    <w:pPr>
      <w:pStyle w:val="Footer"/>
      <w:tabs>
        <w:tab w:val="clear" w:pos="9639"/>
        <w:tab w:val="right" w:pos="9638"/>
      </w:tabs>
      <w:rPr>
        <w:b/>
        <w:sz w:val="18"/>
      </w:rPr>
    </w:pPr>
    <w:r>
      <w:t>GE.18-11665</w:t>
    </w:r>
    <w:r>
      <w:tab/>
    </w:r>
    <w:r w:rsidRPr="00CA5DE6">
      <w:rPr>
        <w:b/>
        <w:sz w:val="18"/>
      </w:rPr>
      <w:fldChar w:fldCharType="begin"/>
    </w:r>
    <w:r w:rsidRPr="00CA5DE6">
      <w:rPr>
        <w:b/>
        <w:sz w:val="18"/>
      </w:rPr>
      <w:instrText xml:space="preserve"> PAGE  \* MERGEFORMAT </w:instrText>
    </w:r>
    <w:r w:rsidRPr="00CA5DE6">
      <w:rPr>
        <w:b/>
        <w:sz w:val="18"/>
      </w:rPr>
      <w:fldChar w:fldCharType="separate"/>
    </w:r>
    <w:r w:rsidR="006609FC">
      <w:rPr>
        <w:b/>
        <w:noProof/>
        <w:sz w:val="18"/>
      </w:rPr>
      <w:t>7</w:t>
    </w:r>
    <w:r w:rsidRPr="00CA5DE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A5DE6" w:rsidRDefault="00CA5DE6" w:rsidP="00CA5DE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18-11665  (R)</w:t>
    </w:r>
    <w:r>
      <w:rPr>
        <w:lang w:val="en-US"/>
      </w:rPr>
      <w:t xml:space="preserve">   200718  200718</w:t>
    </w:r>
    <w:r>
      <w:br/>
    </w:r>
    <w:r w:rsidRPr="00CA5DE6">
      <w:rPr>
        <w:rFonts w:ascii="C39T30Lfz" w:hAnsi="C39T30Lfz"/>
        <w:kern w:val="14"/>
        <w:sz w:val="56"/>
      </w:rPr>
      <w:t></w:t>
    </w:r>
    <w:r w:rsidRPr="00CA5DE6">
      <w:rPr>
        <w:rFonts w:ascii="C39T30Lfz" w:hAnsi="C39T30Lfz"/>
        <w:kern w:val="14"/>
        <w:sz w:val="56"/>
      </w:rPr>
      <w:t></w:t>
    </w:r>
    <w:r w:rsidRPr="00CA5DE6">
      <w:rPr>
        <w:rFonts w:ascii="C39T30Lfz" w:hAnsi="C39T30Lfz"/>
        <w:kern w:val="14"/>
        <w:sz w:val="56"/>
      </w:rPr>
      <w:t></w:t>
    </w:r>
    <w:r w:rsidRPr="00CA5DE6">
      <w:rPr>
        <w:rFonts w:ascii="C39T30Lfz" w:hAnsi="C39T30Lfz"/>
        <w:kern w:val="14"/>
        <w:sz w:val="56"/>
      </w:rPr>
      <w:t></w:t>
    </w:r>
    <w:r w:rsidRPr="00CA5DE6">
      <w:rPr>
        <w:rFonts w:ascii="C39T30Lfz" w:hAnsi="C39T30Lfz"/>
        <w:kern w:val="14"/>
        <w:sz w:val="56"/>
      </w:rPr>
      <w:t></w:t>
    </w:r>
    <w:r w:rsidRPr="00CA5DE6">
      <w:rPr>
        <w:rFonts w:ascii="C39T30Lfz" w:hAnsi="C39T30Lfz"/>
        <w:kern w:val="14"/>
        <w:sz w:val="56"/>
      </w:rPr>
      <w:t></w:t>
    </w:r>
    <w:r w:rsidRPr="00CA5DE6">
      <w:rPr>
        <w:rFonts w:ascii="C39T30Lfz" w:hAnsi="C39T30Lfz"/>
        <w:kern w:val="14"/>
        <w:sz w:val="56"/>
      </w:rPr>
      <w:t></w:t>
    </w:r>
    <w:r w:rsidRPr="00CA5DE6">
      <w:rPr>
        <w:rFonts w:ascii="C39T30Lfz" w:hAnsi="C39T30Lfz"/>
        <w:kern w:val="14"/>
        <w:sz w:val="56"/>
      </w:rPr>
      <w:t></w:t>
    </w:r>
    <w:r w:rsidRPr="00CA5DE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18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8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798" w:rsidRPr="001075E9" w:rsidRDefault="00EB679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B6798" w:rsidRDefault="00EB679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A5DE6" w:rsidRPr="00E4253E" w:rsidRDefault="00CA5DE6" w:rsidP="00CA5DE6">
      <w:pPr>
        <w:pStyle w:val="FootnoteText"/>
        <w:rPr>
          <w:b/>
          <w:bCs/>
        </w:rPr>
      </w:pPr>
      <w:r w:rsidRPr="00E4253E">
        <w:tab/>
        <w:t>*</w:t>
      </w:r>
      <w:r w:rsidRPr="00E4253E">
        <w:tab/>
        <w:t xml:space="preserve">Прежнее название: </w:t>
      </w:r>
      <w:r w:rsidRPr="00E4253E">
        <w:rPr>
          <w:b/>
          <w:bCs/>
        </w:rPr>
        <w:t>Рабочая группа по вопросам торможения и ходовой части (GRRF)</w:t>
      </w:r>
      <w:r w:rsidRPr="00E4253E">
        <w:t>.</w:t>
      </w:r>
    </w:p>
  </w:footnote>
  <w:footnote w:id="2">
    <w:p w:rsidR="00CA5DE6" w:rsidRPr="00E4253E" w:rsidRDefault="00CA5DE6" w:rsidP="00CA5DE6">
      <w:pPr>
        <w:pStyle w:val="FootnoteText"/>
        <w:rPr>
          <w:szCs w:val="18"/>
        </w:rPr>
      </w:pPr>
      <w:r w:rsidRPr="00E4253E">
        <w:tab/>
        <w:t>**</w:t>
      </w:r>
      <w:r w:rsidRPr="00E4253E">
        <w:tab/>
        <w:t>Делегатов просят зарегистрироваться онлайн с помощью новой системы регистрации на веб-сайте ЕЭК ООН (</w:t>
      </w:r>
      <w:hyperlink r:id="rId1" w:history="1">
        <w:r w:rsidRPr="00E4253E">
          <w:rPr>
            <w:rStyle w:val="Hyperlink"/>
            <w:color w:val="auto"/>
          </w:rPr>
          <w:t>https://uncdb.unece.org/app/ext/meeting-registration?id=3co2rr</w:t>
        </w:r>
      </w:hyperlink>
      <w:r w:rsidRPr="00E4253E"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ЕЭК ООН по телефону (внутренний номер 74323). Схему Дворца Наций и другую полезную информацию см. на веб-сайте </w:t>
      </w:r>
      <w:r w:rsidRPr="00E4253E">
        <w:tab/>
      </w:r>
      <w:hyperlink r:id="rId2" w:history="1">
        <w:r w:rsidRPr="00E4253E">
          <w:rPr>
            <w:rStyle w:val="Hyperlink"/>
            <w:color w:val="auto"/>
          </w:rPr>
          <w:t>www.unece.org/meetings/practical.htm</w:t>
        </w:r>
      </w:hyperlink>
      <w:r w:rsidRPr="00E4253E">
        <w:t>.</w:t>
      </w:r>
    </w:p>
  </w:footnote>
  <w:footnote w:id="3">
    <w:p w:rsidR="00CA5DE6" w:rsidRPr="00E4253E" w:rsidRDefault="00CA5DE6" w:rsidP="00CA5DE6">
      <w:pPr>
        <w:pStyle w:val="FootnoteText"/>
        <w:rPr>
          <w:sz w:val="20"/>
        </w:rPr>
      </w:pPr>
      <w:r w:rsidRPr="00E4253E">
        <w:tab/>
        <w:t>***</w:t>
      </w:r>
      <w:r w:rsidRPr="00E4253E"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ООН. В ходе сессии официальные документы можно получить в Секции распространения документов ЮНОГ (комната C.337, третий этаж, Дворец Наций). С переводом официальных документов делегаты могут ознакомиться через общедоступную Систему официальной документации (СОД) на следующем веб-сайте</w:t>
      </w:r>
      <w:r w:rsidR="00E4253E">
        <w:t>:</w:t>
      </w:r>
      <w:r w:rsidRPr="00E4253E">
        <w:t xml:space="preserve"> </w:t>
      </w:r>
      <w:hyperlink r:id="rId3" w:history="1">
        <w:r w:rsidRPr="00E4253E">
          <w:rPr>
            <w:rStyle w:val="Hyperlink"/>
            <w:color w:val="auto"/>
          </w:rPr>
          <w:t>documents.un.org/</w:t>
        </w:r>
      </w:hyperlink>
      <w:r w:rsidRPr="00E4253E">
        <w:t>.</w:t>
      </w:r>
    </w:p>
  </w:footnote>
  <w:footnote w:id="4">
    <w:p w:rsidR="00CA5DE6" w:rsidRPr="00E4253E" w:rsidRDefault="00CA5DE6" w:rsidP="00CA5DE6">
      <w:pPr>
        <w:pStyle w:val="FootnoteText"/>
        <w:rPr>
          <w:lang w:val="en-US"/>
        </w:rPr>
      </w:pPr>
      <w:r w:rsidRPr="00E4253E">
        <w:tab/>
      </w:r>
      <w:r w:rsidRPr="00E4253E">
        <w:rPr>
          <w:rStyle w:val="FootnoteReference"/>
        </w:rPr>
        <w:footnoteRef/>
      </w:r>
      <w:r w:rsidRPr="00E4253E">
        <w:rPr>
          <w:lang w:val="en-US"/>
        </w:rPr>
        <w:tab/>
      </w:r>
      <w:r w:rsidRPr="00E4253E">
        <w:t>См</w:t>
      </w:r>
      <w:r w:rsidRPr="00E4253E">
        <w:rPr>
          <w:lang w:val="en-US"/>
        </w:rPr>
        <w:t>. ECE/TRANS/WP.29/GRB/2018/5</w:t>
      </w:r>
      <w:r w:rsidR="00E4253E" w:rsidRPr="00E4253E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DE6" w:rsidRPr="00CA5DE6" w:rsidRDefault="00F5503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609FC">
      <w:t>ECE/TRANS/WP.29/GRVA/2018/1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DE6" w:rsidRPr="00CA5DE6" w:rsidRDefault="00F55034" w:rsidP="00CA5DE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609FC">
      <w:t>ECE/TRANS/WP.29/GRVA/2018/1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2A26560"/>
    <w:multiLevelType w:val="hybridMultilevel"/>
    <w:tmpl w:val="A552B31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C95AB1"/>
    <w:multiLevelType w:val="hybridMultilevel"/>
    <w:tmpl w:val="E60E6C3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659B0"/>
    <w:multiLevelType w:val="hybridMultilevel"/>
    <w:tmpl w:val="DC7E7C62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20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4"/>
  </w:num>
  <w:num w:numId="18">
    <w:abstractNumId w:val="17"/>
  </w:num>
  <w:num w:numId="19">
    <w:abstractNumId w:val="18"/>
  </w:num>
  <w:num w:numId="20">
    <w:abstractNumId w:val="14"/>
  </w:num>
  <w:num w:numId="21">
    <w:abstractNumId w:val="17"/>
  </w:num>
  <w:num w:numId="22">
    <w:abstractNumId w:val="12"/>
    <w:lvlOverride w:ilvl="0">
      <w:lvl w:ilvl="0" w:tplc="08090001">
        <w:start w:val="1"/>
        <w:numFmt w:val="bullet"/>
        <w:lvlText w:val=""/>
        <w:lvlJc w:val="left"/>
        <w:pPr>
          <w:ind w:left="1854" w:hanging="360"/>
        </w:pPr>
        <w:rPr>
          <w:rFonts w:ascii="Symbol" w:hAnsi="Symbol" w:hint="default"/>
        </w:rPr>
      </w:lvl>
    </w:lvlOverride>
  </w:num>
  <w:num w:numId="23">
    <w:abstractNumId w:val="11"/>
    <w:lvlOverride w:ilvl="0">
      <w:lvl w:ilvl="0" w:tplc="04090001">
        <w:start w:val="1"/>
        <w:numFmt w:val="bullet"/>
        <w:lvlText w:val=""/>
        <w:lvlJc w:val="left"/>
        <w:pPr>
          <w:ind w:left="1854" w:hanging="360"/>
        </w:pPr>
        <w:rPr>
          <w:rFonts w:ascii="Symbol" w:hAnsi="Symbol" w:hint="default"/>
        </w:rPr>
      </w:lvl>
    </w:lvlOverride>
  </w:num>
  <w:num w:numId="24">
    <w:abstractNumId w:val="15"/>
    <w:lvlOverride w:ilvl="0">
      <w:lvl w:ilvl="0" w:tplc="08090001">
        <w:start w:val="1"/>
        <w:numFmt w:val="bullet"/>
        <w:lvlText w:val=""/>
        <w:lvlJc w:val="left"/>
        <w:pPr>
          <w:ind w:left="2421" w:hanging="360"/>
        </w:pPr>
        <w:rPr>
          <w:rFonts w:ascii="Symbol" w:hAnsi="Symbol" w:hint="default"/>
        </w:rPr>
      </w:lvl>
    </w:lvlOverride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79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1511"/>
    <w:rsid w:val="00180183"/>
    <w:rsid w:val="0018024D"/>
    <w:rsid w:val="0018649F"/>
    <w:rsid w:val="00196389"/>
    <w:rsid w:val="001B3EF6"/>
    <w:rsid w:val="001C7A89"/>
    <w:rsid w:val="00255343"/>
    <w:rsid w:val="002602D5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09FC"/>
    <w:rsid w:val="00680D03"/>
    <w:rsid w:val="00681A10"/>
    <w:rsid w:val="00696A9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4D4F"/>
    <w:rsid w:val="00894693"/>
    <w:rsid w:val="008A08D7"/>
    <w:rsid w:val="008A37C8"/>
    <w:rsid w:val="008B6909"/>
    <w:rsid w:val="008D53B6"/>
    <w:rsid w:val="008F7609"/>
    <w:rsid w:val="00906890"/>
    <w:rsid w:val="009112B6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0F4E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A5DE6"/>
    <w:rsid w:val="00CB151C"/>
    <w:rsid w:val="00CB1803"/>
    <w:rsid w:val="00CE5A1A"/>
    <w:rsid w:val="00CF55F6"/>
    <w:rsid w:val="00D33D63"/>
    <w:rsid w:val="00D5253A"/>
    <w:rsid w:val="00D7329D"/>
    <w:rsid w:val="00D873A8"/>
    <w:rsid w:val="00D90028"/>
    <w:rsid w:val="00D90138"/>
    <w:rsid w:val="00DD78D1"/>
    <w:rsid w:val="00DE32CD"/>
    <w:rsid w:val="00DF0649"/>
    <w:rsid w:val="00DF5767"/>
    <w:rsid w:val="00DF71B9"/>
    <w:rsid w:val="00E12C5F"/>
    <w:rsid w:val="00E4253E"/>
    <w:rsid w:val="00E541D5"/>
    <w:rsid w:val="00E73F76"/>
    <w:rsid w:val="00EA2C9F"/>
    <w:rsid w:val="00EA420E"/>
    <w:rsid w:val="00EB6798"/>
    <w:rsid w:val="00ED0BDA"/>
    <w:rsid w:val="00EE142A"/>
    <w:rsid w:val="00EF1360"/>
    <w:rsid w:val="00EF3220"/>
    <w:rsid w:val="00F2523A"/>
    <w:rsid w:val="00F43903"/>
    <w:rsid w:val="00F5503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28BB493-B375-4184-9832-8594CA62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cuments.un.org/" TargetMode="External"/><Relationship Id="rId2" Type="http://schemas.openxmlformats.org/officeDocument/2006/relationships/hyperlink" Target="http://www.unece.org/meetings/practical.htm" TargetMode="External"/><Relationship Id="rId1" Type="http://schemas.openxmlformats.org/officeDocument/2006/relationships/hyperlink" Target="https://uncdb.unece.org/app/ext/meeting-registration?id=3co2r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3170</Words>
  <Characters>18069</Characters>
  <Application>Microsoft Office Word</Application>
  <DocSecurity>0</DocSecurity>
  <Lines>150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ECE/TRANS/WP.29/GRVA/2018/1</vt:lpstr>
      <vt:lpstr>ECE/TRANS/WP.29/GRVA/2018/1</vt:lpstr>
      <vt:lpstr>A/</vt:lpstr>
    </vt:vector>
  </TitlesOfParts>
  <Company>DCM</Company>
  <LinksUpToDate>false</LinksUpToDate>
  <CharactersWithSpaces>21197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ECE/TRANS/WP.29/GRVA/2018/1</dc:title>
  <dc:subject/>
  <dc:creator>Anna BLAGODATSKIKH</dc:creator>
  <cp:keywords/>
  <cp:lastModifiedBy>Benedicte Boudol</cp:lastModifiedBy>
  <cp:revision>2</cp:revision>
  <cp:lastPrinted>2018-07-20T09:38:00Z</cp:lastPrinted>
  <dcterms:created xsi:type="dcterms:W3CDTF">2018-07-24T14:40:00Z</dcterms:created>
  <dcterms:modified xsi:type="dcterms:W3CDTF">2018-07-24T14:40:00Z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