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D8" w:rsidRPr="000B1193" w:rsidRDefault="001877D8" w:rsidP="001877D8">
      <w:pPr>
        <w:pStyle w:val="HChG"/>
        <w:rPr>
          <w:bCs/>
        </w:rPr>
      </w:pPr>
      <w:r>
        <w:rPr>
          <w:bCs/>
        </w:rPr>
        <w:tab/>
      </w:r>
      <w:r>
        <w:rPr>
          <w:bCs/>
        </w:rPr>
        <w:tab/>
      </w:r>
      <w:r w:rsidR="0021313A">
        <w:t xml:space="preserve">Proposal for the </w:t>
      </w:r>
      <w:r w:rsidR="0021313A">
        <w:rPr>
          <w:rFonts w:eastAsia="MS Mincho" w:hint="eastAsia"/>
          <w:lang w:eastAsia="ja-JP"/>
        </w:rPr>
        <w:t>0</w:t>
      </w:r>
      <w:r w:rsidR="0021313A">
        <w:rPr>
          <w:rFonts w:eastAsia="MS Mincho"/>
          <w:lang w:eastAsia="ja-JP"/>
        </w:rPr>
        <w:t>4</w:t>
      </w:r>
      <w:r w:rsidR="0021313A" w:rsidRPr="006A3F2D">
        <w:rPr>
          <w:rFonts w:eastAsia="MS Mincho" w:hint="eastAsia"/>
          <w:lang w:eastAsia="ja-JP"/>
        </w:rPr>
        <w:t xml:space="preserve"> series of amendment</w:t>
      </w:r>
      <w:r w:rsidR="0021313A">
        <w:rPr>
          <w:rFonts w:eastAsia="MS Mincho" w:hint="eastAsia"/>
          <w:lang w:eastAsia="ja-JP"/>
        </w:rPr>
        <w:t>s</w:t>
      </w:r>
      <w:r w:rsidR="0021313A" w:rsidRPr="006A3F2D">
        <w:rPr>
          <w:rFonts w:eastAsia="MS Mincho" w:hint="eastAsia"/>
          <w:lang w:eastAsia="ja-JP"/>
        </w:rPr>
        <w:t xml:space="preserve"> </w:t>
      </w:r>
      <w:r w:rsidR="0021313A" w:rsidRPr="00FD20D0">
        <w:rPr>
          <w:rFonts w:eastAsia="MS Mincho" w:hint="eastAsia"/>
          <w:lang w:eastAsia="ja-JP"/>
        </w:rPr>
        <w:t>to</w:t>
      </w:r>
      <w:r w:rsidR="0021313A">
        <w:t xml:space="preserve"> </w:t>
      </w:r>
      <w:r w:rsidR="0021313A" w:rsidRPr="00FD20D0">
        <w:rPr>
          <w:rFonts w:eastAsia="MS Mincho" w:hint="eastAsia"/>
          <w:lang w:eastAsia="ja-JP"/>
        </w:rPr>
        <w:t xml:space="preserve">UN </w:t>
      </w:r>
      <w:r w:rsidR="0021313A">
        <w:t>Regulation No. 80</w:t>
      </w:r>
      <w:r w:rsidR="0021313A" w:rsidRPr="006A3F2D">
        <w:rPr>
          <w:rFonts w:eastAsia="MS Mincho" w:hint="eastAsia"/>
          <w:lang w:eastAsia="ja-JP"/>
        </w:rPr>
        <w:t xml:space="preserve"> </w:t>
      </w:r>
      <w:r w:rsidR="0021313A" w:rsidRPr="00552022">
        <w:t>(</w:t>
      </w:r>
      <w:r w:rsidR="0021313A">
        <w:rPr>
          <w:rFonts w:eastAsia="MS Mincho"/>
          <w:lang w:eastAsia="ja-JP"/>
        </w:rPr>
        <w:t>Strength of seats and their anchorages (buses)</w:t>
      </w:r>
      <w:r w:rsidR="0021313A" w:rsidRPr="00552022">
        <w:t>)</w:t>
      </w:r>
    </w:p>
    <w:p w:rsidR="001877D8" w:rsidRPr="000B1193" w:rsidRDefault="001877D8" w:rsidP="001877D8">
      <w:pPr>
        <w:pStyle w:val="H1G"/>
      </w:pPr>
      <w:r w:rsidRPr="000B1193">
        <w:tab/>
      </w:r>
      <w:r w:rsidRPr="000B1193">
        <w:tab/>
        <w:t xml:space="preserve">Submitted by the expert from </w:t>
      </w:r>
      <w:r w:rsidR="00E02760">
        <w:t>OICA</w:t>
      </w:r>
      <w:r w:rsidRPr="000B1193">
        <w:rPr>
          <w:rStyle w:val="FootnoteReference"/>
          <w:b w:val="0"/>
          <w:sz w:val="20"/>
          <w:vertAlign w:val="baseline"/>
          <w:lang w:val="en-US"/>
        </w:rPr>
        <w:footnoteReference w:customMarkFollows="1" w:id="2"/>
        <w:t>*</w:t>
      </w:r>
    </w:p>
    <w:p w:rsidR="00914A11" w:rsidRPr="005F3278" w:rsidRDefault="00914A11" w:rsidP="00914A11">
      <w:pPr>
        <w:spacing w:after="120"/>
        <w:ind w:left="1134" w:right="1134"/>
        <w:jc w:val="both"/>
      </w:pPr>
      <w:r w:rsidRPr="005F3278">
        <w:t>The text reproduced below has been prepared by</w:t>
      </w:r>
      <w:r>
        <w:t xml:space="preserve"> </w:t>
      </w:r>
      <w:r w:rsidR="00E02760">
        <w:t>OICA</w:t>
      </w:r>
      <w:r>
        <w:t>.</w:t>
      </w:r>
      <w:r w:rsidRPr="005F3278">
        <w:t xml:space="preserve"> The modifications to the current text of the Regulation are marked in bold for new or strikethrough for deleted characters.</w:t>
      </w:r>
    </w:p>
    <w:p w:rsidR="002643BD" w:rsidRDefault="002643BD" w:rsidP="002605AB">
      <w:pPr>
        <w:spacing w:line="247" w:lineRule="auto"/>
        <w:ind w:left="1246" w:right="1192" w:firstLine="569"/>
        <w:jc w:val="both"/>
        <w:rPr>
          <w:snapToGrid w:val="0"/>
        </w:rPr>
      </w:pPr>
    </w:p>
    <w:p w:rsidR="002643BD" w:rsidRDefault="002643BD" w:rsidP="002605AB">
      <w:pPr>
        <w:spacing w:line="247" w:lineRule="auto"/>
        <w:ind w:left="1246" w:right="1192" w:firstLine="569"/>
        <w:jc w:val="both"/>
        <w:rPr>
          <w:snapToGrid w:val="0"/>
        </w:rPr>
      </w:pPr>
    </w:p>
    <w:p w:rsidR="00846103" w:rsidRPr="009D6BF6" w:rsidRDefault="00846103" w:rsidP="009D6BF6">
      <w:pPr>
        <w:pStyle w:val="ListParagraph"/>
        <w:numPr>
          <w:ilvl w:val="2"/>
          <w:numId w:val="16"/>
        </w:numPr>
        <w:spacing w:line="247" w:lineRule="auto"/>
        <w:ind w:left="1276" w:right="1192"/>
        <w:jc w:val="both"/>
        <w:rPr>
          <w:b/>
          <w:snapToGrid w:val="0"/>
        </w:rPr>
      </w:pPr>
      <w:r w:rsidRPr="009D6BF6">
        <w:rPr>
          <w:b/>
          <w:snapToGrid w:val="0"/>
        </w:rPr>
        <w:t>Proposal</w:t>
      </w:r>
    </w:p>
    <w:p w:rsidR="00C05777" w:rsidRPr="00A82A88" w:rsidRDefault="00C05777" w:rsidP="0021313A">
      <w:pPr>
        <w:pStyle w:val="SingleTxtG"/>
        <w:rPr>
          <w:i/>
          <w:spacing w:val="9"/>
        </w:rPr>
      </w:pPr>
    </w:p>
    <w:p w:rsidR="0021313A" w:rsidRPr="0021313A" w:rsidRDefault="0021313A" w:rsidP="0021313A">
      <w:pPr>
        <w:spacing w:after="120"/>
        <w:ind w:left="2268" w:right="1134" w:hanging="1134"/>
        <w:jc w:val="both"/>
      </w:pPr>
      <w:r w:rsidRPr="0021313A">
        <w:rPr>
          <w:i/>
        </w:rPr>
        <w:t xml:space="preserve">Paragraph </w:t>
      </w:r>
      <w:r w:rsidRPr="0021313A">
        <w:rPr>
          <w:i/>
          <w:lang w:val="en-US"/>
        </w:rPr>
        <w:t>4.3.,</w:t>
      </w:r>
      <w:r w:rsidRPr="0021313A">
        <w:rPr>
          <w:iCs/>
        </w:rPr>
        <w:t xml:space="preserve"> amend to read</w:t>
      </w:r>
      <w:r w:rsidRPr="0021313A">
        <w:t>:</w:t>
      </w:r>
    </w:p>
    <w:p w:rsidR="0021313A" w:rsidRPr="00240880" w:rsidRDefault="0021313A" w:rsidP="0021313A">
      <w:pPr>
        <w:pStyle w:val="SingleTxtG"/>
        <w:ind w:left="2268" w:hanging="1134"/>
      </w:pPr>
      <w:r w:rsidRPr="0021313A">
        <w:rPr>
          <w:rFonts w:eastAsia="Arial"/>
          <w:spacing w:val="9"/>
        </w:rPr>
        <w:t>"4</w:t>
      </w:r>
      <w:r w:rsidRPr="0021313A">
        <w:rPr>
          <w:rFonts w:eastAsia="Arial"/>
        </w:rPr>
        <w:t>.</w:t>
      </w:r>
      <w:r w:rsidRPr="0021313A">
        <w:rPr>
          <w:rFonts w:eastAsia="Arial"/>
          <w:spacing w:val="9"/>
        </w:rPr>
        <w:t>3</w:t>
      </w:r>
      <w:r w:rsidRPr="0021313A">
        <w:rPr>
          <w:rFonts w:eastAsia="Arial"/>
        </w:rPr>
        <w:t>.</w:t>
      </w:r>
      <w:r w:rsidRPr="0021313A">
        <w:rPr>
          <w:rFonts w:eastAsia="Arial"/>
        </w:rPr>
        <w:tab/>
      </w:r>
      <w:r w:rsidRPr="00240880">
        <w:t xml:space="preserve">An approval number shall be assigned to each type approved. Its first two digits (at present </w:t>
      </w:r>
      <w:r w:rsidRPr="00240880">
        <w:rPr>
          <w:strike/>
        </w:rPr>
        <w:t>03</w:t>
      </w:r>
      <w:r w:rsidRPr="00240880">
        <w:t xml:space="preserve"> </w:t>
      </w:r>
      <w:r w:rsidRPr="00240880">
        <w:rPr>
          <w:b/>
        </w:rPr>
        <w:t>04</w:t>
      </w:r>
      <w:r w:rsidRPr="00240880">
        <w:t xml:space="preserve">, corresponding to the </w:t>
      </w:r>
      <w:r w:rsidR="00240880" w:rsidRPr="00240880">
        <w:rPr>
          <w:strike/>
        </w:rPr>
        <w:t>03</w:t>
      </w:r>
      <w:r w:rsidR="00240880" w:rsidRPr="00240880">
        <w:t xml:space="preserve"> </w:t>
      </w:r>
      <w:r w:rsidR="00240880" w:rsidRPr="00240880">
        <w:rPr>
          <w:b/>
        </w:rPr>
        <w:t>04</w:t>
      </w:r>
      <w:r w:rsidRPr="00240880">
        <w:t xml:space="preserve"> series of amendments) </w:t>
      </w:r>
      <w:r w:rsidR="00F61002">
        <w:t>..</w:t>
      </w:r>
      <w:r w:rsidRPr="00240880">
        <w:t>."</w:t>
      </w:r>
    </w:p>
    <w:p w:rsidR="0021313A" w:rsidRPr="0021313A" w:rsidRDefault="00C05777" w:rsidP="0021313A">
      <w:pPr>
        <w:spacing w:after="120"/>
        <w:ind w:left="2268" w:right="1134" w:hanging="1134"/>
        <w:jc w:val="both"/>
      </w:pPr>
      <w:r>
        <w:rPr>
          <w:i/>
        </w:rPr>
        <w:t>Insert new p</w:t>
      </w:r>
      <w:r w:rsidR="0021313A" w:rsidRPr="0021313A">
        <w:rPr>
          <w:i/>
        </w:rPr>
        <w:t xml:space="preserve">aragraph </w:t>
      </w:r>
      <w:r>
        <w:rPr>
          <w:i/>
          <w:lang w:val="en-US"/>
        </w:rPr>
        <w:t>5.5</w:t>
      </w:r>
      <w:r w:rsidR="0021313A" w:rsidRPr="0021313A">
        <w:rPr>
          <w:i/>
          <w:lang w:val="en-US"/>
        </w:rPr>
        <w:t>.,</w:t>
      </w:r>
      <w:r w:rsidR="0021313A" w:rsidRPr="0021313A">
        <w:rPr>
          <w:iCs/>
        </w:rPr>
        <w:t xml:space="preserve"> amend to read</w:t>
      </w:r>
      <w:r w:rsidR="0021313A" w:rsidRPr="0021313A">
        <w:t>:</w:t>
      </w:r>
    </w:p>
    <w:p w:rsidR="00957E98" w:rsidRPr="00F9620A" w:rsidRDefault="005A37E8" w:rsidP="00F9620A">
      <w:pPr>
        <w:pStyle w:val="SingleTxtG"/>
        <w:ind w:left="2268" w:hanging="1134"/>
        <w:jc w:val="left"/>
        <w:rPr>
          <w:b/>
        </w:rPr>
      </w:pPr>
      <w:r w:rsidRPr="005A37E8">
        <w:rPr>
          <w:b/>
        </w:rPr>
        <w:t>"5.5</w:t>
      </w:r>
      <w:r w:rsidRPr="005A37E8">
        <w:rPr>
          <w:b/>
        </w:rPr>
        <w:tab/>
      </w:r>
      <w:r w:rsidR="009D317D" w:rsidRPr="00F9620A">
        <w:rPr>
          <w:b/>
        </w:rPr>
        <w:t xml:space="preserve">Static test </w:t>
      </w:r>
      <w:r w:rsidR="00F9620A" w:rsidRPr="00F9620A">
        <w:rPr>
          <w:b/>
        </w:rPr>
        <w:t xml:space="preserve">in Annex 5 </w:t>
      </w:r>
      <w:r w:rsidR="00957E98" w:rsidRPr="00F9620A">
        <w:rPr>
          <w:b/>
        </w:rPr>
        <w:t>is not permitted if the seat is</w:t>
      </w:r>
      <w:r w:rsidR="009D317D" w:rsidRPr="00F9620A">
        <w:rPr>
          <w:b/>
        </w:rPr>
        <w:t xml:space="preserve"> attached to the </w:t>
      </w:r>
      <w:r w:rsidR="00957E98" w:rsidRPr="00F9620A">
        <w:rPr>
          <w:b/>
        </w:rPr>
        <w:t>vehicle structure</w:t>
      </w:r>
      <w:r w:rsidR="009D317D" w:rsidRPr="00F9620A">
        <w:rPr>
          <w:b/>
        </w:rPr>
        <w:t xml:space="preserve"> </w:t>
      </w:r>
      <w:r w:rsidR="00957E98" w:rsidRPr="00F9620A">
        <w:rPr>
          <w:b/>
        </w:rPr>
        <w:t xml:space="preserve">by means of </w:t>
      </w:r>
      <w:r w:rsidR="0004755F">
        <w:rPr>
          <w:b/>
        </w:rPr>
        <w:t xml:space="preserve">any </w:t>
      </w:r>
      <w:r w:rsidR="00957E98" w:rsidRPr="00F9620A">
        <w:rPr>
          <w:b/>
        </w:rPr>
        <w:t xml:space="preserve">clamping without mechanical </w:t>
      </w:r>
      <w:r w:rsidR="002844E6" w:rsidRPr="00F9620A">
        <w:rPr>
          <w:b/>
        </w:rPr>
        <w:t>fixation</w:t>
      </w:r>
      <w:r w:rsidR="00957E98" w:rsidRPr="00F9620A">
        <w:rPr>
          <w:b/>
        </w:rPr>
        <w:t xml:space="preserve">. Mechanical </w:t>
      </w:r>
      <w:r w:rsidR="002844E6" w:rsidRPr="00F9620A">
        <w:rPr>
          <w:b/>
        </w:rPr>
        <w:t>fixation</w:t>
      </w:r>
      <w:r w:rsidR="00957E98" w:rsidRPr="00F9620A">
        <w:rPr>
          <w:b/>
        </w:rPr>
        <w:t xml:space="preserve"> means a fixation of the seat that prevents the seat from moving in the driving direction.</w:t>
      </w:r>
    </w:p>
    <w:p w:rsidR="005270BC" w:rsidRDefault="005270BC" w:rsidP="0021313A">
      <w:pPr>
        <w:pStyle w:val="SingleTxtG"/>
        <w:ind w:left="2268" w:hanging="1134"/>
        <w:rPr>
          <w:rFonts w:eastAsia="Arial"/>
          <w:i/>
        </w:rPr>
      </w:pPr>
    </w:p>
    <w:p w:rsidR="00B31904" w:rsidRPr="00C05777" w:rsidRDefault="00C05777" w:rsidP="0021313A">
      <w:pPr>
        <w:pStyle w:val="SingleTxtG"/>
        <w:ind w:left="2268" w:hanging="1134"/>
        <w:rPr>
          <w:rFonts w:eastAsia="Arial"/>
          <w:i/>
        </w:rPr>
      </w:pPr>
      <w:r w:rsidRPr="00C05777">
        <w:rPr>
          <w:rFonts w:eastAsia="Arial"/>
          <w:i/>
        </w:rPr>
        <w:t xml:space="preserve">Renumber former </w:t>
      </w:r>
      <w:r>
        <w:rPr>
          <w:rFonts w:eastAsia="Arial"/>
          <w:i/>
        </w:rPr>
        <w:t xml:space="preserve">paragraph </w:t>
      </w:r>
      <w:r w:rsidR="0056237C">
        <w:rPr>
          <w:rFonts w:eastAsia="Arial"/>
          <w:i/>
        </w:rPr>
        <w:t>5.5. with</w:t>
      </w:r>
      <w:r w:rsidRPr="00C05777">
        <w:rPr>
          <w:rFonts w:eastAsia="Arial"/>
          <w:i/>
        </w:rPr>
        <w:t xml:space="preserve"> 5.6</w:t>
      </w:r>
    </w:p>
    <w:p w:rsidR="00B31904" w:rsidRDefault="00B31904" w:rsidP="0021313A">
      <w:pPr>
        <w:pStyle w:val="SingleTxtG"/>
        <w:ind w:left="2268" w:hanging="1134"/>
        <w:rPr>
          <w:rFonts w:eastAsia="Arial"/>
        </w:rPr>
      </w:pPr>
    </w:p>
    <w:p w:rsidR="000D01B0" w:rsidRPr="009D6BF6" w:rsidRDefault="006D22A9" w:rsidP="009D6BF6">
      <w:pPr>
        <w:spacing w:after="120"/>
        <w:ind w:left="2268" w:right="1134" w:hanging="1134"/>
        <w:jc w:val="both"/>
        <w:rPr>
          <w:i/>
        </w:rPr>
      </w:pPr>
      <w:r w:rsidRPr="009D6BF6">
        <w:rPr>
          <w:i/>
        </w:rPr>
        <w:t xml:space="preserve">Insert new </w:t>
      </w:r>
      <w:r w:rsidR="000D01B0" w:rsidRPr="009D6BF6">
        <w:rPr>
          <w:i/>
        </w:rPr>
        <w:t xml:space="preserve">Paragraphs 12.10 to 12.14, </w:t>
      </w:r>
      <w:r w:rsidRPr="009D6BF6">
        <w:rPr>
          <w:i/>
        </w:rPr>
        <w:t>to read</w:t>
      </w:r>
      <w:r w:rsidR="000D01B0" w:rsidRPr="009D6BF6">
        <w:rPr>
          <w:i/>
        </w:rPr>
        <w:t>:</w:t>
      </w:r>
    </w:p>
    <w:p w:rsidR="000D01B0" w:rsidRPr="00037681" w:rsidRDefault="000D01B0" w:rsidP="0009568F">
      <w:pPr>
        <w:pStyle w:val="SingleTxtG"/>
        <w:ind w:left="1701" w:hanging="708"/>
        <w:rPr>
          <w:rFonts w:eastAsia="Arial"/>
          <w:b/>
          <w:lang w:val="en-US"/>
        </w:rPr>
      </w:pPr>
      <w:r w:rsidRPr="00037681">
        <w:rPr>
          <w:rFonts w:eastAsia="Arial"/>
          <w:b/>
          <w:lang w:val="en-US"/>
        </w:rPr>
        <w:t>"12.10.</w:t>
      </w:r>
      <w:r w:rsidRPr="00037681">
        <w:rPr>
          <w:rFonts w:eastAsia="Arial"/>
          <w:b/>
          <w:lang w:val="en-US"/>
        </w:rPr>
        <w:tab/>
      </w:r>
      <w:r w:rsidR="0009568F">
        <w:rPr>
          <w:rFonts w:eastAsia="Arial"/>
          <w:b/>
          <w:lang w:val="en-US"/>
        </w:rPr>
        <w:tab/>
      </w:r>
      <w:r w:rsidRPr="00037681">
        <w:rPr>
          <w:rFonts w:eastAsia="Arial"/>
          <w:b/>
          <w:lang w:val="en-US"/>
        </w:rPr>
        <w:t>As from the official date of entry into force of the 04 series of amendments, no Contracting Party applying this UN Regulation shall refuse to grant or refuse to accept UN type-approvals under this UN Regulation as amended by the 04 series of amendments.</w:t>
      </w:r>
    </w:p>
    <w:p w:rsidR="000D01B0" w:rsidRPr="00037681" w:rsidRDefault="000D01B0" w:rsidP="0009568F">
      <w:pPr>
        <w:pStyle w:val="SingleTxtG"/>
        <w:ind w:left="1701" w:hanging="708"/>
        <w:rPr>
          <w:rFonts w:eastAsia="Arial"/>
          <w:b/>
          <w:lang w:val="en-US"/>
        </w:rPr>
      </w:pPr>
      <w:r w:rsidRPr="00037681">
        <w:rPr>
          <w:rFonts w:eastAsia="Arial"/>
          <w:b/>
          <w:lang w:val="en-US"/>
        </w:rPr>
        <w:t>12.11.</w:t>
      </w:r>
      <w:r w:rsidRPr="00037681">
        <w:rPr>
          <w:rFonts w:eastAsia="Arial"/>
          <w:b/>
          <w:lang w:val="en-US"/>
        </w:rPr>
        <w:tab/>
        <w:t xml:space="preserve">As from 1 September </w:t>
      </w:r>
      <w:r w:rsidR="00E02760" w:rsidRPr="00CA118B">
        <w:rPr>
          <w:rFonts w:eastAsia="Arial"/>
          <w:b/>
          <w:lang w:val="en-US"/>
        </w:rPr>
        <w:t>2021</w:t>
      </w:r>
      <w:r w:rsidRPr="00037681">
        <w:rPr>
          <w:rFonts w:eastAsia="Arial"/>
          <w:b/>
          <w:lang w:val="en-US"/>
        </w:rPr>
        <w:t>, Contracting Parties applying this UN Regulation shall not be obliged to accept UN type-approvals to the preceding series of amendments, fi</w:t>
      </w:r>
      <w:r w:rsidR="00CA118B">
        <w:rPr>
          <w:rFonts w:eastAsia="Arial"/>
          <w:b/>
          <w:lang w:val="en-US"/>
        </w:rPr>
        <w:t>rst issued after 1 September 2021</w:t>
      </w:r>
      <w:r w:rsidRPr="00037681">
        <w:rPr>
          <w:rFonts w:eastAsia="Arial"/>
          <w:b/>
          <w:lang w:val="en-US"/>
        </w:rPr>
        <w:t>.</w:t>
      </w:r>
    </w:p>
    <w:p w:rsidR="009D6BF6" w:rsidRPr="009D6BF6" w:rsidRDefault="0009568F" w:rsidP="009D6BF6">
      <w:pPr>
        <w:pStyle w:val="SingleTxtG"/>
        <w:ind w:left="1701" w:hanging="708"/>
        <w:rPr>
          <w:rFonts w:eastAsia="Arial"/>
          <w:lang w:val="en-US"/>
        </w:rPr>
      </w:pPr>
      <w:r>
        <w:rPr>
          <w:rFonts w:eastAsia="Arial"/>
          <w:b/>
          <w:lang w:val="en-US"/>
        </w:rPr>
        <w:t>1</w:t>
      </w:r>
      <w:r w:rsidR="00777529">
        <w:rPr>
          <w:rFonts w:eastAsia="Arial"/>
          <w:b/>
          <w:lang w:val="en-US"/>
        </w:rPr>
        <w:t>2.12.</w:t>
      </w:r>
      <w:r w:rsidR="00777529">
        <w:rPr>
          <w:rFonts w:eastAsia="Arial"/>
          <w:b/>
          <w:lang w:val="en-US"/>
        </w:rPr>
        <w:tab/>
        <w:t xml:space="preserve">Until 1 September </w:t>
      </w:r>
      <w:r w:rsidR="00CA118B" w:rsidRPr="00CA118B">
        <w:rPr>
          <w:rFonts w:eastAsia="Arial"/>
          <w:b/>
          <w:lang w:val="en-US"/>
        </w:rPr>
        <w:t>2022</w:t>
      </w:r>
      <w:r w:rsidR="000D01B0" w:rsidRPr="00037681">
        <w:rPr>
          <w:rFonts w:eastAsia="Arial"/>
          <w:b/>
          <w:lang w:val="en-US"/>
        </w:rPr>
        <w:t xml:space="preserve">, Contracting Parties applying this UN Regulation shall accept UN type-approvals to the preceding series of amendments, first issued before 1 </w:t>
      </w:r>
      <w:r w:rsidR="000D01B0" w:rsidRPr="006D22A9">
        <w:rPr>
          <w:rFonts w:eastAsia="Arial"/>
          <w:b/>
          <w:lang w:val="en-US"/>
        </w:rPr>
        <w:t xml:space="preserve">September </w:t>
      </w:r>
      <w:r w:rsidR="00E02760" w:rsidRPr="00CA118B">
        <w:rPr>
          <w:rFonts w:eastAsia="Arial"/>
          <w:b/>
          <w:lang w:val="en-US"/>
        </w:rPr>
        <w:t>2021</w:t>
      </w:r>
      <w:r w:rsidR="000D01B0" w:rsidRPr="006D22A9">
        <w:rPr>
          <w:rFonts w:eastAsia="Arial"/>
          <w:b/>
          <w:lang w:val="en-US"/>
        </w:rPr>
        <w:t>.</w:t>
      </w: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0D01B0" w:rsidRPr="006D22A9" w:rsidRDefault="00777529" w:rsidP="0009568F">
      <w:pPr>
        <w:pStyle w:val="SingleTxtG"/>
        <w:ind w:left="1701" w:hanging="708"/>
        <w:rPr>
          <w:rFonts w:eastAsia="Arial"/>
          <w:b/>
          <w:lang w:val="en-US"/>
        </w:rPr>
      </w:pPr>
      <w:r>
        <w:rPr>
          <w:rFonts w:eastAsia="Arial"/>
          <w:b/>
          <w:lang w:val="en-US"/>
        </w:rPr>
        <w:lastRenderedPageBreak/>
        <w:t>12.13.</w:t>
      </w:r>
      <w:r>
        <w:rPr>
          <w:rFonts w:eastAsia="Arial"/>
          <w:b/>
          <w:lang w:val="en-US"/>
        </w:rPr>
        <w:tab/>
        <w:t xml:space="preserve">As from 1 September </w:t>
      </w:r>
      <w:r w:rsidR="000D01B0" w:rsidRPr="00CA118B">
        <w:rPr>
          <w:rFonts w:eastAsia="Arial"/>
          <w:b/>
          <w:lang w:val="en-US"/>
        </w:rPr>
        <w:t>202</w:t>
      </w:r>
      <w:r w:rsidR="00E02760" w:rsidRPr="00CA118B">
        <w:rPr>
          <w:rFonts w:eastAsia="Arial"/>
          <w:b/>
          <w:lang w:val="en-US"/>
        </w:rPr>
        <w:t>2</w:t>
      </w:r>
      <w:r w:rsidR="000D01B0" w:rsidRPr="006D22A9">
        <w:rPr>
          <w:rFonts w:eastAsia="Arial"/>
          <w:b/>
          <w:lang w:val="en-US"/>
        </w:rPr>
        <w:t>, Contracting Parties applying this UN Regulation shall not be obliged to accept type-approvals issued to the preceding series of amendments to this Regulation.</w:t>
      </w:r>
    </w:p>
    <w:p w:rsidR="000D01B0" w:rsidRPr="006D22A9" w:rsidRDefault="000D01B0" w:rsidP="00777529">
      <w:pPr>
        <w:ind w:left="1701" w:right="1134" w:hanging="708"/>
        <w:jc w:val="both"/>
        <w:rPr>
          <w:rFonts w:eastAsia="Arial"/>
          <w:b/>
        </w:rPr>
      </w:pPr>
      <w:r w:rsidRPr="006D22A9">
        <w:rPr>
          <w:rFonts w:eastAsia="Arial"/>
          <w:b/>
        </w:rPr>
        <w:t>12.14.</w:t>
      </w:r>
      <w:r w:rsidRPr="006D22A9">
        <w:rPr>
          <w:rFonts w:eastAsia="Arial"/>
          <w:b/>
        </w:rPr>
        <w:tab/>
        <w:t>Contracting Parties applying this UN Regulation shall not refuse to grant UN type-approvals according to any preceding series of amendments to this UN Regulation or extensions thereof."</w:t>
      </w:r>
    </w:p>
    <w:p w:rsidR="000D01B0" w:rsidRPr="0021313A" w:rsidRDefault="000D01B0" w:rsidP="0021313A">
      <w:pPr>
        <w:ind w:left="2268" w:right="1134" w:hanging="1134"/>
        <w:jc w:val="both"/>
        <w:rPr>
          <w:rFonts w:eastAsia="Arial"/>
          <w:b/>
          <w:lang w:val="en-US"/>
        </w:rPr>
      </w:pPr>
    </w:p>
    <w:p w:rsidR="00660565" w:rsidRPr="0059255D" w:rsidRDefault="00660565" w:rsidP="00660565">
      <w:pPr>
        <w:pStyle w:val="HChG"/>
      </w:pPr>
      <w:r>
        <w:rPr>
          <w:rFonts w:eastAsia="Calibri"/>
          <w:lang w:val="en-US"/>
        </w:rPr>
        <w:tab/>
      </w:r>
      <w:r>
        <w:rPr>
          <w:rFonts w:eastAsia="Calibri"/>
          <w:lang w:val="en-US"/>
        </w:rPr>
        <w:tab/>
        <w:t>"</w:t>
      </w:r>
      <w:r>
        <w:t>7.</w:t>
      </w:r>
      <w:r>
        <w:tab/>
      </w:r>
      <w:r>
        <w:tab/>
      </w:r>
      <w:r w:rsidRPr="0059255D">
        <w:t>Conformity of production</w:t>
      </w:r>
    </w:p>
    <w:p w:rsidR="00660565" w:rsidRPr="004D37B1" w:rsidRDefault="00660565" w:rsidP="00660565">
      <w:pPr>
        <w:pStyle w:val="SingleTxtG"/>
        <w:ind w:left="2268" w:hanging="1134"/>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BD36C3" w:rsidRDefault="00BD36C3" w:rsidP="002B0790">
      <w:pPr>
        <w:spacing w:after="120"/>
        <w:ind w:right="1134"/>
        <w:jc w:val="both"/>
        <w:rPr>
          <w:i/>
        </w:rPr>
      </w:pPr>
    </w:p>
    <w:p w:rsidR="00B31904" w:rsidRPr="002B0790" w:rsidRDefault="00B31904" w:rsidP="00C05777">
      <w:pPr>
        <w:spacing w:after="120"/>
        <w:ind w:left="2268" w:right="1134" w:hanging="1134"/>
        <w:jc w:val="both"/>
        <w:rPr>
          <w:i/>
          <w:lang w:val="en-US"/>
        </w:rPr>
      </w:pPr>
    </w:p>
    <w:p w:rsidR="0021313A" w:rsidRPr="0021313A" w:rsidRDefault="0021313A" w:rsidP="0021313A">
      <w:pPr>
        <w:pStyle w:val="HChG"/>
        <w:rPr>
          <w:rFonts w:eastAsia="Arial"/>
        </w:rPr>
      </w:pPr>
      <w:r w:rsidRPr="0021313A">
        <w:rPr>
          <w:rFonts w:eastAsia="Arial"/>
        </w:rPr>
        <w:t>"Annex</w:t>
      </w:r>
      <w:r w:rsidRPr="0021313A">
        <w:rPr>
          <w:rFonts w:eastAsia="Arial"/>
          <w:spacing w:val="15"/>
        </w:rPr>
        <w:t xml:space="preserve"> </w:t>
      </w:r>
      <w:r w:rsidRPr="0021313A">
        <w:rPr>
          <w:rFonts w:eastAsia="Arial"/>
        </w:rPr>
        <w:t>3</w:t>
      </w:r>
    </w:p>
    <w:p w:rsidR="0021313A" w:rsidRPr="0021313A" w:rsidRDefault="0021313A" w:rsidP="0021313A">
      <w:pPr>
        <w:pStyle w:val="H1G"/>
      </w:pPr>
      <w:r w:rsidRPr="0021313A">
        <w:rPr>
          <w:rFonts w:eastAsia="Arial"/>
        </w:rPr>
        <w:tab/>
      </w:r>
      <w:r w:rsidRPr="0021313A">
        <w:rPr>
          <w:rFonts w:eastAsia="Arial"/>
        </w:rPr>
        <w:tab/>
        <w:t>Arrangements of approval mark</w:t>
      </w:r>
    </w:p>
    <w:p w:rsidR="0021313A" w:rsidRPr="0021313A" w:rsidRDefault="0021313A" w:rsidP="0021313A">
      <w:pPr>
        <w:tabs>
          <w:tab w:val="left" w:pos="1320"/>
        </w:tabs>
        <w:ind w:left="2268" w:right="1134" w:hanging="1134"/>
        <w:rPr>
          <w:rFonts w:eastAsia="Arial"/>
        </w:rPr>
      </w:pPr>
      <w:r w:rsidRPr="0021313A">
        <w:rPr>
          <w:rFonts w:eastAsia="Arial"/>
          <w:spacing w:val="8"/>
        </w:rPr>
        <w:t>1</w:t>
      </w:r>
      <w:r w:rsidRPr="0021313A">
        <w:rPr>
          <w:rFonts w:eastAsia="Arial"/>
        </w:rPr>
        <w:t>.</w:t>
      </w:r>
      <w:r w:rsidRPr="0021313A">
        <w:rPr>
          <w:rFonts w:eastAsia="Arial"/>
        </w:rPr>
        <w:tab/>
      </w:r>
      <w:r w:rsidRPr="0021313A">
        <w:rPr>
          <w:rFonts w:eastAsia="Arial"/>
        </w:rPr>
        <w:tab/>
      </w:r>
      <w:r w:rsidRPr="00240880">
        <w:t>Arrangement in the approval mark for a seat</w:t>
      </w:r>
    </w:p>
    <w:p w:rsidR="0021313A" w:rsidRPr="0021313A" w:rsidRDefault="0021313A" w:rsidP="0021313A">
      <w:pPr>
        <w:ind w:left="2268" w:right="1134" w:hanging="1134"/>
        <w:rPr>
          <w:rFonts w:eastAsia="Arial"/>
          <w:b/>
        </w:rPr>
      </w:pPr>
      <w:r w:rsidRPr="0021313A">
        <w:rPr>
          <w:rFonts w:eastAsia="Arial"/>
          <w:b/>
          <w:noProof/>
          <w:lang w:val="en-US" w:eastAsia="zh-CN"/>
        </w:rPr>
        <w:drawing>
          <wp:inline distT="0" distB="0" distL="0" distR="0" wp14:anchorId="160AC074" wp14:editId="3585D983">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21313A" w:rsidRPr="00240880" w:rsidRDefault="0021313A" w:rsidP="00240880">
      <w:pPr>
        <w:pStyle w:val="SingleTxtG"/>
        <w:ind w:left="2268" w:hanging="1134"/>
      </w:pPr>
      <w:r w:rsidRPr="0021313A">
        <w:rPr>
          <w:rFonts w:eastAsia="Arial"/>
        </w:rPr>
        <w:tab/>
      </w:r>
      <w:r w:rsidRPr="00240880">
        <w:t xml:space="preserve">The above approval mark affixed to a seat shows that the seat type concerned has, with regard to the strength of the seats, the test being carried out in accordance with paragraph 2 of Annex 4, been approved in the Netherlands (E4) under number </w:t>
      </w:r>
      <w:r w:rsidR="00240880">
        <w:t>0</w:t>
      </w:r>
      <w:r w:rsidR="002B0790" w:rsidRPr="002B0790">
        <w:rPr>
          <w:strike/>
        </w:rPr>
        <w:t>3</w:t>
      </w:r>
      <w:r w:rsidR="00240880" w:rsidRPr="00240880">
        <w:rPr>
          <w:b/>
        </w:rPr>
        <w:t>4</w:t>
      </w:r>
      <w:r w:rsidRPr="00240880">
        <w:t>2439.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p>
    <w:p w:rsidR="0021313A" w:rsidRPr="0021313A" w:rsidRDefault="0021313A" w:rsidP="00240880">
      <w:pPr>
        <w:pStyle w:val="SingleTxtG"/>
        <w:ind w:left="2268" w:hanging="1134"/>
        <w:rPr>
          <w:rFonts w:eastAsia="Arial"/>
        </w:rPr>
      </w:pPr>
      <w:r w:rsidRPr="0021313A">
        <w:rPr>
          <w:rFonts w:eastAsia="Arial"/>
        </w:rPr>
        <w:t>2.</w:t>
      </w:r>
      <w:r w:rsidRPr="0021313A">
        <w:rPr>
          <w:rFonts w:eastAsia="Arial"/>
        </w:rPr>
        <w:tab/>
      </w:r>
      <w:r w:rsidRPr="0021313A">
        <w:rPr>
          <w:rFonts w:eastAsia="Arial"/>
        </w:rPr>
        <w:tab/>
        <w:t>Arr</w:t>
      </w:r>
      <w:r w:rsidRPr="0021313A">
        <w:rPr>
          <w:rFonts w:eastAsia="Arial"/>
          <w:spacing w:val="7"/>
        </w:rPr>
        <w:t>an</w:t>
      </w:r>
      <w:r w:rsidRPr="0021313A">
        <w:rPr>
          <w:rFonts w:eastAsia="Arial"/>
        </w:rPr>
        <w:t>g</w:t>
      </w:r>
      <w:r w:rsidRPr="0021313A">
        <w:rPr>
          <w:rFonts w:eastAsia="Arial"/>
          <w:spacing w:val="7"/>
        </w:rPr>
        <w:t>em</w:t>
      </w:r>
      <w:r w:rsidRPr="0021313A">
        <w:rPr>
          <w:rFonts w:eastAsia="Arial"/>
        </w:rPr>
        <w:t>e</w:t>
      </w:r>
      <w:r w:rsidRPr="0021313A">
        <w:rPr>
          <w:rFonts w:eastAsia="Arial"/>
          <w:spacing w:val="7"/>
        </w:rPr>
        <w:t>n</w:t>
      </w:r>
      <w:r w:rsidRPr="0021313A">
        <w:rPr>
          <w:rFonts w:eastAsia="Arial"/>
        </w:rPr>
        <w:t>t</w:t>
      </w:r>
      <w:r w:rsidRPr="0021313A">
        <w:rPr>
          <w:rFonts w:eastAsia="Arial"/>
          <w:spacing w:val="16"/>
        </w:rPr>
        <w:t xml:space="preserve"> </w:t>
      </w:r>
      <w:r w:rsidRPr="0021313A">
        <w:rPr>
          <w:rFonts w:eastAsia="Arial"/>
        </w:rPr>
        <w:t>in</w:t>
      </w:r>
      <w:r w:rsidRPr="0021313A">
        <w:rPr>
          <w:rFonts w:eastAsia="Arial"/>
          <w:spacing w:val="16"/>
        </w:rPr>
        <w:t xml:space="preserve"> </w:t>
      </w:r>
      <w:r w:rsidRPr="0021313A">
        <w:rPr>
          <w:rFonts w:eastAsia="Arial"/>
          <w:spacing w:val="7"/>
        </w:rPr>
        <w:t>t</w:t>
      </w:r>
      <w:r w:rsidRPr="0021313A">
        <w:rPr>
          <w:rFonts w:eastAsia="Arial"/>
        </w:rPr>
        <w:t>he</w:t>
      </w:r>
      <w:r w:rsidRPr="0021313A">
        <w:rPr>
          <w:rFonts w:eastAsia="Arial"/>
          <w:spacing w:val="15"/>
        </w:rPr>
        <w:t xml:space="preserve"> </w:t>
      </w:r>
      <w:r w:rsidRPr="0021313A">
        <w:rPr>
          <w:rFonts w:eastAsia="Arial"/>
          <w:spacing w:val="7"/>
        </w:rPr>
        <w:t>a</w:t>
      </w:r>
      <w:r w:rsidRPr="0021313A">
        <w:rPr>
          <w:rFonts w:eastAsia="Arial"/>
        </w:rPr>
        <w:t>p</w:t>
      </w:r>
      <w:r w:rsidRPr="0021313A">
        <w:rPr>
          <w:rFonts w:eastAsia="Arial"/>
          <w:spacing w:val="7"/>
        </w:rPr>
        <w:t>p</w:t>
      </w:r>
      <w:r w:rsidRPr="0021313A">
        <w:rPr>
          <w:rFonts w:eastAsia="Arial"/>
        </w:rPr>
        <w:t>rov</w:t>
      </w:r>
      <w:r w:rsidRPr="0021313A">
        <w:rPr>
          <w:rFonts w:eastAsia="Arial"/>
          <w:spacing w:val="7"/>
        </w:rPr>
        <w:t>a</w:t>
      </w:r>
      <w:r w:rsidRPr="0021313A">
        <w:rPr>
          <w:rFonts w:eastAsia="Arial"/>
        </w:rPr>
        <w:t>l</w:t>
      </w:r>
      <w:r w:rsidRPr="0021313A">
        <w:rPr>
          <w:rFonts w:eastAsia="Arial"/>
          <w:spacing w:val="16"/>
        </w:rPr>
        <w:t xml:space="preserve"> </w:t>
      </w:r>
      <w:r w:rsidRPr="0021313A">
        <w:rPr>
          <w:rFonts w:eastAsia="Arial"/>
          <w:spacing w:val="7"/>
        </w:rPr>
        <w:t>ma</w:t>
      </w:r>
      <w:r w:rsidRPr="0021313A">
        <w:rPr>
          <w:rFonts w:eastAsia="Arial"/>
        </w:rPr>
        <w:t>rk</w:t>
      </w:r>
      <w:r w:rsidRPr="0021313A">
        <w:rPr>
          <w:rFonts w:eastAsia="Arial"/>
          <w:spacing w:val="16"/>
        </w:rPr>
        <w:t xml:space="preserve"> </w:t>
      </w:r>
      <w:r w:rsidRPr="0021313A">
        <w:rPr>
          <w:rFonts w:eastAsia="Arial"/>
        </w:rPr>
        <w:t>f</w:t>
      </w:r>
      <w:r w:rsidRPr="0021313A">
        <w:rPr>
          <w:rFonts w:eastAsia="Arial"/>
          <w:spacing w:val="7"/>
        </w:rPr>
        <w:t>o</w:t>
      </w:r>
      <w:r w:rsidRPr="0021313A">
        <w:rPr>
          <w:rFonts w:eastAsia="Arial"/>
        </w:rPr>
        <w:t>r</w:t>
      </w:r>
      <w:r w:rsidRPr="0021313A">
        <w:rPr>
          <w:rFonts w:eastAsia="Arial"/>
          <w:spacing w:val="15"/>
        </w:rPr>
        <w:t xml:space="preserve"> </w:t>
      </w:r>
      <w:r w:rsidRPr="0021313A">
        <w:rPr>
          <w:rFonts w:eastAsia="Arial"/>
        </w:rPr>
        <w:t>a</w:t>
      </w:r>
      <w:r w:rsidRPr="0021313A">
        <w:rPr>
          <w:rFonts w:eastAsia="Arial"/>
          <w:spacing w:val="16"/>
        </w:rPr>
        <w:t xml:space="preserve"> </w:t>
      </w:r>
      <w:r w:rsidRPr="0021313A">
        <w:rPr>
          <w:rFonts w:eastAsia="Arial"/>
        </w:rPr>
        <w:t>v</w:t>
      </w:r>
      <w:r w:rsidRPr="0021313A">
        <w:rPr>
          <w:rFonts w:eastAsia="Arial"/>
          <w:spacing w:val="7"/>
        </w:rPr>
        <w:t>e</w:t>
      </w:r>
      <w:r w:rsidRPr="0021313A">
        <w:rPr>
          <w:rFonts w:eastAsia="Arial"/>
        </w:rPr>
        <w:t>h</w:t>
      </w:r>
      <w:r w:rsidRPr="0021313A">
        <w:rPr>
          <w:rFonts w:eastAsia="Arial"/>
          <w:spacing w:val="7"/>
        </w:rPr>
        <w:t>i</w:t>
      </w:r>
      <w:r w:rsidRPr="0021313A">
        <w:rPr>
          <w:rFonts w:eastAsia="Arial"/>
        </w:rPr>
        <w:t>c</w:t>
      </w:r>
      <w:r w:rsidRPr="0021313A">
        <w:rPr>
          <w:rFonts w:eastAsia="Arial"/>
          <w:spacing w:val="7"/>
        </w:rPr>
        <w:t>l</w:t>
      </w:r>
      <w:r w:rsidRPr="0021313A">
        <w:rPr>
          <w:rFonts w:eastAsia="Arial"/>
        </w:rPr>
        <w:t>e</w:t>
      </w:r>
      <w:r w:rsidRPr="0021313A">
        <w:rPr>
          <w:rFonts w:eastAsia="Arial"/>
          <w:spacing w:val="16"/>
        </w:rPr>
        <w:t xml:space="preserve"> </w:t>
      </w:r>
      <w:r w:rsidRPr="0021313A">
        <w:rPr>
          <w:rFonts w:eastAsia="Arial"/>
          <w:spacing w:val="7"/>
        </w:rPr>
        <w:t>t</w:t>
      </w:r>
      <w:r w:rsidRPr="0021313A">
        <w:rPr>
          <w:rFonts w:eastAsia="Arial"/>
        </w:rPr>
        <w:t>ype</w:t>
      </w:r>
    </w:p>
    <w:p w:rsidR="0021313A" w:rsidRPr="0021313A" w:rsidRDefault="0021313A" w:rsidP="0021313A">
      <w:pPr>
        <w:tabs>
          <w:tab w:val="left" w:pos="1320"/>
        </w:tabs>
        <w:ind w:left="2268" w:right="1134" w:hanging="1134"/>
        <w:rPr>
          <w:rFonts w:eastAsia="Arial"/>
        </w:rPr>
      </w:pPr>
      <w:r w:rsidRPr="0021313A">
        <w:rPr>
          <w:rFonts w:eastAsia="Arial"/>
          <w:noProof/>
          <w:lang w:val="en-US" w:eastAsia="zh-CN"/>
        </w:rPr>
        <w:drawing>
          <wp:inline distT="0" distB="0" distL="0" distR="0" wp14:anchorId="6AF65958" wp14:editId="07CE6E3F">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1076475"/>
                    </a:xfrm>
                    <a:prstGeom prst="rect">
                      <a:avLst/>
                    </a:prstGeom>
                  </pic:spPr>
                </pic:pic>
              </a:graphicData>
            </a:graphic>
          </wp:inline>
        </w:drawing>
      </w:r>
    </w:p>
    <w:p w:rsidR="0021313A" w:rsidRPr="0021313A" w:rsidRDefault="0021313A" w:rsidP="0021313A">
      <w:pPr>
        <w:ind w:left="2268" w:right="1134"/>
        <w:jc w:val="both"/>
        <w:rPr>
          <w:rFonts w:eastAsia="Arial"/>
        </w:rPr>
      </w:pPr>
      <w:r w:rsidRPr="00240880">
        <w:t>The above approval mark, affixed to a vehicle, shows that this type of vehicle has been approved in the Netherlands (E4) under number 0</w:t>
      </w:r>
      <w:r w:rsidR="002B0790" w:rsidRPr="002B0790">
        <w:rPr>
          <w:strike/>
        </w:rPr>
        <w:t>3</w:t>
      </w:r>
      <w:r w:rsidR="00240880">
        <w:rPr>
          <w:b/>
        </w:rPr>
        <w:t>4</w:t>
      </w:r>
      <w:r w:rsidRPr="00240880">
        <w:t>2439 with regard to the strength of the anchorages on the vehicle.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r w:rsidRPr="0021313A">
        <w:rPr>
          <w:rFonts w:eastAsia="Arial"/>
        </w:rPr>
        <w:t>."</w:t>
      </w:r>
    </w:p>
    <w:p w:rsidR="0021313A" w:rsidRPr="0021313A" w:rsidRDefault="0021313A" w:rsidP="0021313A">
      <w:pPr>
        <w:pStyle w:val="HChG"/>
      </w:pPr>
      <w:bookmarkStart w:id="0" w:name="_GoBack"/>
      <w:bookmarkEnd w:id="0"/>
      <w:r w:rsidRPr="0021313A">
        <w:lastRenderedPageBreak/>
        <w:tab/>
        <w:t>II.</w:t>
      </w:r>
      <w:r w:rsidRPr="0021313A">
        <w:tab/>
        <w:t>Justification</w:t>
      </w:r>
      <w:r w:rsidR="0041254B">
        <w:t xml:space="preserve"> </w:t>
      </w:r>
    </w:p>
    <w:p w:rsidR="00E47036" w:rsidRDefault="00E47036" w:rsidP="00E47036">
      <w:pPr>
        <w:spacing w:after="240" w:line="226" w:lineRule="exact"/>
        <w:ind w:left="1134" w:right="1161"/>
        <w:jc w:val="both"/>
      </w:pPr>
      <w:r>
        <w:t>Not only small manufacturers are concerned with the deletion of appendix 5 for static testing</w:t>
      </w:r>
      <w:r w:rsidR="009D6BF6">
        <w:t xml:space="preserve"> as proposed by Germany</w:t>
      </w:r>
      <w:r>
        <w:t xml:space="preserve">, also small projects or class I vehicles (when belts are installed) might benefit from this </w:t>
      </w:r>
      <w:r w:rsidR="009D6BF6">
        <w:t>simpler</w:t>
      </w:r>
      <w:r>
        <w:t xml:space="preserve"> test method.</w:t>
      </w:r>
    </w:p>
    <w:p w:rsidR="00E47036" w:rsidRDefault="00E47036" w:rsidP="00E47036">
      <w:pPr>
        <w:spacing w:after="240" w:line="226" w:lineRule="exact"/>
        <w:ind w:left="1134" w:right="1161"/>
        <w:jc w:val="both"/>
      </w:pPr>
      <w:r>
        <w:t xml:space="preserve">The easy or quick attachments of seats in buses are being targeted by the German proposal.  And indeed some of these fixations pass the static test, but fail the dynamic test because they clamp the seat in its anchorage in only one direction square to the test direction (otherwise it would not be easy nor quick for replacing seats).  The German study did not show however that all other type of </w:t>
      </w:r>
      <w:r w:rsidR="0093260A">
        <w:t>attachments</w:t>
      </w:r>
      <w:r>
        <w:t xml:space="preserve"> </w:t>
      </w:r>
      <w:r w:rsidR="009D6BF6">
        <w:t xml:space="preserve">have </w:t>
      </w:r>
      <w:r>
        <w:t xml:space="preserve">a similar deficiency.  </w:t>
      </w:r>
    </w:p>
    <w:p w:rsidR="009D6BF6" w:rsidRDefault="009D6BF6" w:rsidP="00E47036">
      <w:pPr>
        <w:spacing w:before="240"/>
        <w:ind w:left="1134" w:right="1134"/>
      </w:pPr>
      <w:r>
        <w:t>The static test is a well-known</w:t>
      </w:r>
      <w:r w:rsidR="00E47036">
        <w:t xml:space="preserve"> and acceptable method (a similar requirement is by the way still in US FMVSS 222 for School bus passenger seating and crash protection)</w:t>
      </w:r>
      <w:r>
        <w:t xml:space="preserve">.  According to the proposal by Germany, it </w:t>
      </w:r>
      <w:r w:rsidR="00E47036">
        <w:t xml:space="preserve">would have to be deleted because it allows for one </w:t>
      </w:r>
      <w:r w:rsidR="0093260A">
        <w:t>questionable</w:t>
      </w:r>
      <w:r w:rsidR="00E47036">
        <w:t xml:space="preserve"> attachment.  </w:t>
      </w:r>
    </w:p>
    <w:p w:rsidR="00E47036" w:rsidRDefault="00E47036" w:rsidP="00E47036">
      <w:pPr>
        <w:spacing w:before="240"/>
        <w:ind w:left="1134" w:right="1134"/>
        <w:rPr>
          <w:u w:val="single"/>
        </w:rPr>
      </w:pPr>
      <w:r>
        <w:t>This</w:t>
      </w:r>
      <w:r w:rsidR="009D6BF6">
        <w:t xml:space="preserve"> alternative OICA</w:t>
      </w:r>
      <w:r>
        <w:t xml:space="preserve"> proposal adds a more stringent requirement for the attachment including the supports and fittings of the seat</w:t>
      </w:r>
      <w:r w:rsidR="009D6BF6">
        <w:t>,</w:t>
      </w:r>
      <w:r>
        <w:t xml:space="preserve"> preventing the above described easy o</w:t>
      </w:r>
      <w:r w:rsidR="009D6BF6">
        <w:t>r</w:t>
      </w:r>
      <w:r>
        <w:t xml:space="preserve"> quick attachment to be installed.  That solves the problem</w:t>
      </w:r>
      <w:r w:rsidR="009D6BF6">
        <w:t xml:space="preserve"> correctly identified by Germany</w:t>
      </w:r>
      <w:r>
        <w:t xml:space="preserve"> in another way, but leaves the static test method for use by small manufacturers or small volume vehicle types or class I vehicles</w:t>
      </w:r>
      <w:r w:rsidR="009D6BF6">
        <w:t>.</w:t>
      </w:r>
    </w:p>
    <w:p w:rsidR="00846103" w:rsidRPr="0021313A" w:rsidRDefault="00E47036" w:rsidP="00E47036">
      <w:pPr>
        <w:spacing w:before="240"/>
        <w:ind w:left="1134" w:right="113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313A" w:rsidRPr="0021313A">
        <w:rPr>
          <w:u w:val="single"/>
        </w:rPr>
        <w:tab/>
      </w:r>
      <w:r w:rsidR="0021313A" w:rsidRPr="0021313A">
        <w:rPr>
          <w:u w:val="single"/>
        </w:rPr>
        <w:tab/>
      </w:r>
    </w:p>
    <w:sectPr w:rsidR="00846103" w:rsidRPr="0021313A" w:rsidSect="002F41E8">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52" w:rsidRDefault="00914552"/>
  </w:endnote>
  <w:endnote w:type="continuationSeparator" w:id="0">
    <w:p w:rsidR="00914552" w:rsidRDefault="00914552"/>
  </w:endnote>
  <w:endnote w:type="continuationNotice" w:id="1">
    <w:p w:rsidR="00914552" w:rsidRDefault="0091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8D18C9">
      <w:rPr>
        <w:b/>
        <w:noProof/>
        <w:sz w:val="18"/>
      </w:rPr>
      <w:t>3</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240880" w:rsidP="00387503">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52" w:rsidRPr="000B175B" w:rsidRDefault="00914552" w:rsidP="000B175B">
      <w:pPr>
        <w:tabs>
          <w:tab w:val="right" w:pos="2155"/>
        </w:tabs>
        <w:spacing w:after="80"/>
        <w:ind w:left="680"/>
        <w:rPr>
          <w:u w:val="single"/>
        </w:rPr>
      </w:pPr>
      <w:r>
        <w:rPr>
          <w:u w:val="single"/>
        </w:rPr>
        <w:tab/>
      </w:r>
    </w:p>
  </w:footnote>
  <w:footnote w:type="continuationSeparator" w:id="0">
    <w:p w:rsidR="00914552" w:rsidRPr="00FC68B7" w:rsidRDefault="00914552" w:rsidP="00FC68B7">
      <w:pPr>
        <w:tabs>
          <w:tab w:val="left" w:pos="2155"/>
        </w:tabs>
        <w:spacing w:after="80"/>
        <w:ind w:left="680"/>
        <w:rPr>
          <w:u w:val="single"/>
        </w:rPr>
      </w:pPr>
      <w:r>
        <w:rPr>
          <w:u w:val="single"/>
        </w:rPr>
        <w:tab/>
      </w:r>
    </w:p>
  </w:footnote>
  <w:footnote w:type="continuationNotice" w:id="1">
    <w:p w:rsidR="00914552" w:rsidRDefault="00914552"/>
  </w:footnote>
  <w:footnote w:id="2">
    <w:p w:rsidR="00240880" w:rsidRPr="002232AF" w:rsidRDefault="00240880" w:rsidP="002605AB">
      <w:pPr>
        <w:pStyle w:val="FootnoteText"/>
        <w:tabs>
          <w:tab w:val="left" w:pos="1692"/>
        </w:tabs>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937E1F" w:rsidRPr="00922850" w:rsidTr="00573C71">
      <w:tc>
        <w:tcPr>
          <w:tcW w:w="4961" w:type="dxa"/>
          <w:shd w:val="clear" w:color="auto" w:fill="auto"/>
        </w:tcPr>
        <w:p w:rsidR="00937E1F" w:rsidRPr="00922850" w:rsidRDefault="00937E1F" w:rsidP="00727189">
          <w:pPr>
            <w:pStyle w:val="En-tte1"/>
            <w:rPr>
              <w:sz w:val="20"/>
              <w:szCs w:val="20"/>
              <w:lang w:val="en-GB"/>
            </w:rPr>
          </w:pPr>
          <w:r w:rsidRPr="00922850">
            <w:rPr>
              <w:sz w:val="20"/>
              <w:szCs w:val="20"/>
              <w:lang w:val="en-GB"/>
            </w:rPr>
            <w:t>S</w:t>
          </w:r>
          <w:r w:rsidR="00727189">
            <w:rPr>
              <w:sz w:val="20"/>
              <w:szCs w:val="20"/>
              <w:lang w:val="en-GB"/>
            </w:rPr>
            <w:t>ubmitted by OICA</w:t>
          </w:r>
        </w:p>
      </w:tc>
      <w:tc>
        <w:tcPr>
          <w:tcW w:w="4960" w:type="dxa"/>
          <w:shd w:val="clear" w:color="auto" w:fill="auto"/>
        </w:tcPr>
        <w:p w:rsidR="00937E1F" w:rsidRPr="009D317D" w:rsidRDefault="00937E1F" w:rsidP="00937E1F">
          <w:pPr>
            <w:ind w:left="742"/>
          </w:pPr>
          <w:r w:rsidRPr="009D317D">
            <w:rPr>
              <w:u w:val="single"/>
            </w:rPr>
            <w:t>Informal document</w:t>
          </w:r>
          <w:r w:rsidRPr="009D317D">
            <w:t xml:space="preserve"> </w:t>
          </w:r>
          <w:r w:rsidRPr="009D317D">
            <w:rPr>
              <w:b/>
              <w:bCs/>
            </w:rPr>
            <w:t>GRSP-6</w:t>
          </w:r>
          <w:r w:rsidR="009D6BF6" w:rsidRPr="009D317D">
            <w:rPr>
              <w:b/>
              <w:bCs/>
            </w:rPr>
            <w:t>5</w:t>
          </w:r>
          <w:r w:rsidRPr="009D317D">
            <w:rPr>
              <w:b/>
              <w:bCs/>
            </w:rPr>
            <w:t>-</w:t>
          </w:r>
          <w:r w:rsidR="00942A2C">
            <w:rPr>
              <w:b/>
              <w:bCs/>
            </w:rPr>
            <w:t>29</w:t>
          </w:r>
        </w:p>
        <w:p w:rsidR="00937E1F" w:rsidRPr="009D317D" w:rsidRDefault="00E02760" w:rsidP="00937E1F">
          <w:pPr>
            <w:pStyle w:val="En-tte1"/>
            <w:ind w:left="742"/>
            <w:rPr>
              <w:sz w:val="20"/>
              <w:szCs w:val="20"/>
              <w:lang w:val="en-GB"/>
            </w:rPr>
          </w:pPr>
          <w:r w:rsidRPr="009D317D">
            <w:rPr>
              <w:sz w:val="20"/>
              <w:szCs w:val="20"/>
              <w:lang w:val="en-GB"/>
            </w:rPr>
            <w:t>(65th GRSP, 13-17 May 2019</w:t>
          </w:r>
        </w:p>
        <w:p w:rsidR="00937E1F" w:rsidRPr="00922850" w:rsidRDefault="00937E1F" w:rsidP="00937E1F">
          <w:pPr>
            <w:pStyle w:val="En-tte1"/>
            <w:ind w:left="742"/>
            <w:rPr>
              <w:sz w:val="20"/>
              <w:szCs w:val="20"/>
              <w:lang w:val="nl-BE"/>
            </w:rPr>
          </w:pPr>
          <w:r>
            <w:rPr>
              <w:sz w:val="20"/>
              <w:szCs w:val="20"/>
              <w:lang w:val="nl-BE"/>
            </w:rPr>
            <w:t xml:space="preserve">agenda </w:t>
          </w:r>
          <w:r w:rsidRPr="00A16A78">
            <w:rPr>
              <w:color w:val="auto"/>
              <w:sz w:val="20"/>
              <w:szCs w:val="20"/>
              <w:lang w:val="nl-BE"/>
            </w:rPr>
            <w:t xml:space="preserve">item </w:t>
          </w:r>
          <w:r w:rsidR="009D6BF6">
            <w:rPr>
              <w:color w:val="auto"/>
              <w:sz w:val="20"/>
              <w:szCs w:val="20"/>
              <w:lang w:val="nl-BE"/>
            </w:rPr>
            <w:t>13</w:t>
          </w:r>
          <w:r>
            <w:rPr>
              <w:color w:val="auto"/>
              <w:sz w:val="20"/>
              <w:szCs w:val="20"/>
              <w:lang w:val="nl-BE"/>
            </w:rPr>
            <w:t>)</w:t>
          </w:r>
        </w:p>
      </w:tc>
    </w:tr>
  </w:tbl>
  <w:p w:rsidR="00937E1F" w:rsidRDefault="0093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A62FFA"/>
    <w:multiLevelType w:val="hybridMultilevel"/>
    <w:tmpl w:val="84A2D4FE"/>
    <w:lvl w:ilvl="0" w:tplc="F80221B0">
      <w:start w:val="1"/>
      <w:numFmt w:val="upperRoman"/>
      <w:lvlText w:val="%1."/>
      <w:lvlJc w:val="left"/>
      <w:pPr>
        <w:ind w:left="1854" w:hanging="360"/>
      </w:pPr>
      <w:rPr>
        <w:rFonts w:hint="default"/>
      </w:rPr>
    </w:lvl>
    <w:lvl w:ilvl="1" w:tplc="08090019" w:tentative="1">
      <w:start w:val="1"/>
      <w:numFmt w:val="lowerLetter"/>
      <w:lvlText w:val="%2."/>
      <w:lvlJc w:val="left"/>
      <w:pPr>
        <w:ind w:left="1440" w:hanging="360"/>
      </w:pPr>
    </w:lvl>
    <w:lvl w:ilvl="2" w:tplc="F80221B0">
      <w:start w:val="1"/>
      <w:numFmt w:val="upp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6"/>
  </w:num>
  <w:num w:numId="15">
    <w:abstractNumId w:val="1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ru-RU" w:vendorID="64" w:dllVersion="6" w:nlCheck="1" w:checkStyle="0"/>
  <w:activeWritingStyle w:appName="MSWord" w:lang="nl-B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E8"/>
    <w:rsid w:val="00037681"/>
    <w:rsid w:val="00046B1F"/>
    <w:rsid w:val="0004755F"/>
    <w:rsid w:val="00050F6B"/>
    <w:rsid w:val="00052635"/>
    <w:rsid w:val="00057E97"/>
    <w:rsid w:val="000646F4"/>
    <w:rsid w:val="00072C8C"/>
    <w:rsid w:val="000733B5"/>
    <w:rsid w:val="00081815"/>
    <w:rsid w:val="000931C0"/>
    <w:rsid w:val="0009568F"/>
    <w:rsid w:val="000A5520"/>
    <w:rsid w:val="000B0595"/>
    <w:rsid w:val="000B1193"/>
    <w:rsid w:val="000B175B"/>
    <w:rsid w:val="000B2F02"/>
    <w:rsid w:val="000B3A0F"/>
    <w:rsid w:val="000B4EF7"/>
    <w:rsid w:val="000B7B39"/>
    <w:rsid w:val="000C0DC7"/>
    <w:rsid w:val="000C2C03"/>
    <w:rsid w:val="000C2D2E"/>
    <w:rsid w:val="000D01B0"/>
    <w:rsid w:val="000D7CCF"/>
    <w:rsid w:val="000E0415"/>
    <w:rsid w:val="000E5869"/>
    <w:rsid w:val="000F032E"/>
    <w:rsid w:val="000F0F06"/>
    <w:rsid w:val="001103AA"/>
    <w:rsid w:val="0011666B"/>
    <w:rsid w:val="001223D7"/>
    <w:rsid w:val="001626CA"/>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0785E"/>
    <w:rsid w:val="00210029"/>
    <w:rsid w:val="00211E0B"/>
    <w:rsid w:val="0021313A"/>
    <w:rsid w:val="00240880"/>
    <w:rsid w:val="0024240B"/>
    <w:rsid w:val="002452B0"/>
    <w:rsid w:val="0024772E"/>
    <w:rsid w:val="002605AB"/>
    <w:rsid w:val="002643BD"/>
    <w:rsid w:val="00267F5F"/>
    <w:rsid w:val="002821F2"/>
    <w:rsid w:val="002844E6"/>
    <w:rsid w:val="00286B4D"/>
    <w:rsid w:val="00286EC5"/>
    <w:rsid w:val="002A07E0"/>
    <w:rsid w:val="002A4242"/>
    <w:rsid w:val="002B0790"/>
    <w:rsid w:val="002B7D3B"/>
    <w:rsid w:val="002C4B11"/>
    <w:rsid w:val="002D4643"/>
    <w:rsid w:val="002E66D6"/>
    <w:rsid w:val="002F175C"/>
    <w:rsid w:val="002F18BD"/>
    <w:rsid w:val="002F41E8"/>
    <w:rsid w:val="002F7DE0"/>
    <w:rsid w:val="00301CFA"/>
    <w:rsid w:val="00302E18"/>
    <w:rsid w:val="003112E2"/>
    <w:rsid w:val="00316E25"/>
    <w:rsid w:val="003229D8"/>
    <w:rsid w:val="00335595"/>
    <w:rsid w:val="00340B2A"/>
    <w:rsid w:val="00352709"/>
    <w:rsid w:val="003619B5"/>
    <w:rsid w:val="00361AC3"/>
    <w:rsid w:val="00365763"/>
    <w:rsid w:val="00371178"/>
    <w:rsid w:val="00387503"/>
    <w:rsid w:val="00392E47"/>
    <w:rsid w:val="003A6810"/>
    <w:rsid w:val="003B0FDC"/>
    <w:rsid w:val="003C0247"/>
    <w:rsid w:val="003C2CC4"/>
    <w:rsid w:val="003C534D"/>
    <w:rsid w:val="003D4B23"/>
    <w:rsid w:val="003E130E"/>
    <w:rsid w:val="00410C89"/>
    <w:rsid w:val="0041254B"/>
    <w:rsid w:val="00422E03"/>
    <w:rsid w:val="00426B9B"/>
    <w:rsid w:val="004325CB"/>
    <w:rsid w:val="00440D65"/>
    <w:rsid w:val="00442A83"/>
    <w:rsid w:val="0045495B"/>
    <w:rsid w:val="004561E5"/>
    <w:rsid w:val="00456509"/>
    <w:rsid w:val="0048397A"/>
    <w:rsid w:val="00483DDA"/>
    <w:rsid w:val="004843F6"/>
    <w:rsid w:val="00485CBB"/>
    <w:rsid w:val="004866B7"/>
    <w:rsid w:val="004C2461"/>
    <w:rsid w:val="004C7462"/>
    <w:rsid w:val="004D37B1"/>
    <w:rsid w:val="004D46C2"/>
    <w:rsid w:val="004D7149"/>
    <w:rsid w:val="004E77B2"/>
    <w:rsid w:val="00504B2D"/>
    <w:rsid w:val="0052136D"/>
    <w:rsid w:val="005270BC"/>
    <w:rsid w:val="0052775E"/>
    <w:rsid w:val="005277A6"/>
    <w:rsid w:val="005420F2"/>
    <w:rsid w:val="005472A9"/>
    <w:rsid w:val="0056209A"/>
    <w:rsid w:val="0056237C"/>
    <w:rsid w:val="005628B6"/>
    <w:rsid w:val="005941EC"/>
    <w:rsid w:val="00595AD3"/>
    <w:rsid w:val="0059724D"/>
    <w:rsid w:val="005A37E8"/>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0565"/>
    <w:rsid w:val="00662BB6"/>
    <w:rsid w:val="00671B51"/>
    <w:rsid w:val="0067362F"/>
    <w:rsid w:val="00675C2A"/>
    <w:rsid w:val="00676606"/>
    <w:rsid w:val="00683BDB"/>
    <w:rsid w:val="00684C21"/>
    <w:rsid w:val="006A2530"/>
    <w:rsid w:val="006A2979"/>
    <w:rsid w:val="006C3589"/>
    <w:rsid w:val="006C5FFC"/>
    <w:rsid w:val="006D22A9"/>
    <w:rsid w:val="006D37AF"/>
    <w:rsid w:val="006D51D0"/>
    <w:rsid w:val="006D5FB9"/>
    <w:rsid w:val="006D658E"/>
    <w:rsid w:val="006E0054"/>
    <w:rsid w:val="006E0D8C"/>
    <w:rsid w:val="006E564B"/>
    <w:rsid w:val="006E7191"/>
    <w:rsid w:val="006F541E"/>
    <w:rsid w:val="006F7BBC"/>
    <w:rsid w:val="00703577"/>
    <w:rsid w:val="00705894"/>
    <w:rsid w:val="00717B15"/>
    <w:rsid w:val="0072632A"/>
    <w:rsid w:val="00727189"/>
    <w:rsid w:val="007327D5"/>
    <w:rsid w:val="00733A1B"/>
    <w:rsid w:val="007415A2"/>
    <w:rsid w:val="00746C41"/>
    <w:rsid w:val="007574DE"/>
    <w:rsid w:val="007629C8"/>
    <w:rsid w:val="0077047D"/>
    <w:rsid w:val="00777529"/>
    <w:rsid w:val="00790B5A"/>
    <w:rsid w:val="00795C6F"/>
    <w:rsid w:val="007B6BA5"/>
    <w:rsid w:val="007C3390"/>
    <w:rsid w:val="007C4F4B"/>
    <w:rsid w:val="007D4F0E"/>
    <w:rsid w:val="007D52F7"/>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519F"/>
    <w:rsid w:val="00846103"/>
    <w:rsid w:val="008645BD"/>
    <w:rsid w:val="008679D9"/>
    <w:rsid w:val="008878DE"/>
    <w:rsid w:val="008979B1"/>
    <w:rsid w:val="008A1ED5"/>
    <w:rsid w:val="008A6B25"/>
    <w:rsid w:val="008A6C4F"/>
    <w:rsid w:val="008B2335"/>
    <w:rsid w:val="008B2E36"/>
    <w:rsid w:val="008D0345"/>
    <w:rsid w:val="008D18C9"/>
    <w:rsid w:val="008E0678"/>
    <w:rsid w:val="008E7DBD"/>
    <w:rsid w:val="008F31D2"/>
    <w:rsid w:val="009037A2"/>
    <w:rsid w:val="00914552"/>
    <w:rsid w:val="00914A11"/>
    <w:rsid w:val="00915EF6"/>
    <w:rsid w:val="009223CA"/>
    <w:rsid w:val="00924982"/>
    <w:rsid w:val="0093260A"/>
    <w:rsid w:val="00937E1F"/>
    <w:rsid w:val="00940F93"/>
    <w:rsid w:val="00941E1E"/>
    <w:rsid w:val="00942A2C"/>
    <w:rsid w:val="009448C3"/>
    <w:rsid w:val="00945582"/>
    <w:rsid w:val="00947074"/>
    <w:rsid w:val="00955E56"/>
    <w:rsid w:val="00957E98"/>
    <w:rsid w:val="009760F3"/>
    <w:rsid w:val="00976CFB"/>
    <w:rsid w:val="009A0830"/>
    <w:rsid w:val="009A0E8D"/>
    <w:rsid w:val="009A2DBF"/>
    <w:rsid w:val="009B09D7"/>
    <w:rsid w:val="009B26E7"/>
    <w:rsid w:val="009B621E"/>
    <w:rsid w:val="009B64BB"/>
    <w:rsid w:val="009C1414"/>
    <w:rsid w:val="009D11CB"/>
    <w:rsid w:val="009D30FF"/>
    <w:rsid w:val="009D317D"/>
    <w:rsid w:val="009D6BF6"/>
    <w:rsid w:val="009D750F"/>
    <w:rsid w:val="009E31C9"/>
    <w:rsid w:val="00A00697"/>
    <w:rsid w:val="00A00A3F"/>
    <w:rsid w:val="00A01280"/>
    <w:rsid w:val="00A01489"/>
    <w:rsid w:val="00A10387"/>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82A88"/>
    <w:rsid w:val="00A92C55"/>
    <w:rsid w:val="00A94361"/>
    <w:rsid w:val="00AA0BF3"/>
    <w:rsid w:val="00AA293C"/>
    <w:rsid w:val="00AA2B43"/>
    <w:rsid w:val="00AB5114"/>
    <w:rsid w:val="00AC4F77"/>
    <w:rsid w:val="00B01D4E"/>
    <w:rsid w:val="00B130D1"/>
    <w:rsid w:val="00B25696"/>
    <w:rsid w:val="00B30179"/>
    <w:rsid w:val="00B31904"/>
    <w:rsid w:val="00B421C1"/>
    <w:rsid w:val="00B53C21"/>
    <w:rsid w:val="00B55C71"/>
    <w:rsid w:val="00B56E4A"/>
    <w:rsid w:val="00B56E9C"/>
    <w:rsid w:val="00B57340"/>
    <w:rsid w:val="00B617AC"/>
    <w:rsid w:val="00B64B1F"/>
    <w:rsid w:val="00B6553F"/>
    <w:rsid w:val="00B67ABC"/>
    <w:rsid w:val="00B77D05"/>
    <w:rsid w:val="00B81206"/>
    <w:rsid w:val="00B81E12"/>
    <w:rsid w:val="00B831D3"/>
    <w:rsid w:val="00B83BBC"/>
    <w:rsid w:val="00B84AD6"/>
    <w:rsid w:val="00B87ED1"/>
    <w:rsid w:val="00B91FD8"/>
    <w:rsid w:val="00B97A96"/>
    <w:rsid w:val="00BB5093"/>
    <w:rsid w:val="00BC3FA0"/>
    <w:rsid w:val="00BC74E9"/>
    <w:rsid w:val="00BD36C3"/>
    <w:rsid w:val="00BD7D69"/>
    <w:rsid w:val="00BE191C"/>
    <w:rsid w:val="00BF68A8"/>
    <w:rsid w:val="00C05777"/>
    <w:rsid w:val="00C11A03"/>
    <w:rsid w:val="00C17408"/>
    <w:rsid w:val="00C22C0C"/>
    <w:rsid w:val="00C4527F"/>
    <w:rsid w:val="00C463DD"/>
    <w:rsid w:val="00C4724C"/>
    <w:rsid w:val="00C629A0"/>
    <w:rsid w:val="00C64629"/>
    <w:rsid w:val="00C745C3"/>
    <w:rsid w:val="00C96DF2"/>
    <w:rsid w:val="00CA118B"/>
    <w:rsid w:val="00CB3E03"/>
    <w:rsid w:val="00CB52D9"/>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C771E"/>
    <w:rsid w:val="00DC7A14"/>
    <w:rsid w:val="00DD2AFA"/>
    <w:rsid w:val="00DD73BD"/>
    <w:rsid w:val="00DF3ED7"/>
    <w:rsid w:val="00E02760"/>
    <w:rsid w:val="00E046DF"/>
    <w:rsid w:val="00E12670"/>
    <w:rsid w:val="00E20805"/>
    <w:rsid w:val="00E22B0C"/>
    <w:rsid w:val="00E27346"/>
    <w:rsid w:val="00E30B6B"/>
    <w:rsid w:val="00E40A45"/>
    <w:rsid w:val="00E47036"/>
    <w:rsid w:val="00E560CA"/>
    <w:rsid w:val="00E6645A"/>
    <w:rsid w:val="00E71148"/>
    <w:rsid w:val="00E71BC8"/>
    <w:rsid w:val="00E7260F"/>
    <w:rsid w:val="00E73F5D"/>
    <w:rsid w:val="00E77E4E"/>
    <w:rsid w:val="00E90C58"/>
    <w:rsid w:val="00E950E5"/>
    <w:rsid w:val="00E96630"/>
    <w:rsid w:val="00E968E9"/>
    <w:rsid w:val="00EA2A77"/>
    <w:rsid w:val="00EC037C"/>
    <w:rsid w:val="00ED728A"/>
    <w:rsid w:val="00ED7A2A"/>
    <w:rsid w:val="00EF0992"/>
    <w:rsid w:val="00EF1D7F"/>
    <w:rsid w:val="00F00E3F"/>
    <w:rsid w:val="00F10E02"/>
    <w:rsid w:val="00F31E5F"/>
    <w:rsid w:val="00F33342"/>
    <w:rsid w:val="00F61002"/>
    <w:rsid w:val="00F6100A"/>
    <w:rsid w:val="00F6168B"/>
    <w:rsid w:val="00F93781"/>
    <w:rsid w:val="00F9620A"/>
    <w:rsid w:val="00FB08EB"/>
    <w:rsid w:val="00FB254C"/>
    <w:rsid w:val="00FB613B"/>
    <w:rsid w:val="00FC046D"/>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rsid w:val="008445D6"/>
    <w:rPr>
      <w:lang w:eastAsia="en-US"/>
    </w:rPr>
  </w:style>
  <w:style w:type="character" w:customStyle="1" w:styleId="FooterChar">
    <w:name w:val="Footer Char"/>
    <w:aliases w:val="3_G Char"/>
    <w:link w:val="Footer"/>
    <w:uiPriority w:val="99"/>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 w:type="paragraph" w:customStyle="1" w:styleId="En-tte1">
    <w:name w:val="En-tête1"/>
    <w:basedOn w:val="Normal"/>
    <w:qFormat/>
    <w:rsid w:val="00937E1F"/>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0958">
      <w:bodyDiv w:val="1"/>
      <w:marLeft w:val="0"/>
      <w:marRight w:val="0"/>
      <w:marTop w:val="0"/>
      <w:marBottom w:val="0"/>
      <w:divBdr>
        <w:top w:val="none" w:sz="0" w:space="0" w:color="auto"/>
        <w:left w:val="none" w:sz="0" w:space="0" w:color="auto"/>
        <w:bottom w:val="none" w:sz="0" w:space="0" w:color="auto"/>
        <w:right w:val="none" w:sz="0" w:space="0" w:color="auto"/>
      </w:divBdr>
    </w:div>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 w:id="1190290775">
      <w:bodyDiv w:val="1"/>
      <w:marLeft w:val="0"/>
      <w:marRight w:val="0"/>
      <w:marTop w:val="0"/>
      <w:marBottom w:val="0"/>
      <w:divBdr>
        <w:top w:val="none" w:sz="0" w:space="0" w:color="auto"/>
        <w:left w:val="none" w:sz="0" w:space="0" w:color="auto"/>
        <w:bottom w:val="none" w:sz="0" w:space="0" w:color="auto"/>
        <w:right w:val="none" w:sz="0" w:space="0" w:color="auto"/>
      </w:divBdr>
    </w:div>
    <w:div w:id="12998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A59F-59E2-43D8-8CF7-DAFE895B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670</Words>
  <Characters>3822</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1803114</vt:lpstr>
      <vt:lpstr>1803114</vt:lpstr>
      <vt:lpstr>1803114</vt:lpstr>
    </vt:vector>
  </TitlesOfParts>
  <Company>CSD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1803114</dc:title>
  <dc:subject>ECE/TRANS/WP.29/GRSP/2018/10</dc:subject>
  <dc:creator>Generic Desk Anglais</dc:creator>
  <cp:keywords/>
  <dc:description/>
  <cp:lastModifiedBy>Edoardo Gianotti</cp:lastModifiedBy>
  <cp:revision>2</cp:revision>
  <cp:lastPrinted>2010-09-17T13:28:00Z</cp:lastPrinted>
  <dcterms:created xsi:type="dcterms:W3CDTF">2019-05-14T10:49:00Z</dcterms:created>
  <dcterms:modified xsi:type="dcterms:W3CDTF">2019-05-14T10:49:00Z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magnus.jalkesten@scania.com</vt:lpwstr>
  </property>
  <property fmtid="{D5CDD505-2E9C-101B-9397-08002B2CF9AE}" pid="5" name="MSIP_Label_a7f2ec83-e677-438d-afb7-4c7c0dbc872b_SetDate">
    <vt:lpwstr>2019-05-14T07:56:19.6848347Z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