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0510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05106" w:rsidP="00205106">
            <w:pPr>
              <w:jc w:val="right"/>
            </w:pPr>
            <w:r w:rsidRPr="00205106">
              <w:rPr>
                <w:sz w:val="40"/>
              </w:rPr>
              <w:t>ECE</w:t>
            </w:r>
            <w:r>
              <w:t>/TRANS/WP.29/GRSP/2018/31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05106" w:rsidP="00C97039">
            <w:pPr>
              <w:spacing w:before="240"/>
            </w:pPr>
            <w:proofErr w:type="spellStart"/>
            <w:r>
              <w:t>Distr</w:t>
            </w:r>
            <w:proofErr w:type="spellEnd"/>
            <w:r>
              <w:t xml:space="preserve">. </w:t>
            </w:r>
            <w:proofErr w:type="gramStart"/>
            <w:r>
              <w:t>générale</w:t>
            </w:r>
            <w:proofErr w:type="gramEnd"/>
          </w:p>
          <w:p w:rsidR="00205106" w:rsidRDefault="00205106" w:rsidP="00205106">
            <w:pPr>
              <w:spacing w:line="240" w:lineRule="exact"/>
            </w:pPr>
            <w:r>
              <w:t>27 septembre 2018</w:t>
            </w:r>
          </w:p>
          <w:p w:rsidR="00205106" w:rsidRDefault="00205106" w:rsidP="00205106">
            <w:pPr>
              <w:spacing w:line="240" w:lineRule="exact"/>
            </w:pPr>
            <w:r>
              <w:t>Français</w:t>
            </w:r>
          </w:p>
          <w:p w:rsidR="00205106" w:rsidRPr="00DB58B5" w:rsidRDefault="00205106" w:rsidP="0020510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205106">
      <w:pPr>
        <w:spacing w:before="120" w:after="120"/>
        <w:rPr>
          <w:sz w:val="28"/>
          <w:szCs w:val="28"/>
        </w:rPr>
      </w:pPr>
      <w:r w:rsidRPr="00685843">
        <w:rPr>
          <w:sz w:val="28"/>
          <w:szCs w:val="28"/>
        </w:rPr>
        <w:t>Comité des transports intérieurs</w:t>
      </w:r>
    </w:p>
    <w:p w:rsidR="00205106" w:rsidRPr="009F5AFB" w:rsidRDefault="00205106" w:rsidP="00205106">
      <w:pPr>
        <w:kinsoku/>
        <w:overflowPunct/>
        <w:autoSpaceDE/>
        <w:autoSpaceDN/>
        <w:adjustRightInd/>
        <w:snapToGrid/>
        <w:spacing w:after="120"/>
        <w:rPr>
          <w:rFonts w:eastAsia="Times New Roman"/>
          <w:b/>
          <w:sz w:val="24"/>
          <w:szCs w:val="24"/>
        </w:rPr>
      </w:pPr>
      <w:r w:rsidRPr="009F5AFB">
        <w:rPr>
          <w:rFonts w:eastAsia="Times New Roman"/>
          <w:b/>
          <w:sz w:val="24"/>
          <w:szCs w:val="24"/>
        </w:rPr>
        <w:t xml:space="preserve">Forum mondial de l’harmonisation des Règlements </w:t>
      </w:r>
      <w:r w:rsidRPr="009F5AFB">
        <w:rPr>
          <w:rFonts w:eastAsia="Times New Roman"/>
          <w:b/>
          <w:sz w:val="24"/>
          <w:szCs w:val="24"/>
        </w:rPr>
        <w:br/>
        <w:t>concernant les véhicules</w:t>
      </w:r>
    </w:p>
    <w:p w:rsidR="00205106" w:rsidRPr="009F5AFB" w:rsidRDefault="00205106" w:rsidP="00205106">
      <w:pPr>
        <w:kinsoku/>
        <w:overflowPunct/>
        <w:autoSpaceDE/>
        <w:autoSpaceDN/>
        <w:adjustRightInd/>
        <w:snapToGrid/>
        <w:spacing w:after="120"/>
        <w:rPr>
          <w:rFonts w:eastAsia="Times New Roman"/>
          <w:b/>
          <w:bCs/>
        </w:rPr>
      </w:pPr>
      <w:r w:rsidRPr="009F5AFB">
        <w:rPr>
          <w:rFonts w:eastAsia="Times New Roman"/>
          <w:b/>
          <w:bCs/>
        </w:rPr>
        <w:t>Groupe de travail de la sécurité passive</w:t>
      </w:r>
    </w:p>
    <w:p w:rsidR="00205106" w:rsidRPr="009F5AFB" w:rsidRDefault="00205106" w:rsidP="00205106">
      <w:pPr>
        <w:kinsoku/>
        <w:overflowPunct/>
        <w:autoSpaceDE/>
        <w:autoSpaceDN/>
        <w:adjustRightInd/>
        <w:snapToGrid/>
        <w:rPr>
          <w:rFonts w:eastAsia="Times New Roman"/>
          <w:b/>
        </w:rPr>
      </w:pPr>
      <w:r w:rsidRPr="009F5AFB">
        <w:rPr>
          <w:rFonts w:eastAsia="Times New Roman"/>
          <w:b/>
        </w:rPr>
        <w:t>Soixante-quatrième session</w:t>
      </w:r>
    </w:p>
    <w:p w:rsidR="00205106" w:rsidRPr="009F5AFB" w:rsidRDefault="00205106" w:rsidP="00205106">
      <w:pPr>
        <w:kinsoku/>
        <w:overflowPunct/>
        <w:autoSpaceDE/>
        <w:autoSpaceDN/>
        <w:adjustRightInd/>
        <w:snapToGrid/>
        <w:rPr>
          <w:rFonts w:eastAsia="Times New Roman"/>
        </w:rPr>
      </w:pPr>
      <w:r w:rsidRPr="009F5AFB">
        <w:rPr>
          <w:rFonts w:eastAsia="Times New Roman"/>
        </w:rPr>
        <w:t>Genève, 11-14 décembre 2018</w:t>
      </w:r>
    </w:p>
    <w:p w:rsidR="00205106" w:rsidRPr="009F5AFB" w:rsidRDefault="00205106" w:rsidP="00205106">
      <w:pPr>
        <w:kinsoku/>
        <w:overflowPunct/>
        <w:autoSpaceDE/>
        <w:autoSpaceDN/>
        <w:adjustRightInd/>
        <w:snapToGrid/>
        <w:rPr>
          <w:rFonts w:eastAsia="Times New Roman"/>
          <w:bCs/>
        </w:rPr>
      </w:pPr>
      <w:r w:rsidRPr="009F5AFB">
        <w:rPr>
          <w:rFonts w:eastAsia="Times New Roman"/>
          <w:bCs/>
        </w:rPr>
        <w:t>Point </w:t>
      </w:r>
      <w:r>
        <w:rPr>
          <w:rFonts w:eastAsia="Times New Roman"/>
          <w:bCs/>
        </w:rPr>
        <w:t>19</w:t>
      </w:r>
      <w:r w:rsidRPr="009F5AFB">
        <w:rPr>
          <w:rFonts w:eastAsia="Times New Roman"/>
          <w:bCs/>
        </w:rPr>
        <w:t xml:space="preserve"> de l’ordre du jour provisoire</w:t>
      </w:r>
    </w:p>
    <w:p w:rsidR="00205106" w:rsidRPr="009F5AFB" w:rsidRDefault="00205106" w:rsidP="00205106">
      <w:pPr>
        <w:rPr>
          <w:rFonts w:eastAsia="Times New Roman"/>
          <w:b/>
          <w:bCs/>
        </w:rPr>
      </w:pPr>
      <w:r w:rsidRPr="009F5AFB">
        <w:rPr>
          <w:rFonts w:eastAsia="Times New Roman"/>
          <w:b/>
          <w:bCs/>
        </w:rPr>
        <w:t xml:space="preserve">Règlement ONU </w:t>
      </w:r>
      <w:r w:rsidRPr="009F5AFB">
        <w:rPr>
          <w:rFonts w:eastAsia="MS Mincho"/>
          <w:b/>
          <w:bCs/>
        </w:rPr>
        <w:t>n</w:t>
      </w:r>
      <w:r w:rsidRPr="009F5AFB">
        <w:rPr>
          <w:rFonts w:eastAsia="MS Mincho"/>
          <w:b/>
          <w:bCs/>
          <w:vertAlign w:val="superscript"/>
        </w:rPr>
        <w:t>o</w:t>
      </w:r>
      <w:r w:rsidRPr="009F5AFB">
        <w:rPr>
          <w:rFonts w:eastAsia="Times New Roman"/>
          <w:b/>
          <w:bCs/>
        </w:rPr>
        <w:t> </w:t>
      </w:r>
      <w:r>
        <w:rPr>
          <w:rFonts w:eastAsia="Times New Roman"/>
          <w:b/>
          <w:bCs/>
        </w:rPr>
        <w:t>129</w:t>
      </w:r>
      <w:r w:rsidRPr="009F5AFB">
        <w:rPr>
          <w:rFonts w:eastAsia="Times New Roman"/>
          <w:b/>
          <w:bCs/>
        </w:rPr>
        <w:t xml:space="preserve"> (</w:t>
      </w:r>
      <w:r w:rsidR="007A0CEB">
        <w:rPr>
          <w:rFonts w:eastAsia="Times New Roman"/>
          <w:b/>
          <w:bCs/>
        </w:rPr>
        <w:t>Dispositifs améliorés</w:t>
      </w:r>
      <w:r>
        <w:rPr>
          <w:rFonts w:eastAsia="Times New Roman"/>
          <w:b/>
          <w:bCs/>
        </w:rPr>
        <w:t xml:space="preserve"> de retenue pour enfants</w:t>
      </w:r>
      <w:r w:rsidRPr="009F5AFB">
        <w:rPr>
          <w:rFonts w:eastAsia="Times New Roman"/>
          <w:b/>
          <w:bCs/>
        </w:rPr>
        <w:t>)</w:t>
      </w:r>
    </w:p>
    <w:p w:rsidR="007A0CEB" w:rsidRPr="00C61C4F" w:rsidRDefault="007A0CEB" w:rsidP="00412E07">
      <w:pPr>
        <w:pStyle w:val="HChG"/>
        <w:rPr>
          <w:bCs/>
        </w:rPr>
      </w:pPr>
      <w:r w:rsidRPr="00C61C4F">
        <w:tab/>
      </w:r>
      <w:r w:rsidRPr="00C61C4F">
        <w:tab/>
      </w:r>
      <w:r w:rsidRPr="00C61C4F">
        <w:rPr>
          <w:bCs/>
        </w:rPr>
        <w:t xml:space="preserve">Proposition de complément </w:t>
      </w:r>
      <w:r w:rsidRPr="00C61C4F">
        <w:t xml:space="preserve">5 à la série 02 d’amendements </w:t>
      </w:r>
      <w:r w:rsidR="00412E07">
        <w:br/>
      </w:r>
      <w:r w:rsidRPr="00C61C4F">
        <w:t xml:space="preserve">et de complément 2 à la série 03 d’amendements </w:t>
      </w:r>
      <w:r w:rsidR="00412E07">
        <w:br/>
      </w:r>
      <w:r w:rsidRPr="00C61C4F">
        <w:t>au Règlement ONU n</w:t>
      </w:r>
      <w:r w:rsidRPr="00C61C4F">
        <w:rPr>
          <w:vertAlign w:val="superscript"/>
        </w:rPr>
        <w:t>o</w:t>
      </w:r>
      <w:r w:rsidR="00412E07" w:rsidRPr="00412E07">
        <w:t> </w:t>
      </w:r>
      <w:r w:rsidRPr="00C61C4F">
        <w:t>129</w:t>
      </w:r>
    </w:p>
    <w:p w:rsidR="007A0CEB" w:rsidRPr="00C61C4F" w:rsidRDefault="007A0CEB" w:rsidP="00412E07">
      <w:pPr>
        <w:pStyle w:val="H1G"/>
      </w:pPr>
      <w:r w:rsidRPr="00C61C4F">
        <w:tab/>
      </w:r>
      <w:r w:rsidRPr="00C61C4F">
        <w:tab/>
        <w:t xml:space="preserve">Communication de l’expert de l’Association européenne </w:t>
      </w:r>
      <w:r w:rsidR="00412E07">
        <w:br/>
      </w:r>
      <w:r w:rsidRPr="00C61C4F">
        <w:t>des fournisseurs de l’automobile</w:t>
      </w:r>
      <w:r w:rsidRPr="00412E07">
        <w:rPr>
          <w:rStyle w:val="FootnoteReference"/>
          <w:b w:val="0"/>
          <w:sz w:val="20"/>
          <w:vertAlign w:val="baseline"/>
        </w:rPr>
        <w:footnoteReference w:customMarkFollows="1" w:id="2"/>
        <w:t>*</w:t>
      </w:r>
    </w:p>
    <w:p w:rsidR="007A0CEB" w:rsidRPr="00C61C4F" w:rsidRDefault="007A0CEB" w:rsidP="00412E07">
      <w:pPr>
        <w:pStyle w:val="SingleTxtG"/>
        <w:ind w:firstLine="567"/>
      </w:pPr>
      <w:r w:rsidRPr="00C61C4F">
        <w:rPr>
          <w:snapToGrid w:val="0"/>
        </w:rPr>
        <w:t xml:space="preserve">Le texte ci-après a été établi par l’expert de l’Association européenne des fournisseurs de l’automobile </w:t>
      </w:r>
      <w:r w:rsidRPr="00C61C4F">
        <w:t>(CLEPA).</w:t>
      </w:r>
      <w:r w:rsidRPr="00C61C4F">
        <w:rPr>
          <w:snapToGrid w:val="0"/>
        </w:rPr>
        <w:t xml:space="preserve"> Il s’agit d’une proposition de complément </w:t>
      </w:r>
      <w:r w:rsidRPr="00C61C4F">
        <w:t xml:space="preserve">à la série 02 d’amendements au Règlement ONU </w:t>
      </w:r>
      <w:r w:rsidR="00412E07" w:rsidRPr="00412E07">
        <w:rPr>
          <w:rFonts w:eastAsia="MS Mincho"/>
        </w:rPr>
        <w:t>n</w:t>
      </w:r>
      <w:r w:rsidR="00412E07" w:rsidRPr="00412E07">
        <w:rPr>
          <w:rFonts w:eastAsia="MS Mincho"/>
          <w:vertAlign w:val="superscript"/>
        </w:rPr>
        <w:t>o</w:t>
      </w:r>
      <w:r w:rsidR="00412E07">
        <w:rPr>
          <w:rFonts w:eastAsia="MS Mincho"/>
        </w:rPr>
        <w:t> </w:t>
      </w:r>
      <w:r w:rsidRPr="00C61C4F">
        <w:t xml:space="preserve">129 visant à apporter des précisions à propos des </w:t>
      </w:r>
      <w:r w:rsidR="00412E07">
        <w:t>« </w:t>
      </w:r>
      <w:r w:rsidRPr="00C61C4F">
        <w:t>dimensions du panneau de portière</w:t>
      </w:r>
      <w:r w:rsidR="00412E07">
        <w:t> »</w:t>
      </w:r>
      <w:r w:rsidRPr="00C61C4F">
        <w:t xml:space="preserve">. Les modifications qu’il est proposé d’apporter au texte actuel de la série 02 d’amendements au Règlement ONU </w:t>
      </w:r>
      <w:r w:rsidR="00412E07" w:rsidRPr="00412E07">
        <w:rPr>
          <w:rFonts w:eastAsia="MS Mincho"/>
        </w:rPr>
        <w:t>n</w:t>
      </w:r>
      <w:r w:rsidR="00412E07" w:rsidRPr="00412E07">
        <w:rPr>
          <w:rFonts w:eastAsia="MS Mincho"/>
          <w:vertAlign w:val="superscript"/>
        </w:rPr>
        <w:t>o</w:t>
      </w:r>
      <w:r w:rsidR="00412E07">
        <w:rPr>
          <w:rFonts w:eastAsia="MS Mincho"/>
        </w:rPr>
        <w:t> </w:t>
      </w:r>
      <w:r w:rsidRPr="00C61C4F">
        <w:t>129 figurent en caractères gras pour les ajouts et biffés pour les suppressions.</w:t>
      </w:r>
    </w:p>
    <w:p w:rsidR="007A0CEB" w:rsidRPr="002B5448" w:rsidRDefault="007A0CEB" w:rsidP="002B5448">
      <w:pPr>
        <w:pStyle w:val="HChG"/>
        <w:rPr>
          <w:sz w:val="20"/>
        </w:rPr>
      </w:pPr>
      <w:r w:rsidRPr="00C61C4F">
        <w:br w:type="page"/>
      </w:r>
      <w:r w:rsidR="002B5448">
        <w:lastRenderedPageBreak/>
        <w:tab/>
      </w:r>
      <w:r w:rsidRPr="00C61C4F">
        <w:t>I.</w:t>
      </w:r>
      <w:r w:rsidRPr="00C61C4F">
        <w:tab/>
        <w:t>Proposition</w:t>
      </w:r>
    </w:p>
    <w:p w:rsidR="007A0CEB" w:rsidRPr="00C61C4F" w:rsidRDefault="007A0CEB" w:rsidP="002B5448">
      <w:pPr>
        <w:pStyle w:val="SingleTxtG"/>
      </w:pPr>
      <w:r w:rsidRPr="002B5448">
        <w:rPr>
          <w:i/>
        </w:rPr>
        <w:t xml:space="preserve">Annexe 6 </w:t>
      </w:r>
      <w:r w:rsidR="002B5448" w:rsidRPr="002B5448">
        <w:rPr>
          <w:i/>
        </w:rPr>
        <w:t>−</w:t>
      </w:r>
      <w:r w:rsidRPr="002B5448">
        <w:rPr>
          <w:i/>
        </w:rPr>
        <w:t xml:space="preserve"> Appendice 3</w:t>
      </w:r>
      <w:r w:rsidRPr="00C61C4F">
        <w:t xml:space="preserve">, </w:t>
      </w:r>
    </w:p>
    <w:p w:rsidR="007A0CEB" w:rsidRPr="00C61C4F" w:rsidRDefault="007A0CEB" w:rsidP="005636B6">
      <w:pPr>
        <w:pStyle w:val="SingleTxtG"/>
      </w:pPr>
      <w:r w:rsidRPr="00C61C4F">
        <w:t xml:space="preserve">Supprimer </w:t>
      </w:r>
      <w:r w:rsidRPr="005636B6">
        <w:rPr>
          <w:i/>
        </w:rPr>
        <w:t>la figure 2 du paragraphe 1</w:t>
      </w:r>
      <w:r w:rsidR="009C6110">
        <w:rPr>
          <w:i/>
        </w:rPr>
        <w:t>.</w:t>
      </w:r>
    </w:p>
    <w:p w:rsidR="007A0CEB" w:rsidRPr="00C61C4F" w:rsidRDefault="007A0CEB" w:rsidP="005636B6">
      <w:pPr>
        <w:pStyle w:val="SingleTxtG"/>
      </w:pPr>
      <w:r w:rsidRPr="00C61C4F">
        <w:t xml:space="preserve">Ajouter </w:t>
      </w:r>
      <w:r w:rsidRPr="005636B6">
        <w:rPr>
          <w:i/>
        </w:rPr>
        <w:t>les nouvelles figures 2A et 2B</w:t>
      </w:r>
      <w:r w:rsidRPr="00C61C4F">
        <w:t>, comme suit</w:t>
      </w:r>
      <w:r w:rsidR="005636B6">
        <w:t> </w:t>
      </w:r>
      <w:r w:rsidRPr="00C61C4F">
        <w:t>:</w:t>
      </w:r>
    </w:p>
    <w:p w:rsidR="007A0CEB" w:rsidRDefault="007A0CEB" w:rsidP="004A25AD">
      <w:pPr>
        <w:pStyle w:val="Heading1"/>
        <w:spacing w:after="120"/>
        <w:ind w:right="1134"/>
        <w:rPr>
          <w:b/>
        </w:rPr>
      </w:pPr>
      <w:r w:rsidRPr="00C61C4F">
        <w:t>Figure 2</w:t>
      </w:r>
      <w:r w:rsidRPr="005636B6">
        <w:rPr>
          <w:b/>
        </w:rPr>
        <w:t>A</w:t>
      </w:r>
      <w:r w:rsidRPr="00C61C4F">
        <w:t xml:space="preserve"> </w:t>
      </w:r>
      <w:r w:rsidRPr="00C61C4F">
        <w:br/>
        <w:t xml:space="preserve">Dimensions du panneau de portière </w:t>
      </w:r>
      <w:r w:rsidRPr="005636B6">
        <w:rPr>
          <w:b/>
        </w:rPr>
        <w:t>pour l’essai des dispositifs améliorés de retenue pour enfants intégraux équipé d’attaches ISOFIX</w:t>
      </w:r>
      <w:r w:rsidRPr="00C61C4F">
        <w:t xml:space="preserve"> </w:t>
      </w:r>
      <w:r w:rsidR="005636B6">
        <w:t>−</w:t>
      </w:r>
      <w:r w:rsidRPr="00C61C4F">
        <w:t xml:space="preserve"> vue en coupe (tolérance générale</w:t>
      </w:r>
      <w:r w:rsidR="005636B6">
        <w:t> </w:t>
      </w:r>
      <w:r w:rsidRPr="00C61C4F">
        <w:t xml:space="preserve">: </w:t>
      </w:r>
      <w:r w:rsidR="005636B6">
        <w:sym w:font="Symbol" w:char="F0B1"/>
      </w:r>
      <w:r w:rsidRPr="00C61C4F">
        <w:t xml:space="preserve">2 mm et </w:t>
      </w:r>
      <w:r w:rsidR="005636B6">
        <w:sym w:font="Symbol" w:char="F0B1"/>
      </w:r>
      <w:r w:rsidRPr="00C61C4F">
        <w:t>1</w:t>
      </w:r>
      <w:r w:rsidR="009C6110">
        <w:t xml:space="preserve"> degré</w:t>
      </w:r>
      <w:r w:rsidRPr="00C61C4F">
        <w:t xml:space="preserve">)  </w:t>
      </w:r>
    </w:p>
    <w:p w:rsidR="007A0CEB" w:rsidRPr="001F4F2F" w:rsidRDefault="007A0CEB" w:rsidP="001F4F2F">
      <w:pPr>
        <w:pStyle w:val="SingleTxtG"/>
        <w:rPr>
          <w:b/>
        </w:rPr>
      </w:pPr>
      <w:bookmarkStart w:id="1" w:name="_Hlk524612734"/>
      <w:r w:rsidRPr="001F4F2F">
        <w:rPr>
          <w:b/>
        </w:rPr>
        <w:t>Ce panneau de portière doit être utilisé lorsque le dispositif amélioré de retenue pour enfants intégral soumis à l’essai est fixé au moyen du système ISOFIX.</w:t>
      </w:r>
      <w:bookmarkEnd w:id="1"/>
      <w:r w:rsidRPr="001F4F2F">
        <w:rPr>
          <w:b/>
        </w:rPr>
        <w:t xml:space="preserve"> </w:t>
      </w:r>
    </w:p>
    <w:p w:rsidR="007A0CEB" w:rsidRPr="00E3654F" w:rsidRDefault="00EB4889" w:rsidP="00E3654F">
      <w:pPr>
        <w:pStyle w:val="SingleTxtG"/>
      </w:pPr>
      <w:r>
        <w:rPr>
          <w:noProof/>
          <w:lang w:eastAsia="fr-CH"/>
        </w:rPr>
        <w:drawing>
          <wp:inline distT="0" distB="0" distL="0" distR="0" wp14:anchorId="70CDC85E" wp14:editId="218CB968">
            <wp:extent cx="2969260" cy="1755775"/>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260" cy="1755775"/>
                    </a:xfrm>
                    <a:prstGeom prst="rect">
                      <a:avLst/>
                    </a:prstGeom>
                    <a:noFill/>
                  </pic:spPr>
                </pic:pic>
              </a:graphicData>
            </a:graphic>
          </wp:inline>
        </w:drawing>
      </w:r>
    </w:p>
    <w:p w:rsidR="007A0CEB" w:rsidRPr="00E3654F" w:rsidRDefault="007A0CEB" w:rsidP="00BC0F4B">
      <w:pPr>
        <w:pStyle w:val="Heading1"/>
        <w:spacing w:after="120"/>
        <w:ind w:right="1134"/>
        <w:rPr>
          <w:b/>
        </w:rPr>
      </w:pPr>
      <w:r w:rsidRPr="00E3654F">
        <w:rPr>
          <w:b/>
        </w:rPr>
        <w:t>Figure 2B</w:t>
      </w:r>
      <w:r w:rsidRPr="00E3654F">
        <w:rPr>
          <w:b/>
        </w:rPr>
        <w:br/>
        <w:t xml:space="preserve">Dimensions du panneau de portière pour l’essai des dispositifs améliorés de retenue </w:t>
      </w:r>
      <w:r w:rsidR="00E3654F">
        <w:rPr>
          <w:b/>
        </w:rPr>
        <w:br/>
      </w:r>
      <w:r w:rsidRPr="00E3654F">
        <w:rPr>
          <w:b/>
        </w:rPr>
        <w:t xml:space="preserve">pour enfants de classe non intégrale </w:t>
      </w:r>
      <w:r w:rsidR="00E3654F">
        <w:rPr>
          <w:b/>
        </w:rPr>
        <w:t>−</w:t>
      </w:r>
      <w:r w:rsidRPr="00E3654F">
        <w:rPr>
          <w:b/>
        </w:rPr>
        <w:t xml:space="preserve"> vue en coupe (tolérance générale</w:t>
      </w:r>
      <w:r w:rsidR="00E3654F">
        <w:rPr>
          <w:b/>
        </w:rPr>
        <w:t> </w:t>
      </w:r>
      <w:r w:rsidRPr="00E3654F">
        <w:rPr>
          <w:b/>
        </w:rPr>
        <w:t xml:space="preserve">: </w:t>
      </w:r>
      <w:r w:rsidR="00E3654F" w:rsidRPr="00E3654F">
        <w:rPr>
          <w:b/>
        </w:rPr>
        <w:sym w:font="Symbol" w:char="F0B1"/>
      </w:r>
      <w:r w:rsidRPr="00E3654F">
        <w:rPr>
          <w:b/>
        </w:rPr>
        <w:t xml:space="preserve">2 mm </w:t>
      </w:r>
      <w:r w:rsidR="004A25AD">
        <w:rPr>
          <w:b/>
        </w:rPr>
        <w:br/>
      </w:r>
      <w:r w:rsidRPr="00E3654F">
        <w:rPr>
          <w:b/>
        </w:rPr>
        <w:t xml:space="preserve">et </w:t>
      </w:r>
      <w:r w:rsidR="00E3654F" w:rsidRPr="00E3654F">
        <w:rPr>
          <w:b/>
        </w:rPr>
        <w:sym w:font="Symbol" w:char="F0B1"/>
      </w:r>
      <w:r w:rsidRPr="00E3654F">
        <w:rPr>
          <w:b/>
        </w:rPr>
        <w:t>1 degré)</w:t>
      </w:r>
    </w:p>
    <w:p w:rsidR="007A0CEB" w:rsidRPr="004A25AD" w:rsidRDefault="007A0CEB" w:rsidP="004A25AD">
      <w:pPr>
        <w:pStyle w:val="SingleTxtG"/>
        <w:rPr>
          <w:b/>
        </w:rPr>
      </w:pPr>
      <w:r w:rsidRPr="004A25AD">
        <w:rPr>
          <w:b/>
        </w:rPr>
        <w:t xml:space="preserve">Ce panneau de portière doit être utilisé lorsque le dispositif amélioré de retenue pour enfants soumis à l’essai est fixé au moyen de la ceinture de sécurité pour adultes. </w:t>
      </w:r>
    </w:p>
    <w:p w:rsidR="007A0CEB" w:rsidRPr="004A25AD" w:rsidRDefault="007A0CEB" w:rsidP="009C6110">
      <w:pPr>
        <w:pStyle w:val="SingleTxtG"/>
        <w:spacing w:after="240"/>
        <w:rPr>
          <w:b/>
        </w:rPr>
      </w:pPr>
      <w:r w:rsidRPr="004A25AD">
        <w:rPr>
          <w:b/>
        </w:rPr>
        <w:t>Il est également possible d’utiliser cette portière pour les essais visant à étendre l’homologation de type du dispositif amélioré de retenue pour enfants, à condition qu’elle ait été utilisée pour l’homologation de type initiale.</w:t>
      </w:r>
    </w:p>
    <w:p w:rsidR="007A0CEB" w:rsidRPr="00C61C4F" w:rsidRDefault="00BC0F4B" w:rsidP="009C6110">
      <w:pPr>
        <w:spacing w:before="120" w:line="240" w:lineRule="auto"/>
        <w:ind w:left="1134" w:right="1134"/>
        <w:jc w:val="both"/>
        <w:rPr>
          <w:b/>
          <w:szCs w:val="24"/>
        </w:rPr>
      </w:pPr>
      <w:r>
        <w:rPr>
          <w:noProof/>
          <w:lang w:eastAsia="fr-CH"/>
        </w:rPr>
        <w:drawing>
          <wp:inline distT="0" distB="0" distL="0" distR="0" wp14:anchorId="55DB957C" wp14:editId="64028FCF">
            <wp:extent cx="2822575" cy="16579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1657985"/>
                    </a:xfrm>
                    <a:prstGeom prst="rect">
                      <a:avLst/>
                    </a:prstGeom>
                    <a:noFill/>
                  </pic:spPr>
                </pic:pic>
              </a:graphicData>
            </a:graphic>
          </wp:inline>
        </w:drawing>
      </w:r>
    </w:p>
    <w:p w:rsidR="007A0CEB" w:rsidRPr="00C61C4F" w:rsidRDefault="00E76DD8" w:rsidP="00E76DD8">
      <w:pPr>
        <w:pStyle w:val="HChG"/>
      </w:pPr>
      <w:r>
        <w:br w:type="page"/>
      </w:r>
      <w:r w:rsidR="007A0CEB" w:rsidRPr="00C61C4F">
        <w:lastRenderedPageBreak/>
        <w:tab/>
        <w:t>II.</w:t>
      </w:r>
      <w:r w:rsidR="007A0CEB" w:rsidRPr="00C61C4F">
        <w:tab/>
        <w:t>Justification</w:t>
      </w:r>
    </w:p>
    <w:p w:rsidR="007A0CEB" w:rsidRPr="00C61C4F" w:rsidRDefault="007A0CEB" w:rsidP="00940F53">
      <w:pPr>
        <w:pStyle w:val="SingleTxtG"/>
      </w:pPr>
      <w:r w:rsidRPr="00C61C4F">
        <w:t>1.</w:t>
      </w:r>
      <w:r w:rsidRPr="00C61C4F">
        <w:tab/>
        <w:t>Dans la série 01 d’amendements au Règlement</w:t>
      </w:r>
      <w:r w:rsidR="00205CBD">
        <w:t xml:space="preserve"> ONU</w:t>
      </w:r>
      <w:r w:rsidRPr="00C61C4F">
        <w:t xml:space="preserve"> </w:t>
      </w:r>
      <w:r w:rsidR="00E76DD8" w:rsidRPr="00E76DD8">
        <w:rPr>
          <w:rFonts w:eastAsia="MS Mincho"/>
        </w:rPr>
        <w:t>n</w:t>
      </w:r>
      <w:r w:rsidR="00E76DD8" w:rsidRPr="00E76DD8">
        <w:rPr>
          <w:rFonts w:eastAsia="MS Mincho"/>
          <w:vertAlign w:val="superscript"/>
        </w:rPr>
        <w:t>o</w:t>
      </w:r>
      <w:r w:rsidR="00E76DD8">
        <w:t> </w:t>
      </w:r>
      <w:r w:rsidRPr="00C61C4F">
        <w:t>129, les dimensions du panneau de portière ont été modifiées de façon à ménager une petite ouverture à proximité de la jonction dossier-assise afin d’éviter toute interaction entre ce panneau et l’ancrage de la ceinture de sécurité pour adultes sur la banquette d’essai (ajout ultérieur dans la série 02). Ce nouveau panneau de portière a également été exigé pour les dispositifs améliorés de retenue pour enfants ISOFIX intégraux</w:t>
      </w:r>
      <w:r w:rsidR="00E76DD8">
        <w:t>, bien que</w:t>
      </w:r>
      <w:r w:rsidRPr="00C61C4F">
        <w:t xml:space="preserve"> la ceinture ne soit pas utilisée.</w:t>
      </w:r>
    </w:p>
    <w:p w:rsidR="007A0CEB" w:rsidRPr="00C61C4F" w:rsidRDefault="007A0CEB" w:rsidP="00940F53">
      <w:pPr>
        <w:pStyle w:val="SingleTxtG"/>
      </w:pPr>
      <w:r w:rsidRPr="00C61C4F">
        <w:t>2.</w:t>
      </w:r>
      <w:r w:rsidRPr="00C61C4F">
        <w:tab/>
        <w:t xml:space="preserve">La présente proposition tend à modifier la série 02 d’amendements au Règlement ONU </w:t>
      </w:r>
      <w:r w:rsidR="00E76DD8" w:rsidRPr="00E76DD8">
        <w:rPr>
          <w:rFonts w:eastAsia="MS Mincho"/>
        </w:rPr>
        <w:t>n</w:t>
      </w:r>
      <w:r w:rsidR="00E76DD8" w:rsidRPr="00E76DD8">
        <w:rPr>
          <w:rFonts w:eastAsia="MS Mincho"/>
          <w:vertAlign w:val="superscript"/>
        </w:rPr>
        <w:t>o</w:t>
      </w:r>
      <w:r w:rsidR="00E76DD8">
        <w:rPr>
          <w:rFonts w:eastAsia="MS Mincho"/>
        </w:rPr>
        <w:t> </w:t>
      </w:r>
      <w:r w:rsidRPr="00C61C4F">
        <w:t xml:space="preserve">129 de façon à imposer le panneau de portière original, sans ouverture, pour les dispositifs améliorés de retenue pour enfants ISOFIX intégraux (sauf dans le cas des extensions d’homologations pour lesquelles un panneau aux nouvelles dimensions a été utilisé). </w:t>
      </w:r>
    </w:p>
    <w:p w:rsidR="00F9573C" w:rsidRDefault="007A0CEB" w:rsidP="00940F53">
      <w:pPr>
        <w:pStyle w:val="SingleTxtG"/>
      </w:pPr>
      <w:r w:rsidRPr="00C61C4F">
        <w:t>3.</w:t>
      </w:r>
      <w:r w:rsidRPr="00C61C4F">
        <w:tab/>
        <w:t xml:space="preserve">Grâce à cette proposition, la conception des dispositifs améliorés de retenue pour enfants ISOFIX ne permettra pas d’utiliser l’ouverture pour atténuer les charges auxquelles sont soumis le dispositif amélioré de retenue pour enfants et le mannequin. Le panneau muni d’une ouverture continuera d’être utilisé avec les dispositifs améliorés de retenue pour enfants intégraux à ceinture et les dispositifs </w:t>
      </w:r>
      <w:r w:rsidR="00205CBD">
        <w:t xml:space="preserve">non </w:t>
      </w:r>
      <w:r w:rsidRPr="00C61C4F">
        <w:t>intégraux.</w:t>
      </w:r>
    </w:p>
    <w:p w:rsidR="007A0CEB" w:rsidRPr="007A0CEB" w:rsidRDefault="007A0CEB" w:rsidP="007A0CEB">
      <w:pPr>
        <w:pStyle w:val="SingleTxtG"/>
        <w:spacing w:before="240" w:after="0"/>
        <w:jc w:val="center"/>
        <w:rPr>
          <w:u w:val="single"/>
        </w:rPr>
      </w:pPr>
      <w:r>
        <w:rPr>
          <w:u w:val="single"/>
        </w:rPr>
        <w:tab/>
      </w:r>
      <w:r>
        <w:rPr>
          <w:u w:val="single"/>
        </w:rPr>
        <w:tab/>
      </w:r>
      <w:r>
        <w:rPr>
          <w:u w:val="single"/>
        </w:rPr>
        <w:tab/>
      </w:r>
    </w:p>
    <w:sectPr w:rsidR="007A0CEB" w:rsidRPr="007A0CEB" w:rsidSect="0020510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BD8" w:rsidRDefault="00E47BD8" w:rsidP="00F95C08">
      <w:pPr>
        <w:spacing w:line="240" w:lineRule="auto"/>
      </w:pPr>
    </w:p>
  </w:endnote>
  <w:endnote w:type="continuationSeparator" w:id="0">
    <w:p w:rsidR="00E47BD8" w:rsidRPr="00AC3823" w:rsidRDefault="00E47BD8" w:rsidP="00AC3823">
      <w:pPr>
        <w:pStyle w:val="Footer"/>
      </w:pPr>
    </w:p>
  </w:endnote>
  <w:endnote w:type="continuationNotice" w:id="1">
    <w:p w:rsidR="00E47BD8" w:rsidRDefault="00E47B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106" w:rsidRPr="00205106" w:rsidRDefault="00205106" w:rsidP="00205106">
    <w:pPr>
      <w:pStyle w:val="Footer"/>
      <w:tabs>
        <w:tab w:val="right" w:pos="9638"/>
      </w:tabs>
    </w:pPr>
    <w:r w:rsidRPr="00205106">
      <w:rPr>
        <w:b/>
        <w:sz w:val="18"/>
      </w:rPr>
      <w:fldChar w:fldCharType="begin"/>
    </w:r>
    <w:r w:rsidRPr="00205106">
      <w:rPr>
        <w:b/>
        <w:sz w:val="18"/>
      </w:rPr>
      <w:instrText xml:space="preserve"> PAGE  \* MERGEFORMAT </w:instrText>
    </w:r>
    <w:r w:rsidRPr="00205106">
      <w:rPr>
        <w:b/>
        <w:sz w:val="18"/>
      </w:rPr>
      <w:fldChar w:fldCharType="separate"/>
    </w:r>
    <w:r w:rsidR="00CB2A3D">
      <w:rPr>
        <w:b/>
        <w:noProof/>
        <w:sz w:val="18"/>
      </w:rPr>
      <w:t>2</w:t>
    </w:r>
    <w:r w:rsidRPr="00205106">
      <w:rPr>
        <w:b/>
        <w:sz w:val="18"/>
      </w:rPr>
      <w:fldChar w:fldCharType="end"/>
    </w:r>
    <w:r>
      <w:rPr>
        <w:b/>
        <w:sz w:val="18"/>
      </w:rPr>
      <w:tab/>
    </w:r>
    <w:r>
      <w:t>GE.18-16014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106" w:rsidRPr="00205106" w:rsidRDefault="00205106" w:rsidP="00205106">
    <w:pPr>
      <w:pStyle w:val="Footer"/>
      <w:tabs>
        <w:tab w:val="right" w:pos="9638"/>
      </w:tabs>
      <w:rPr>
        <w:b/>
        <w:sz w:val="18"/>
      </w:rPr>
    </w:pPr>
    <w:r>
      <w:t>GE.18-16014</w:t>
    </w:r>
    <w:r>
      <w:tab/>
    </w:r>
    <w:r w:rsidRPr="00205106">
      <w:rPr>
        <w:b/>
        <w:sz w:val="18"/>
      </w:rPr>
      <w:fldChar w:fldCharType="begin"/>
    </w:r>
    <w:r w:rsidRPr="00205106">
      <w:rPr>
        <w:b/>
        <w:sz w:val="18"/>
      </w:rPr>
      <w:instrText xml:space="preserve"> PAGE  \* MERGEFORMAT </w:instrText>
    </w:r>
    <w:r w:rsidRPr="00205106">
      <w:rPr>
        <w:b/>
        <w:sz w:val="18"/>
      </w:rPr>
      <w:fldChar w:fldCharType="separate"/>
    </w:r>
    <w:r w:rsidR="00CB2A3D">
      <w:rPr>
        <w:b/>
        <w:noProof/>
        <w:sz w:val="18"/>
      </w:rPr>
      <w:t>3</w:t>
    </w:r>
    <w:r w:rsidRPr="002051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05106" w:rsidRDefault="00205106" w:rsidP="00205106">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16014  (</w:t>
    </w:r>
    <w:proofErr w:type="gramEnd"/>
    <w:r>
      <w:rPr>
        <w:sz w:val="20"/>
      </w:rPr>
      <w:t>F)</w:t>
    </w:r>
    <w:r w:rsidR="00A0676E">
      <w:rPr>
        <w:sz w:val="20"/>
      </w:rPr>
      <w:t xml:space="preserve">    231018    291018</w:t>
    </w:r>
    <w:r>
      <w:rPr>
        <w:sz w:val="20"/>
      </w:rPr>
      <w:br/>
    </w:r>
    <w:r w:rsidRPr="00205106">
      <w:rPr>
        <w:rFonts w:ascii="C39T30Lfz" w:hAnsi="C39T30Lfz"/>
        <w:sz w:val="56"/>
      </w:rPr>
      <w:t></w:t>
    </w:r>
    <w:r w:rsidRPr="00205106">
      <w:rPr>
        <w:rFonts w:ascii="C39T30Lfz" w:hAnsi="C39T30Lfz"/>
        <w:sz w:val="56"/>
      </w:rPr>
      <w:t></w:t>
    </w:r>
    <w:r w:rsidRPr="00205106">
      <w:rPr>
        <w:rFonts w:ascii="C39T30Lfz" w:hAnsi="C39T30Lfz"/>
        <w:sz w:val="56"/>
      </w:rPr>
      <w:t></w:t>
    </w:r>
    <w:r w:rsidRPr="00205106">
      <w:rPr>
        <w:rFonts w:ascii="C39T30Lfz" w:hAnsi="C39T30Lfz"/>
        <w:sz w:val="56"/>
      </w:rPr>
      <w:t></w:t>
    </w:r>
    <w:r w:rsidRPr="00205106">
      <w:rPr>
        <w:rFonts w:ascii="C39T30Lfz" w:hAnsi="C39T30Lfz"/>
        <w:sz w:val="56"/>
      </w:rPr>
      <w:t></w:t>
    </w:r>
    <w:r w:rsidRPr="00205106">
      <w:rPr>
        <w:rFonts w:ascii="C39T30Lfz" w:hAnsi="C39T30Lfz"/>
        <w:sz w:val="56"/>
      </w:rPr>
      <w:t></w:t>
    </w:r>
    <w:r w:rsidRPr="00205106">
      <w:rPr>
        <w:rFonts w:ascii="C39T30Lfz" w:hAnsi="C39T30Lfz"/>
        <w:sz w:val="56"/>
      </w:rPr>
      <w:t></w:t>
    </w:r>
    <w:r w:rsidRPr="00205106">
      <w:rPr>
        <w:rFonts w:ascii="C39T30Lfz" w:hAnsi="C39T30Lfz"/>
        <w:sz w:val="56"/>
      </w:rPr>
      <w:t></w:t>
    </w:r>
    <w:r w:rsidRPr="0020510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BD8" w:rsidRPr="00AC3823" w:rsidRDefault="00E47BD8" w:rsidP="00AC3823">
      <w:pPr>
        <w:pStyle w:val="Footer"/>
        <w:tabs>
          <w:tab w:val="right" w:pos="2155"/>
        </w:tabs>
        <w:spacing w:after="80" w:line="240" w:lineRule="atLeast"/>
        <w:ind w:left="680"/>
        <w:rPr>
          <w:u w:val="single"/>
        </w:rPr>
      </w:pPr>
      <w:r>
        <w:rPr>
          <w:u w:val="single"/>
        </w:rPr>
        <w:tab/>
      </w:r>
    </w:p>
  </w:footnote>
  <w:footnote w:type="continuationSeparator" w:id="0">
    <w:p w:rsidR="00E47BD8" w:rsidRPr="00AC3823" w:rsidRDefault="00E47BD8" w:rsidP="00AC3823">
      <w:pPr>
        <w:pStyle w:val="Footer"/>
        <w:tabs>
          <w:tab w:val="right" w:pos="2155"/>
        </w:tabs>
        <w:spacing w:after="80" w:line="240" w:lineRule="atLeast"/>
        <w:ind w:left="680"/>
        <w:rPr>
          <w:u w:val="single"/>
        </w:rPr>
      </w:pPr>
      <w:r>
        <w:rPr>
          <w:u w:val="single"/>
        </w:rPr>
        <w:tab/>
      </w:r>
    </w:p>
  </w:footnote>
  <w:footnote w:type="continuationNotice" w:id="1">
    <w:p w:rsidR="00E47BD8" w:rsidRPr="00AC3823" w:rsidRDefault="00E47BD8">
      <w:pPr>
        <w:spacing w:line="240" w:lineRule="auto"/>
        <w:rPr>
          <w:sz w:val="2"/>
          <w:szCs w:val="2"/>
        </w:rPr>
      </w:pPr>
    </w:p>
  </w:footnote>
  <w:footnote w:id="2">
    <w:p w:rsidR="007A0CEB" w:rsidRPr="006F6E78" w:rsidRDefault="007A0CEB" w:rsidP="007A0CEB">
      <w:pPr>
        <w:pStyle w:val="FootnoteText"/>
      </w:pPr>
      <w:r>
        <w:tab/>
      </w:r>
      <w:r w:rsidRPr="00F16753">
        <w:rPr>
          <w:rStyle w:val="FootnoteReference"/>
          <w:sz w:val="20"/>
          <w:vertAlign w:val="baseline"/>
        </w:rPr>
        <w:t>*</w:t>
      </w:r>
      <w:r w:rsidRPr="006F6E78">
        <w:tab/>
        <w:t>Conformément au programme de travail du Comité des transports intérieurs pour la période 2014</w:t>
      </w:r>
      <w:r w:rsidR="00F16753">
        <w:noBreakHyphen/>
      </w:r>
      <w:r w:rsidRPr="006F6E78">
        <w:t>2018 (ECE/TRANS/240, par. 105, et ECE/TRANS/2014/26, activité 02.4), le Forum mondial a</w:t>
      </w:r>
      <w:r w:rsidR="00F16753">
        <w:t> </w:t>
      </w:r>
      <w:r w:rsidRPr="006F6E78">
        <w:t xml:space="preserve">pour mission d’élaborer, d’harmoniser et de mettre à jour les Règlements </w:t>
      </w:r>
      <w:r w:rsidR="005E4C0E">
        <w:t xml:space="preserve">ONU </w:t>
      </w:r>
      <w:r w:rsidRPr="006F6E78">
        <w:t>en vue d’améliorer les caractéristiques fonctionnelles des véhicules.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106" w:rsidRPr="00205106" w:rsidRDefault="009C3A2D">
    <w:pPr>
      <w:pStyle w:val="Header"/>
    </w:pPr>
    <w:r>
      <w:fldChar w:fldCharType="begin"/>
    </w:r>
    <w:r>
      <w:instrText xml:space="preserve"> TITLE  \* MERGEFORMAT </w:instrText>
    </w:r>
    <w:r>
      <w:fldChar w:fldCharType="separate"/>
    </w:r>
    <w:r w:rsidR="005E4C0E">
      <w:t>ECE/TRANS/WP.29/GRSP/2018/31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106" w:rsidRPr="00205106" w:rsidRDefault="009C3A2D" w:rsidP="00205106">
    <w:pPr>
      <w:pStyle w:val="Header"/>
      <w:jc w:val="right"/>
    </w:pPr>
    <w:r>
      <w:fldChar w:fldCharType="begin"/>
    </w:r>
    <w:r>
      <w:instrText xml:space="preserve"> TITLE  \* MERGEFORMAT </w:instrText>
    </w:r>
    <w:r>
      <w:fldChar w:fldCharType="separate"/>
    </w:r>
    <w:r w:rsidR="005E4C0E">
      <w:t>ECE/TRANS/WP.29/GRSP/2018/31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D8"/>
    <w:rsid w:val="00017F94"/>
    <w:rsid w:val="00023842"/>
    <w:rsid w:val="000334F9"/>
    <w:rsid w:val="00045FEB"/>
    <w:rsid w:val="0007796D"/>
    <w:rsid w:val="000B7790"/>
    <w:rsid w:val="00111F2F"/>
    <w:rsid w:val="0014365E"/>
    <w:rsid w:val="00143C66"/>
    <w:rsid w:val="00176178"/>
    <w:rsid w:val="001F4F2F"/>
    <w:rsid w:val="001F525A"/>
    <w:rsid w:val="00205106"/>
    <w:rsid w:val="00205CBD"/>
    <w:rsid w:val="00223272"/>
    <w:rsid w:val="0024779E"/>
    <w:rsid w:val="00257168"/>
    <w:rsid w:val="002744B8"/>
    <w:rsid w:val="002832AC"/>
    <w:rsid w:val="002B5448"/>
    <w:rsid w:val="002D7C93"/>
    <w:rsid w:val="00305801"/>
    <w:rsid w:val="003916DE"/>
    <w:rsid w:val="00412E07"/>
    <w:rsid w:val="00421996"/>
    <w:rsid w:val="00441C3B"/>
    <w:rsid w:val="00446FE5"/>
    <w:rsid w:val="00452396"/>
    <w:rsid w:val="004837D8"/>
    <w:rsid w:val="004A25AD"/>
    <w:rsid w:val="004E2EED"/>
    <w:rsid w:val="004E468C"/>
    <w:rsid w:val="005505B7"/>
    <w:rsid w:val="005636B6"/>
    <w:rsid w:val="00573BE5"/>
    <w:rsid w:val="00586ED3"/>
    <w:rsid w:val="00596AA9"/>
    <w:rsid w:val="005E4C0E"/>
    <w:rsid w:val="0071601D"/>
    <w:rsid w:val="007A0CEB"/>
    <w:rsid w:val="007A62E6"/>
    <w:rsid w:val="007F20FA"/>
    <w:rsid w:val="0080684C"/>
    <w:rsid w:val="00871C75"/>
    <w:rsid w:val="008776DC"/>
    <w:rsid w:val="00940F53"/>
    <w:rsid w:val="009446C0"/>
    <w:rsid w:val="009705C8"/>
    <w:rsid w:val="009C1CF4"/>
    <w:rsid w:val="009C3A2D"/>
    <w:rsid w:val="009C6110"/>
    <w:rsid w:val="009F6B74"/>
    <w:rsid w:val="00A0676E"/>
    <w:rsid w:val="00A3029F"/>
    <w:rsid w:val="00A30353"/>
    <w:rsid w:val="00AC3823"/>
    <w:rsid w:val="00AE323C"/>
    <w:rsid w:val="00AF0CB5"/>
    <w:rsid w:val="00B00181"/>
    <w:rsid w:val="00B00B0D"/>
    <w:rsid w:val="00B45F2E"/>
    <w:rsid w:val="00B765F7"/>
    <w:rsid w:val="00BA0CA9"/>
    <w:rsid w:val="00BC0F4B"/>
    <w:rsid w:val="00C02897"/>
    <w:rsid w:val="00C97039"/>
    <w:rsid w:val="00CB2A3D"/>
    <w:rsid w:val="00D3439C"/>
    <w:rsid w:val="00DB1831"/>
    <w:rsid w:val="00DD3BFD"/>
    <w:rsid w:val="00DF6678"/>
    <w:rsid w:val="00E0299A"/>
    <w:rsid w:val="00E3654F"/>
    <w:rsid w:val="00E47BD8"/>
    <w:rsid w:val="00E76DD8"/>
    <w:rsid w:val="00E85C74"/>
    <w:rsid w:val="00EA6547"/>
    <w:rsid w:val="00EB4889"/>
    <w:rsid w:val="00EF2E22"/>
    <w:rsid w:val="00F1675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6AA205-F0F0-422F-ACB3-C8780BD3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qFormat/>
    <w:rsid w:val="007A0CEB"/>
    <w:rPr>
      <w:rFonts w:ascii="Times New Roman" w:eastAsiaTheme="minorHAnsi" w:hAnsi="Times New Roman" w:cs="Times New Roman"/>
      <w:sz w:val="20"/>
      <w:szCs w:val="20"/>
      <w:lang w:eastAsia="en-US"/>
    </w:rPr>
  </w:style>
  <w:style w:type="character" w:customStyle="1" w:styleId="HChGChar">
    <w:name w:val="_ H _Ch_G Char"/>
    <w:link w:val="HChG"/>
    <w:rsid w:val="007A0CE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ECE/TRANS/WP.29/GRSP/2018/31</vt:lpstr>
      <vt:lpstr>ECE/TRANS/WP.29/GRSP/2018/31</vt:lpstr>
    </vt:vector>
  </TitlesOfParts>
  <Company>DCM</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ECE/TRANS/WP.29/GRSP/2018/31</dc:title>
  <dc:subject/>
  <dc:creator>Nath VITTOZ</dc:creator>
  <cp:keywords/>
  <cp:lastModifiedBy>Benedicte Boudol</cp:lastModifiedBy>
  <cp:revision>2</cp:revision>
  <cp:lastPrinted>2018-10-29T14:06:00Z</cp:lastPrinted>
  <dcterms:created xsi:type="dcterms:W3CDTF">2018-11-01T09:24:00Z</dcterms:created>
  <dcterms:modified xsi:type="dcterms:W3CDTF">2018-11-01T09:24:00Z</dcterms:modified>
</cp:coreProperties>
</file>