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6D3F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6D3F1F" w:rsidP="006D3F1F">
            <w:pPr>
              <w:jc w:val="right"/>
            </w:pPr>
            <w:r w:rsidRPr="006D3F1F">
              <w:rPr>
                <w:sz w:val="40"/>
              </w:rPr>
              <w:t>ECE</w:t>
            </w:r>
            <w:r>
              <w:t>/TRANS/WP.29/GRSP/2018/8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6D3F1F" w:rsidP="00C97039">
            <w:pPr>
              <w:spacing w:before="240"/>
            </w:pPr>
            <w:r>
              <w:t>Distr. générale</w:t>
            </w:r>
          </w:p>
          <w:p w:rsidR="006D3F1F" w:rsidRDefault="006D3F1F" w:rsidP="006D3F1F">
            <w:pPr>
              <w:spacing w:line="240" w:lineRule="exact"/>
            </w:pPr>
            <w:r>
              <w:t>28 février 2018</w:t>
            </w:r>
          </w:p>
          <w:p w:rsidR="006D3F1F" w:rsidRDefault="006D3F1F" w:rsidP="006D3F1F">
            <w:pPr>
              <w:spacing w:line="240" w:lineRule="exact"/>
            </w:pPr>
            <w:r>
              <w:t>Français</w:t>
            </w:r>
          </w:p>
          <w:p w:rsidR="006D3F1F" w:rsidRPr="00DB58B5" w:rsidRDefault="006D3F1F" w:rsidP="006D3F1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9A37AA" w:rsidRPr="007342D8" w:rsidRDefault="009A37AA" w:rsidP="007342D8">
      <w:pPr>
        <w:spacing w:before="120"/>
        <w:rPr>
          <w:b/>
          <w:sz w:val="24"/>
          <w:szCs w:val="24"/>
        </w:rPr>
      </w:pPr>
      <w:r w:rsidRPr="007342D8">
        <w:rPr>
          <w:b/>
          <w:sz w:val="24"/>
          <w:szCs w:val="24"/>
          <w:lang w:val="fr-FR"/>
        </w:rPr>
        <w:t xml:space="preserve">Forum mondial de l’harmonisation </w:t>
      </w:r>
      <w:r w:rsidR="009B3E6B">
        <w:rPr>
          <w:b/>
          <w:sz w:val="24"/>
          <w:szCs w:val="24"/>
          <w:lang w:val="fr-FR"/>
        </w:rPr>
        <w:br/>
      </w:r>
      <w:r w:rsidRPr="007342D8">
        <w:rPr>
          <w:b/>
          <w:sz w:val="24"/>
          <w:szCs w:val="24"/>
          <w:lang w:val="fr-FR"/>
        </w:rPr>
        <w:t>des Règlements concernant les véhicules</w:t>
      </w:r>
    </w:p>
    <w:p w:rsidR="009A37AA" w:rsidRPr="003E49BB" w:rsidRDefault="009A37AA" w:rsidP="007342D8">
      <w:pPr>
        <w:spacing w:before="120"/>
        <w:rPr>
          <w:b/>
        </w:rPr>
      </w:pPr>
      <w:r w:rsidRPr="003E49BB">
        <w:rPr>
          <w:b/>
          <w:lang w:val="fr-FR"/>
        </w:rPr>
        <w:t>Groupe de travail de la sécurité passive</w:t>
      </w:r>
    </w:p>
    <w:p w:rsidR="009A37AA" w:rsidRPr="003E49BB" w:rsidRDefault="009A37AA" w:rsidP="007342D8">
      <w:pPr>
        <w:spacing w:before="120"/>
        <w:rPr>
          <w:b/>
        </w:rPr>
      </w:pPr>
      <w:r w:rsidRPr="003E49BB">
        <w:rPr>
          <w:b/>
          <w:lang w:val="fr-FR"/>
        </w:rPr>
        <w:t xml:space="preserve">Soixante-troisième session </w:t>
      </w:r>
    </w:p>
    <w:p w:rsidR="009A37AA" w:rsidRPr="00131D98" w:rsidRDefault="009A37AA" w:rsidP="009A37AA">
      <w:pPr>
        <w:rPr>
          <w:bCs/>
        </w:rPr>
      </w:pPr>
      <w:r>
        <w:rPr>
          <w:lang w:val="fr-FR"/>
        </w:rPr>
        <w:t>Genève, 14-18 mai 2018</w:t>
      </w:r>
    </w:p>
    <w:p w:rsidR="009A37AA" w:rsidRPr="00131D98" w:rsidRDefault="009A37AA" w:rsidP="009A37AA">
      <w:pPr>
        <w:rPr>
          <w:bCs/>
        </w:rPr>
      </w:pPr>
      <w:r>
        <w:rPr>
          <w:lang w:val="fr-FR"/>
        </w:rPr>
        <w:t>Point 19 de l’ordre du jour provisoire</w:t>
      </w:r>
    </w:p>
    <w:p w:rsidR="009A37AA" w:rsidRPr="003E49BB" w:rsidRDefault="009A37AA" w:rsidP="009A37AA">
      <w:pPr>
        <w:rPr>
          <w:b/>
          <w:bCs/>
        </w:rPr>
      </w:pPr>
      <w:r w:rsidRPr="003E49BB">
        <w:rPr>
          <w:b/>
          <w:lang w:val="fr-FR"/>
        </w:rPr>
        <w:t>Règlement n</w:t>
      </w:r>
      <w:r w:rsidRPr="003E49BB">
        <w:rPr>
          <w:b/>
          <w:vertAlign w:val="superscript"/>
          <w:lang w:val="fr-FR"/>
        </w:rPr>
        <w:t>o</w:t>
      </w:r>
      <w:r w:rsidR="009B3E6B">
        <w:rPr>
          <w:b/>
          <w:lang w:val="fr-FR"/>
        </w:rPr>
        <w:t> </w:t>
      </w:r>
      <w:r w:rsidRPr="003E49BB">
        <w:rPr>
          <w:b/>
          <w:lang w:val="fr-FR"/>
        </w:rPr>
        <w:t>129 (Dispositifs améliorés de retenue pour enfants)</w:t>
      </w:r>
    </w:p>
    <w:p w:rsidR="009A37AA" w:rsidRPr="00131D98" w:rsidRDefault="009A37AA" w:rsidP="009B3E6B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 xml:space="preserve">Proposition de complément 1 à la série 3 d’amendements </w:t>
      </w:r>
      <w:r w:rsidR="009B3E6B">
        <w:rPr>
          <w:lang w:val="fr-FR"/>
        </w:rPr>
        <w:br/>
      </w:r>
      <w:r>
        <w:rPr>
          <w:lang w:val="fr-FR"/>
        </w:rPr>
        <w:t>au Règlement n</w:t>
      </w:r>
      <w:r w:rsidRPr="003E49BB">
        <w:rPr>
          <w:vertAlign w:val="superscript"/>
          <w:lang w:val="fr-FR"/>
        </w:rPr>
        <w:t>o</w:t>
      </w:r>
      <w:r>
        <w:rPr>
          <w:lang w:val="fr-FR"/>
        </w:rPr>
        <w:t xml:space="preserve"> 129 (Dispositifs améliorés de retenue </w:t>
      </w:r>
      <w:r w:rsidR="009B3E6B">
        <w:rPr>
          <w:lang w:val="fr-FR"/>
        </w:rPr>
        <w:br/>
      </w:r>
      <w:r>
        <w:rPr>
          <w:lang w:val="fr-FR"/>
        </w:rPr>
        <w:t>pour enfants)</w:t>
      </w:r>
    </w:p>
    <w:p w:rsidR="009A37AA" w:rsidRPr="00131D98" w:rsidRDefault="009B3E6B" w:rsidP="009B3E6B">
      <w:pPr>
        <w:pStyle w:val="H1G"/>
        <w:rPr>
          <w:rFonts w:eastAsia="MS Mincho"/>
        </w:rPr>
      </w:pPr>
      <w:r>
        <w:rPr>
          <w:lang w:val="fr-FR"/>
        </w:rPr>
        <w:tab/>
      </w:r>
      <w:r>
        <w:rPr>
          <w:lang w:val="fr-FR"/>
        </w:rPr>
        <w:tab/>
      </w:r>
      <w:r w:rsidR="009A37AA">
        <w:rPr>
          <w:lang w:val="fr-FR"/>
        </w:rPr>
        <w:t>Communication de l’expert de la France</w:t>
      </w:r>
      <w:r w:rsidRPr="00D81F55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9A37AA" w:rsidRPr="00131D98" w:rsidRDefault="009A37AA" w:rsidP="009B3E6B">
      <w:pPr>
        <w:pStyle w:val="SingleTxtG"/>
        <w:ind w:firstLine="567"/>
        <w:rPr>
          <w:rFonts w:eastAsia="MS Mincho"/>
        </w:rPr>
      </w:pPr>
      <w:r>
        <w:rPr>
          <w:lang w:val="fr-FR"/>
        </w:rPr>
        <w:t>Le texte ci-après a été établi par l’expert du groupe de travail informel sur les dispositifs améliorés de retenue pour enfants. Il introduit des amendements à la série 3 d’amendements au Règlement n</w:t>
      </w:r>
      <w:r>
        <w:rPr>
          <w:vertAlign w:val="superscript"/>
          <w:lang w:val="fr-FR"/>
        </w:rPr>
        <w:t>o</w:t>
      </w:r>
      <w:r w:rsidR="009B3E6B">
        <w:rPr>
          <w:lang w:val="fr-FR"/>
        </w:rPr>
        <w:t> </w:t>
      </w:r>
      <w:r>
        <w:rPr>
          <w:lang w:val="fr-FR"/>
        </w:rPr>
        <w:t>129 (Dispositifs améliorés de retenue pour enfants). Les</w:t>
      </w:r>
      <w:r w:rsidR="009B3E6B">
        <w:rPr>
          <w:lang w:val="fr-FR"/>
        </w:rPr>
        <w:t> </w:t>
      </w:r>
      <w:r>
        <w:rPr>
          <w:lang w:val="fr-FR"/>
        </w:rPr>
        <w:t>modifications qu’il est proposé d’apporter au texte actuel du Règlement (y compris le document ECE/TRANS/WP.29/GRSP/2017/41) figurent en caractères gras pour les ajouts et biffés pour les suppressions.</w:t>
      </w:r>
    </w:p>
    <w:p w:rsidR="009A37AA" w:rsidRPr="00131D98" w:rsidRDefault="009A37AA" w:rsidP="002032A0">
      <w:pPr>
        <w:pStyle w:val="HChG"/>
      </w:pPr>
      <w:r w:rsidRPr="00131D98">
        <w:br w:type="page"/>
      </w:r>
      <w:r w:rsidR="002032A0">
        <w:lastRenderedPageBreak/>
        <w:tab/>
      </w:r>
      <w:r>
        <w:rPr>
          <w:lang w:val="fr-FR"/>
        </w:rPr>
        <w:t>I.</w:t>
      </w:r>
      <w:r>
        <w:rPr>
          <w:lang w:val="fr-FR"/>
        </w:rPr>
        <w:tab/>
        <w:t>Proposition</w:t>
      </w:r>
    </w:p>
    <w:p w:rsidR="009A37AA" w:rsidRPr="00131D98" w:rsidRDefault="009A37AA" w:rsidP="002032A0">
      <w:pPr>
        <w:pStyle w:val="SingleTxtG"/>
        <w:rPr>
          <w:i/>
        </w:rPr>
      </w:pPr>
      <w:r>
        <w:rPr>
          <w:i/>
          <w:iCs/>
          <w:lang w:val="fr-FR"/>
        </w:rPr>
        <w:t>Paragraphe 2.12</w:t>
      </w:r>
      <w:r>
        <w:rPr>
          <w:lang w:val="fr-FR"/>
        </w:rPr>
        <w:t>, modifier comme suit</w:t>
      </w:r>
      <w:r w:rsidR="002032A0">
        <w:rPr>
          <w:lang w:val="fr-FR"/>
        </w:rPr>
        <w:t> </w:t>
      </w:r>
      <w:r>
        <w:rPr>
          <w:lang w:val="fr-FR"/>
        </w:rPr>
        <w:t>:</w:t>
      </w:r>
    </w:p>
    <w:p w:rsidR="009A37AA" w:rsidRPr="00131D98" w:rsidRDefault="002032A0" w:rsidP="002032A0">
      <w:pPr>
        <w:pStyle w:val="SingleTxtG"/>
        <w:tabs>
          <w:tab w:val="left" w:pos="2268"/>
        </w:tabs>
        <w:ind w:left="2268" w:hanging="1134"/>
      </w:pPr>
      <w:bookmarkStart w:id="1" w:name="2_143"/>
      <w:r>
        <w:rPr>
          <w:lang w:val="fr-FR"/>
        </w:rPr>
        <w:t>« 2.12</w:t>
      </w:r>
      <w:r w:rsidR="009A37AA">
        <w:rPr>
          <w:lang w:val="fr-FR"/>
        </w:rPr>
        <w:tab/>
      </w:r>
      <w:r w:rsidR="009A37AA">
        <w:rPr>
          <w:lang w:val="fr-FR"/>
        </w:rPr>
        <w:tab/>
      </w:r>
      <w:r w:rsidRPr="002032A0">
        <w:t>“</w:t>
      </w:r>
      <w:r w:rsidR="009A37AA">
        <w:rPr>
          <w:lang w:val="fr-FR"/>
        </w:rPr>
        <w:t>Système antirotation</w:t>
      </w:r>
      <w:r w:rsidRPr="002032A0">
        <w:t>”</w:t>
      </w:r>
      <w:bookmarkEnd w:id="1"/>
      <w:r w:rsidR="009A37AA">
        <w:rPr>
          <w:lang w:val="fr-FR"/>
        </w:rPr>
        <w:t>, un système conçu pour limiter la rotation du dispositif de retenue pour enfants en cas de choc, composé</w:t>
      </w:r>
      <w:r>
        <w:rPr>
          <w:lang w:val="fr-FR"/>
        </w:rPr>
        <w:t> </w:t>
      </w:r>
      <w:r w:rsidR="009A37AA">
        <w:rPr>
          <w:lang w:val="fr-FR"/>
        </w:rPr>
        <w:t>:</w:t>
      </w:r>
    </w:p>
    <w:p w:rsidR="009A37AA" w:rsidRPr="00131D98" w:rsidRDefault="009A37AA" w:rsidP="002032A0">
      <w:pPr>
        <w:pStyle w:val="SingleTxtG"/>
        <w:ind w:left="2268"/>
      </w:pPr>
      <w:r>
        <w:rPr>
          <w:lang w:val="fr-FR"/>
        </w:rPr>
        <w:t>a)</w:t>
      </w:r>
      <w:r>
        <w:rPr>
          <w:lang w:val="fr-FR"/>
        </w:rPr>
        <w:tab/>
        <w:t>D’une sangle de fixation supérieure</w:t>
      </w:r>
      <w:r w:rsidR="002032A0">
        <w:rPr>
          <w:lang w:val="fr-FR"/>
        </w:rPr>
        <w:t> </w:t>
      </w:r>
      <w:r>
        <w:rPr>
          <w:lang w:val="fr-FR"/>
        </w:rPr>
        <w:t>; ou</w:t>
      </w:r>
    </w:p>
    <w:p w:rsidR="009A37AA" w:rsidRPr="00131D98" w:rsidRDefault="009A37AA" w:rsidP="002032A0">
      <w:pPr>
        <w:pStyle w:val="SingleTxtG"/>
        <w:ind w:left="2268"/>
      </w:pPr>
      <w:r>
        <w:rPr>
          <w:lang w:val="fr-FR"/>
        </w:rPr>
        <w:t>b)</w:t>
      </w:r>
      <w:r>
        <w:rPr>
          <w:lang w:val="fr-FR"/>
        </w:rPr>
        <w:tab/>
        <w:t>D’une jambe de force.</w:t>
      </w:r>
    </w:p>
    <w:p w:rsidR="009A37AA" w:rsidRPr="00131D98" w:rsidRDefault="009A37AA" w:rsidP="002032A0">
      <w:pPr>
        <w:pStyle w:val="SingleTxtG"/>
        <w:ind w:left="2268"/>
      </w:pPr>
      <w:r>
        <w:rPr>
          <w:lang w:val="fr-FR"/>
        </w:rPr>
        <w:t>Ce système, qui doit satisfaire aux prescriptions du présent Règlement, doit être fixé à un système d’ancrages ISOFIX, à des ancrages supérieurs ISOFIX ou à la surface de contact avec le plancher du véhicule, conformes aux prescriptions du Règlement n</w:t>
      </w:r>
      <w:r>
        <w:rPr>
          <w:vertAlign w:val="superscript"/>
          <w:lang w:val="fr-FR"/>
        </w:rPr>
        <w:t>o</w:t>
      </w:r>
      <w:r w:rsidR="002032A0">
        <w:rPr>
          <w:lang w:val="fr-FR"/>
        </w:rPr>
        <w:t> </w:t>
      </w:r>
      <w:r>
        <w:rPr>
          <w:lang w:val="fr-FR"/>
        </w:rPr>
        <w:t>14 ou du Règlement n</w:t>
      </w:r>
      <w:r>
        <w:rPr>
          <w:vertAlign w:val="superscript"/>
          <w:lang w:val="fr-FR"/>
        </w:rPr>
        <w:t>o</w:t>
      </w:r>
      <w:r w:rsidR="002032A0">
        <w:rPr>
          <w:lang w:val="fr-FR"/>
        </w:rPr>
        <w:t> </w:t>
      </w:r>
      <w:r>
        <w:rPr>
          <w:lang w:val="fr-FR"/>
        </w:rPr>
        <w:t>145.</w:t>
      </w:r>
    </w:p>
    <w:p w:rsidR="009A37AA" w:rsidRPr="00131D98" w:rsidRDefault="009A37AA" w:rsidP="002032A0">
      <w:pPr>
        <w:pStyle w:val="SingleTxtG"/>
        <w:ind w:left="2268"/>
      </w:pPr>
      <w:r>
        <w:rPr>
          <w:lang w:val="fr-FR"/>
        </w:rPr>
        <w:t xml:space="preserve">S’il doit être installé sur un dispositif de retenue pour enfants ISOFIX spécifique à un type de véhicule, le système antirotation peut se composer d’une fixation supérieure, d’une jambe de force ou, </w:t>
      </w:r>
      <w:r>
        <w:rPr>
          <w:b/>
          <w:bCs/>
          <w:lang w:val="fr-FR"/>
        </w:rPr>
        <w:t>seulement pour les dispositifs améliorés de retenue pour enfants faisant face vers l’arrière, d’une sangle d’ancrage au tableau de bord et/ou d’une sangle d’ancrage inférieur.</w:t>
      </w:r>
      <w:r w:rsidR="002032A0" w:rsidRPr="002032A0">
        <w:rPr>
          <w:bCs/>
          <w:lang w:val="fr-FR"/>
        </w:rPr>
        <w:t> </w:t>
      </w:r>
      <w:r w:rsidRPr="002032A0">
        <w:rPr>
          <w:bCs/>
          <w:lang w:val="fr-FR"/>
        </w:rPr>
        <w:t>»</w:t>
      </w:r>
      <w:r w:rsidR="002032A0">
        <w:rPr>
          <w:bCs/>
          <w:lang w:val="fr-FR"/>
        </w:rPr>
        <w:t>.</w:t>
      </w:r>
    </w:p>
    <w:p w:rsidR="009A37AA" w:rsidRPr="00131D98" w:rsidRDefault="009A37AA" w:rsidP="002032A0">
      <w:pPr>
        <w:pStyle w:val="SingleTxtG"/>
        <w:rPr>
          <w:i/>
        </w:rPr>
      </w:pPr>
      <w:r>
        <w:rPr>
          <w:i/>
          <w:iCs/>
          <w:lang w:val="fr-FR"/>
        </w:rPr>
        <w:t>Paragraphe 2.14</w:t>
      </w:r>
      <w:r>
        <w:rPr>
          <w:lang w:val="fr-FR"/>
        </w:rPr>
        <w:t>, modifier comme suit</w:t>
      </w:r>
      <w:r w:rsidR="002032A0">
        <w:rPr>
          <w:lang w:val="fr-FR"/>
        </w:rPr>
        <w:t> </w:t>
      </w:r>
      <w:r>
        <w:rPr>
          <w:lang w:val="fr-FR"/>
        </w:rPr>
        <w:t>:</w:t>
      </w:r>
    </w:p>
    <w:p w:rsidR="009A37AA" w:rsidRPr="00131D98" w:rsidRDefault="009A37AA" w:rsidP="002032A0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lang w:val="fr-FR"/>
        </w:rPr>
        <w:t>«</w:t>
      </w:r>
      <w:r w:rsidR="002032A0">
        <w:rPr>
          <w:lang w:val="fr-FR"/>
        </w:rPr>
        <w:t> 2.14</w:t>
      </w:r>
      <w:r w:rsidR="002032A0">
        <w:rPr>
          <w:lang w:val="fr-FR"/>
        </w:rPr>
        <w:tab/>
      </w:r>
      <w:r w:rsidR="002032A0">
        <w:rPr>
          <w:lang w:val="fr-FR"/>
        </w:rPr>
        <w:tab/>
      </w:r>
      <w:r w:rsidR="002032A0" w:rsidRPr="002032A0">
        <w:t>“</w:t>
      </w:r>
      <w:r>
        <w:rPr>
          <w:lang w:val="fr-FR"/>
        </w:rPr>
        <w:t>Systè</w:t>
      </w:r>
      <w:r w:rsidR="002032A0">
        <w:rPr>
          <w:lang w:val="fr-FR"/>
        </w:rPr>
        <w:t>me de relâchement de la tension</w:t>
      </w:r>
      <w:r w:rsidR="002032A0" w:rsidRPr="002032A0">
        <w:t>”</w:t>
      </w:r>
      <w:r>
        <w:rPr>
          <w:lang w:val="fr-FR"/>
        </w:rPr>
        <w:t xml:space="preserve">, un système servant à libérer le dispositif qui permet de régler et de maintenir la tension de la sangle de fixation supérieure ISOFIX ou </w:t>
      </w:r>
      <w:r>
        <w:rPr>
          <w:b/>
          <w:bCs/>
          <w:lang w:val="fr-FR"/>
        </w:rPr>
        <w:t>de la (des) sangle(s) de fixation inférieure</w:t>
      </w:r>
      <w:r w:rsidR="002032A0">
        <w:rPr>
          <w:b/>
          <w:bCs/>
          <w:lang w:val="fr-FR"/>
        </w:rPr>
        <w:t>. </w:t>
      </w:r>
      <w:r w:rsidRPr="002032A0">
        <w:rPr>
          <w:bCs/>
          <w:lang w:val="fr-FR"/>
        </w:rPr>
        <w:t>»</w:t>
      </w:r>
      <w:r w:rsidR="002032A0">
        <w:rPr>
          <w:bCs/>
          <w:lang w:val="fr-FR"/>
        </w:rPr>
        <w:t>.</w:t>
      </w:r>
    </w:p>
    <w:p w:rsidR="009A37AA" w:rsidRPr="00D25D02" w:rsidRDefault="009A37AA" w:rsidP="002032A0">
      <w:pPr>
        <w:pStyle w:val="SingleTxtG"/>
      </w:pPr>
      <w:r>
        <w:rPr>
          <w:i/>
          <w:iCs/>
          <w:lang w:val="fr-FR"/>
        </w:rPr>
        <w:t>Ajouter un nouveau paragraphe 2.62</w:t>
      </w:r>
      <w:r w:rsidRPr="002032A0">
        <w:rPr>
          <w:iCs/>
          <w:lang w:val="fr-FR"/>
        </w:rPr>
        <w:t>,</w:t>
      </w:r>
      <w:r>
        <w:rPr>
          <w:i/>
          <w:iCs/>
          <w:lang w:val="fr-FR"/>
        </w:rPr>
        <w:t xml:space="preserve"> </w:t>
      </w:r>
      <w:r w:rsidRPr="00D25D02">
        <w:rPr>
          <w:iCs/>
          <w:lang w:val="fr-FR"/>
        </w:rPr>
        <w:t>libellé comme suit</w:t>
      </w:r>
      <w:r w:rsidR="002032A0">
        <w:rPr>
          <w:iCs/>
          <w:lang w:val="fr-FR"/>
        </w:rPr>
        <w:t> </w:t>
      </w:r>
      <w:r w:rsidRPr="00D25D02">
        <w:rPr>
          <w:iCs/>
          <w:lang w:val="fr-FR"/>
        </w:rPr>
        <w:t>:</w:t>
      </w:r>
    </w:p>
    <w:p w:rsidR="009A37AA" w:rsidRPr="00131D98" w:rsidRDefault="009A37AA" w:rsidP="002032A0">
      <w:pPr>
        <w:pStyle w:val="SingleTxtG"/>
        <w:tabs>
          <w:tab w:val="left" w:pos="2268"/>
        </w:tabs>
        <w:ind w:left="2268" w:hanging="1134"/>
      </w:pPr>
      <w:r w:rsidRPr="00521496">
        <w:rPr>
          <w:lang w:val="fr-FR"/>
        </w:rPr>
        <w:t>«</w:t>
      </w:r>
      <w:r w:rsidR="002032A0" w:rsidRPr="00521496">
        <w:rPr>
          <w:lang w:val="fr-FR"/>
        </w:rPr>
        <w:t> </w:t>
      </w:r>
      <w:r w:rsidRPr="00D25D02">
        <w:rPr>
          <w:b/>
          <w:lang w:val="fr-FR"/>
        </w:rPr>
        <w:t>2.62</w:t>
      </w:r>
      <w:r>
        <w:rPr>
          <w:lang w:val="fr-FR"/>
        </w:rPr>
        <w:tab/>
      </w:r>
      <w:r w:rsidRPr="002032A0">
        <w:rPr>
          <w:b/>
          <w:lang w:val="fr-FR"/>
        </w:rPr>
        <w:tab/>
      </w:r>
      <w:r w:rsidR="002032A0" w:rsidRPr="002032A0">
        <w:rPr>
          <w:b/>
        </w:rPr>
        <w:t>“</w:t>
      </w:r>
      <w:r w:rsidR="002032A0" w:rsidRPr="002032A0">
        <w:rPr>
          <w:b/>
          <w:bCs/>
          <w:lang w:val="fr-FR"/>
        </w:rPr>
        <w:t>Sangle de fixation inférieure</w:t>
      </w:r>
      <w:r w:rsidR="002032A0" w:rsidRPr="002032A0">
        <w:rPr>
          <w:b/>
        </w:rPr>
        <w:t>”</w:t>
      </w:r>
      <w:r w:rsidRPr="002032A0">
        <w:rPr>
          <w:b/>
          <w:bCs/>
          <w:lang w:val="fr-FR"/>
        </w:rPr>
        <w:t>, une sangle (ou équivalent) allant du haut du</w:t>
      </w:r>
      <w:r>
        <w:rPr>
          <w:b/>
          <w:bCs/>
          <w:lang w:val="fr-FR"/>
        </w:rPr>
        <w:t xml:space="preserve"> dispositif amélioré de retenue pour enfants jusqu’à l’ancrage inférieur du véhicule, et équipée d’un dispositif de réglage et de relâchement de la tension et d’un connecteur d’ancrage inférieur</w:t>
      </w:r>
      <w:r w:rsidR="002032A0">
        <w:rPr>
          <w:b/>
          <w:bCs/>
          <w:lang w:val="fr-FR"/>
        </w:rPr>
        <w:t>. </w:t>
      </w:r>
      <w:r w:rsidRPr="002032A0">
        <w:rPr>
          <w:bCs/>
          <w:lang w:val="fr-FR"/>
        </w:rPr>
        <w:t>».</w:t>
      </w:r>
    </w:p>
    <w:p w:rsidR="009A37AA" w:rsidRPr="00131D98" w:rsidRDefault="009A37AA" w:rsidP="002032A0">
      <w:pPr>
        <w:pStyle w:val="SingleTxtG"/>
        <w:rPr>
          <w:rFonts w:eastAsia="MS Mincho"/>
          <w:i/>
          <w:sz w:val="22"/>
          <w:szCs w:val="22"/>
        </w:rPr>
      </w:pPr>
      <w:r>
        <w:rPr>
          <w:i/>
          <w:iCs/>
          <w:lang w:val="fr-FR"/>
        </w:rPr>
        <w:t>Ajouter un nouveau paragraphe 2.62.1</w:t>
      </w:r>
      <w:r>
        <w:rPr>
          <w:lang w:val="fr-FR"/>
        </w:rPr>
        <w:t>, libellé comme suit</w:t>
      </w:r>
      <w:r w:rsidR="00521496">
        <w:rPr>
          <w:lang w:val="fr-FR"/>
        </w:rPr>
        <w:t> </w:t>
      </w:r>
      <w:r>
        <w:rPr>
          <w:lang w:val="fr-FR"/>
        </w:rPr>
        <w:t>:</w:t>
      </w:r>
    </w:p>
    <w:p w:rsidR="009A37AA" w:rsidRPr="00D25D02" w:rsidRDefault="004D3395" w:rsidP="00521496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lang w:val="fr-FR"/>
        </w:rPr>
        <w:t>« </w:t>
      </w:r>
      <w:r>
        <w:rPr>
          <w:b/>
          <w:lang w:val="fr-FR"/>
        </w:rPr>
        <w:t>2.62.1</w:t>
      </w:r>
      <w:r w:rsidR="009A37AA" w:rsidRPr="00D25D02">
        <w:rPr>
          <w:b/>
          <w:lang w:val="fr-FR"/>
        </w:rPr>
        <w:tab/>
      </w:r>
      <w:r w:rsidRPr="002032A0">
        <w:rPr>
          <w:b/>
        </w:rPr>
        <w:t>“</w:t>
      </w:r>
      <w:r w:rsidR="009A37AA" w:rsidRPr="00D25D02">
        <w:rPr>
          <w:b/>
          <w:lang w:val="fr-FR"/>
        </w:rPr>
        <w:t>Ancrage pour fixation inférieure</w:t>
      </w:r>
      <w:r w:rsidRPr="002032A0">
        <w:rPr>
          <w:b/>
        </w:rPr>
        <w:t>”</w:t>
      </w:r>
      <w:r w:rsidR="009A37AA" w:rsidRPr="00D25D02">
        <w:rPr>
          <w:b/>
          <w:lang w:val="fr-FR"/>
        </w:rPr>
        <w:t>, un dispositif conforme aux exigences de la norme ISO 13216, par exemple une patte, située dans une zone définie, conçue pour recevoir un connecteur de sangle d</w:t>
      </w:r>
      <w:r w:rsidR="009A37AA">
        <w:rPr>
          <w:b/>
          <w:lang w:val="fr-FR"/>
        </w:rPr>
        <w:t>’</w:t>
      </w:r>
      <w:r w:rsidR="009A37AA" w:rsidRPr="00D25D02">
        <w:rPr>
          <w:b/>
          <w:lang w:val="fr-FR"/>
        </w:rPr>
        <w:t xml:space="preserve">ancrage </w:t>
      </w:r>
      <w:r w:rsidR="009A37AA">
        <w:rPr>
          <w:b/>
          <w:lang w:val="fr-FR"/>
        </w:rPr>
        <w:t>infé</w:t>
      </w:r>
      <w:r w:rsidR="009A37AA" w:rsidRPr="00D25D02">
        <w:rPr>
          <w:b/>
          <w:lang w:val="fr-FR"/>
        </w:rPr>
        <w:t>rieur ISOFIX et transférer son effort de rétention sur la structure du véhicule.</w:t>
      </w:r>
      <w:r>
        <w:rPr>
          <w:b/>
          <w:lang w:val="fr-FR"/>
        </w:rPr>
        <w:t> </w:t>
      </w:r>
      <w:r w:rsidR="009A37AA" w:rsidRPr="004D3395">
        <w:rPr>
          <w:lang w:val="fr-FR"/>
        </w:rPr>
        <w:t>»</w:t>
      </w:r>
      <w:r w:rsidRPr="004D3395">
        <w:rPr>
          <w:lang w:val="fr-FR"/>
        </w:rPr>
        <w:t>.</w:t>
      </w:r>
    </w:p>
    <w:p w:rsidR="009A37AA" w:rsidRPr="00131D98" w:rsidRDefault="009A37AA" w:rsidP="002032A0">
      <w:pPr>
        <w:pStyle w:val="SingleTxtG"/>
        <w:rPr>
          <w:rFonts w:eastAsia="MS Mincho"/>
          <w:i/>
          <w:sz w:val="22"/>
          <w:szCs w:val="22"/>
        </w:rPr>
      </w:pPr>
      <w:r>
        <w:rPr>
          <w:i/>
          <w:iCs/>
          <w:lang w:val="fr-FR"/>
        </w:rPr>
        <w:t>Ajouter un nouveau paragraphe 2.62.2</w:t>
      </w:r>
      <w:r>
        <w:rPr>
          <w:lang w:val="fr-FR"/>
        </w:rPr>
        <w:t>, libellé comme suit</w:t>
      </w:r>
      <w:r w:rsidR="004D3395">
        <w:rPr>
          <w:lang w:val="fr-FR"/>
        </w:rPr>
        <w:t> </w:t>
      </w:r>
      <w:r>
        <w:rPr>
          <w:lang w:val="fr-FR"/>
        </w:rPr>
        <w:t>:</w:t>
      </w:r>
    </w:p>
    <w:p w:rsidR="009A37AA" w:rsidRPr="0046147E" w:rsidRDefault="009A37AA" w:rsidP="00521496">
      <w:pPr>
        <w:pStyle w:val="SingleTxtG"/>
        <w:tabs>
          <w:tab w:val="left" w:pos="2268"/>
        </w:tabs>
        <w:ind w:left="2268" w:hanging="1134"/>
        <w:rPr>
          <w:b/>
        </w:rPr>
      </w:pPr>
      <w:r w:rsidRPr="004D3395">
        <w:rPr>
          <w:lang w:val="fr-FR"/>
        </w:rPr>
        <w:t>«</w:t>
      </w:r>
      <w:r w:rsidR="004D3395">
        <w:rPr>
          <w:b/>
          <w:lang w:val="fr-FR"/>
        </w:rPr>
        <w:t> 2.62.2</w:t>
      </w:r>
      <w:r w:rsidRPr="0046147E">
        <w:rPr>
          <w:b/>
          <w:lang w:val="fr-FR"/>
        </w:rPr>
        <w:tab/>
      </w:r>
      <w:r w:rsidR="004D3395" w:rsidRPr="002032A0">
        <w:rPr>
          <w:b/>
        </w:rPr>
        <w:t>“</w:t>
      </w:r>
      <w:r w:rsidRPr="0046147E">
        <w:rPr>
          <w:b/>
          <w:lang w:val="fr-FR"/>
        </w:rPr>
        <w:t>Connecteur d</w:t>
      </w:r>
      <w:r>
        <w:rPr>
          <w:b/>
          <w:lang w:val="fr-FR"/>
        </w:rPr>
        <w:t>’</w:t>
      </w:r>
      <w:r w:rsidRPr="0046147E">
        <w:rPr>
          <w:b/>
          <w:lang w:val="fr-FR"/>
        </w:rPr>
        <w:t>ancrage inférieur</w:t>
      </w:r>
      <w:r w:rsidR="004D3395" w:rsidRPr="002032A0">
        <w:rPr>
          <w:b/>
        </w:rPr>
        <w:t>”</w:t>
      </w:r>
      <w:r w:rsidRPr="0046147E">
        <w:rPr>
          <w:b/>
          <w:lang w:val="fr-FR"/>
        </w:rPr>
        <w:t xml:space="preserve">, un dispositif conçu pour être attaché à un ancrage </w:t>
      </w:r>
      <w:r>
        <w:rPr>
          <w:b/>
          <w:lang w:val="fr-FR"/>
        </w:rPr>
        <w:t xml:space="preserve">pour fixation </w:t>
      </w:r>
      <w:r w:rsidRPr="0046147E">
        <w:rPr>
          <w:b/>
          <w:lang w:val="fr-FR"/>
        </w:rPr>
        <w:t>inférieur</w:t>
      </w:r>
      <w:r>
        <w:rPr>
          <w:b/>
          <w:lang w:val="fr-FR"/>
        </w:rPr>
        <w:t>e</w:t>
      </w:r>
      <w:r w:rsidRPr="0046147E">
        <w:rPr>
          <w:b/>
          <w:lang w:val="fr-FR"/>
        </w:rPr>
        <w:t>.</w:t>
      </w:r>
      <w:r w:rsidR="004D3395">
        <w:rPr>
          <w:b/>
          <w:lang w:val="fr-FR"/>
        </w:rPr>
        <w:t> </w:t>
      </w:r>
      <w:r w:rsidRPr="004D3395">
        <w:rPr>
          <w:lang w:val="fr-FR"/>
        </w:rPr>
        <w:t>»</w:t>
      </w:r>
      <w:r w:rsidR="004D3395" w:rsidRPr="004D3395">
        <w:rPr>
          <w:lang w:val="fr-FR"/>
        </w:rPr>
        <w:t>.</w:t>
      </w:r>
    </w:p>
    <w:p w:rsidR="009A37AA" w:rsidRPr="00131D98" w:rsidRDefault="009A37AA" w:rsidP="002032A0">
      <w:pPr>
        <w:pStyle w:val="SingleTxtG"/>
        <w:rPr>
          <w:rFonts w:eastAsia="MS Mincho"/>
          <w:i/>
          <w:sz w:val="22"/>
          <w:szCs w:val="22"/>
        </w:rPr>
      </w:pPr>
      <w:r w:rsidRPr="0046147E">
        <w:rPr>
          <w:i/>
          <w:lang w:val="fr-FR"/>
        </w:rPr>
        <w:t>Ajouter un nouveau paragraphe 2.62.3</w:t>
      </w:r>
      <w:r w:rsidR="004D3395">
        <w:rPr>
          <w:lang w:val="fr-FR"/>
        </w:rPr>
        <w:t>, libellé comme suit </w:t>
      </w:r>
      <w:r>
        <w:rPr>
          <w:lang w:val="fr-FR"/>
        </w:rPr>
        <w:t>:</w:t>
      </w:r>
    </w:p>
    <w:p w:rsidR="009A37AA" w:rsidRDefault="004D3395" w:rsidP="00521496">
      <w:pPr>
        <w:pStyle w:val="SingleTxtG"/>
        <w:tabs>
          <w:tab w:val="left" w:pos="2268"/>
        </w:tabs>
        <w:ind w:left="2268" w:hanging="1134"/>
        <w:rPr>
          <w:b/>
          <w:lang w:val="fr-FR"/>
        </w:rPr>
      </w:pPr>
      <w:r>
        <w:rPr>
          <w:lang w:val="fr-FR"/>
        </w:rPr>
        <w:t>« </w:t>
      </w:r>
      <w:r>
        <w:rPr>
          <w:b/>
          <w:lang w:val="fr-FR"/>
        </w:rPr>
        <w:t>2.62.3</w:t>
      </w:r>
      <w:r w:rsidR="009A37AA" w:rsidRPr="0046147E">
        <w:rPr>
          <w:b/>
          <w:lang w:val="fr-FR"/>
        </w:rPr>
        <w:tab/>
      </w:r>
      <w:r w:rsidRPr="002032A0">
        <w:rPr>
          <w:b/>
        </w:rPr>
        <w:t>“</w:t>
      </w:r>
      <w:r w:rsidR="009A37AA" w:rsidRPr="0046147E">
        <w:rPr>
          <w:b/>
          <w:lang w:val="fr-FR"/>
        </w:rPr>
        <w:t xml:space="preserve">Crochet pour fixation </w:t>
      </w:r>
      <w:r>
        <w:rPr>
          <w:b/>
          <w:lang w:val="fr-FR"/>
        </w:rPr>
        <w:t>inférieure</w:t>
      </w:r>
      <w:r w:rsidR="00155D43" w:rsidRPr="00155D43">
        <w:rPr>
          <w:b/>
        </w:rPr>
        <w:t>”</w:t>
      </w:r>
      <w:r w:rsidR="009A37AA" w:rsidRPr="0046147E">
        <w:rPr>
          <w:b/>
          <w:lang w:val="fr-FR"/>
        </w:rPr>
        <w:t>, un connecteur d</w:t>
      </w:r>
      <w:r w:rsidR="009A37AA">
        <w:rPr>
          <w:b/>
          <w:lang w:val="fr-FR"/>
        </w:rPr>
        <w:t>’</w:t>
      </w:r>
      <w:r w:rsidR="009A37AA" w:rsidRPr="0046147E">
        <w:rPr>
          <w:b/>
          <w:lang w:val="fr-FR"/>
        </w:rPr>
        <w:t>ancrage inférieur généralement utilisé pour attacher une sangle de fixation inférieure à un ancrage pour fixation inférieure ISOFIX tel que défini à la figure 3 de la norme ISO 13216.</w:t>
      </w:r>
      <w:r>
        <w:rPr>
          <w:b/>
          <w:lang w:val="fr-FR"/>
        </w:rPr>
        <w:t> </w:t>
      </w:r>
      <w:r w:rsidR="009A37AA" w:rsidRPr="004D3395">
        <w:rPr>
          <w:lang w:val="fr-FR"/>
        </w:rPr>
        <w:t>»</w:t>
      </w:r>
      <w:r w:rsidRPr="004D3395">
        <w:rPr>
          <w:lang w:val="fr-FR"/>
        </w:rPr>
        <w:t>.</w:t>
      </w:r>
    </w:p>
    <w:p w:rsidR="009A37AA" w:rsidRPr="00131D98" w:rsidRDefault="009A37AA" w:rsidP="002032A0">
      <w:pPr>
        <w:pStyle w:val="SingleTxtG"/>
        <w:rPr>
          <w:rFonts w:eastAsia="MS Mincho"/>
          <w:sz w:val="22"/>
          <w:szCs w:val="22"/>
        </w:rPr>
      </w:pPr>
      <w:r w:rsidRPr="00D515EF">
        <w:rPr>
          <w:i/>
          <w:lang w:val="fr-FR"/>
        </w:rPr>
        <w:t>Ajouter un nouveau paragraphe 2.62.4</w:t>
      </w:r>
      <w:r>
        <w:rPr>
          <w:lang w:val="fr-FR"/>
        </w:rPr>
        <w:t>, libellé comme suit</w:t>
      </w:r>
      <w:r w:rsidR="004D3395">
        <w:rPr>
          <w:lang w:val="fr-FR"/>
        </w:rPr>
        <w:t> </w:t>
      </w:r>
      <w:r>
        <w:rPr>
          <w:lang w:val="fr-FR"/>
        </w:rPr>
        <w:t>:</w:t>
      </w:r>
    </w:p>
    <w:p w:rsidR="009A37AA" w:rsidRPr="00D515EF" w:rsidRDefault="009A37AA" w:rsidP="00521496">
      <w:pPr>
        <w:pStyle w:val="SingleTxtG"/>
        <w:tabs>
          <w:tab w:val="left" w:pos="2268"/>
        </w:tabs>
        <w:ind w:left="2268" w:hanging="1134"/>
        <w:rPr>
          <w:b/>
        </w:rPr>
      </w:pPr>
      <w:r w:rsidRPr="004D3395">
        <w:rPr>
          <w:lang w:val="fr-FR"/>
        </w:rPr>
        <w:t>«</w:t>
      </w:r>
      <w:r w:rsidR="004D3395">
        <w:rPr>
          <w:b/>
          <w:lang w:val="fr-FR"/>
        </w:rPr>
        <w:t> 2.62.4</w:t>
      </w:r>
      <w:r w:rsidRPr="00D515EF">
        <w:rPr>
          <w:b/>
          <w:lang w:val="fr-FR"/>
        </w:rPr>
        <w:tab/>
      </w:r>
      <w:r w:rsidR="004D3395" w:rsidRPr="002032A0">
        <w:rPr>
          <w:b/>
        </w:rPr>
        <w:t>“</w:t>
      </w:r>
      <w:r w:rsidRPr="00D515EF">
        <w:rPr>
          <w:b/>
          <w:lang w:val="fr-FR"/>
        </w:rPr>
        <w:t>Attache de fixation inférieure</w:t>
      </w:r>
      <w:r w:rsidR="004D3395" w:rsidRPr="002032A0">
        <w:rPr>
          <w:b/>
        </w:rPr>
        <w:t>”</w:t>
      </w:r>
      <w:r w:rsidRPr="00D515EF">
        <w:rPr>
          <w:b/>
          <w:lang w:val="fr-FR"/>
        </w:rPr>
        <w:t>, un dispositif servant à assujettir la sangle de fixation inférieure aux dispositifs amé</w:t>
      </w:r>
      <w:r w:rsidR="004D3395">
        <w:rPr>
          <w:b/>
          <w:lang w:val="fr-FR"/>
        </w:rPr>
        <w:t>liorés de retenue pour enfants. </w:t>
      </w:r>
      <w:r w:rsidRPr="004D3395">
        <w:rPr>
          <w:lang w:val="fr-FR"/>
        </w:rPr>
        <w:t>»</w:t>
      </w:r>
      <w:r w:rsidR="004D3395" w:rsidRPr="004D3395">
        <w:rPr>
          <w:lang w:val="fr-FR"/>
        </w:rPr>
        <w:t>.</w:t>
      </w:r>
    </w:p>
    <w:p w:rsidR="009A37AA" w:rsidRPr="00131D98" w:rsidRDefault="009A37AA" w:rsidP="006134FA">
      <w:pPr>
        <w:pStyle w:val="SingleTxtG"/>
        <w:keepNext/>
        <w:rPr>
          <w:sz w:val="22"/>
          <w:szCs w:val="22"/>
        </w:rPr>
      </w:pPr>
      <w:r w:rsidRPr="00BE4921">
        <w:rPr>
          <w:i/>
          <w:lang w:val="fr-FR"/>
        </w:rPr>
        <w:lastRenderedPageBreak/>
        <w:t>Ajouter un nouveau paragraphe 6.3.5</w:t>
      </w:r>
      <w:r>
        <w:rPr>
          <w:lang w:val="fr-FR"/>
        </w:rPr>
        <w:t>, libellé comme suit</w:t>
      </w:r>
      <w:r w:rsidR="00AD3E76">
        <w:rPr>
          <w:lang w:val="fr-FR"/>
        </w:rPr>
        <w:t> </w:t>
      </w:r>
      <w:r>
        <w:rPr>
          <w:lang w:val="fr-FR"/>
        </w:rPr>
        <w:t xml:space="preserve">: </w:t>
      </w:r>
    </w:p>
    <w:p w:rsidR="009A37AA" w:rsidRPr="00BE4921" w:rsidRDefault="006134FA" w:rsidP="006134FA">
      <w:pPr>
        <w:pStyle w:val="SingleTxtG"/>
        <w:keepNext/>
        <w:tabs>
          <w:tab w:val="left" w:pos="2268"/>
        </w:tabs>
        <w:ind w:left="2268" w:hanging="1134"/>
        <w:rPr>
          <w:rFonts w:ascii="Calibri" w:hAnsi="Calibri"/>
          <w:b/>
        </w:rPr>
      </w:pPr>
      <w:r>
        <w:rPr>
          <w:lang w:val="fr-FR"/>
        </w:rPr>
        <w:t>« </w:t>
      </w:r>
      <w:r>
        <w:rPr>
          <w:b/>
          <w:lang w:val="fr-FR"/>
        </w:rPr>
        <w:t>6.3.5</w:t>
      </w:r>
      <w:r w:rsidR="009A37AA" w:rsidRPr="00BE4921">
        <w:rPr>
          <w:b/>
          <w:lang w:val="fr-FR"/>
        </w:rPr>
        <w:tab/>
        <w:t>Caractéristiques des fixations inférieures</w:t>
      </w:r>
    </w:p>
    <w:p w:rsidR="009A37AA" w:rsidRPr="00BE4921" w:rsidRDefault="006134FA" w:rsidP="006134FA">
      <w:pPr>
        <w:pStyle w:val="SingleTxtG"/>
        <w:keepNext/>
        <w:tabs>
          <w:tab w:val="left" w:pos="2268"/>
        </w:tabs>
        <w:ind w:left="2268" w:hanging="1134"/>
        <w:rPr>
          <w:b/>
        </w:rPr>
      </w:pPr>
      <w:r>
        <w:rPr>
          <w:b/>
          <w:lang w:val="fr-FR"/>
        </w:rPr>
        <w:t>6.3.5.1</w:t>
      </w:r>
      <w:r w:rsidR="009A37AA" w:rsidRPr="00BE4921">
        <w:rPr>
          <w:b/>
          <w:lang w:val="fr-FR"/>
        </w:rPr>
        <w:tab/>
        <w:t>Connecteur d</w:t>
      </w:r>
      <w:r w:rsidR="009A37AA">
        <w:rPr>
          <w:b/>
          <w:lang w:val="fr-FR"/>
        </w:rPr>
        <w:t>’</w:t>
      </w:r>
      <w:r w:rsidR="009A37AA" w:rsidRPr="00BE4921">
        <w:rPr>
          <w:b/>
          <w:lang w:val="fr-FR"/>
        </w:rPr>
        <w:t>ancrage inférieur</w:t>
      </w:r>
    </w:p>
    <w:p w:rsidR="009A37AA" w:rsidRPr="00BE4921" w:rsidRDefault="009A37AA" w:rsidP="006134FA">
      <w:pPr>
        <w:pStyle w:val="SingleTxtG"/>
        <w:ind w:left="2268"/>
        <w:rPr>
          <w:b/>
        </w:rPr>
      </w:pPr>
      <w:r w:rsidRPr="00BE4921">
        <w:rPr>
          <w:b/>
          <w:lang w:val="fr-FR"/>
        </w:rPr>
        <w:tab/>
        <w:t>Le connecteur d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ancrage inférieur doit être le crochet de fixation inférieure ISOFIX représenté à la figure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0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c), ou un système similaire entrant dans l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enveloppe représentée à la figure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0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c).</w:t>
      </w:r>
    </w:p>
    <w:p w:rsidR="009A37AA" w:rsidRPr="00BE4921" w:rsidRDefault="006134FA" w:rsidP="00AD3E76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b/>
          <w:lang w:val="fr-FR"/>
        </w:rPr>
        <w:t>6.3.5.2</w:t>
      </w:r>
      <w:r w:rsidR="009A37AA" w:rsidRPr="00BE4921">
        <w:rPr>
          <w:b/>
          <w:lang w:val="fr-FR"/>
        </w:rPr>
        <w:tab/>
        <w:t>Caractéristiques de la sangle de fixation inférieure</w:t>
      </w:r>
    </w:p>
    <w:p w:rsidR="009A37AA" w:rsidRPr="00BE4921" w:rsidRDefault="009A37AA" w:rsidP="006134FA">
      <w:pPr>
        <w:pStyle w:val="SingleTxtG"/>
        <w:ind w:left="2268"/>
        <w:rPr>
          <w:b/>
        </w:rPr>
      </w:pPr>
      <w:r w:rsidRPr="00BE4921">
        <w:rPr>
          <w:b/>
          <w:lang w:val="fr-FR"/>
        </w:rPr>
        <w:tab/>
        <w:t>La</w:t>
      </w:r>
      <w:r>
        <w:rPr>
          <w:b/>
          <w:lang w:val="fr-FR"/>
        </w:rPr>
        <w:t xml:space="preserve"> sangle de</w:t>
      </w:r>
      <w:r w:rsidRPr="00BE4921">
        <w:rPr>
          <w:b/>
          <w:lang w:val="fr-FR"/>
        </w:rPr>
        <w:t xml:space="preserve"> fixation inférieure doit être une sangle (ou l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équivalent), équipée d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un dispositif de réglage et de relâchement de la tension.</w:t>
      </w:r>
    </w:p>
    <w:p w:rsidR="009A37AA" w:rsidRPr="00BE4921" w:rsidRDefault="006134FA" w:rsidP="00AD3E76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b/>
          <w:lang w:val="fr-FR"/>
        </w:rPr>
        <w:t>6.3.5.2.1</w:t>
      </w:r>
      <w:r w:rsidR="009A37AA" w:rsidRPr="00BE4921">
        <w:rPr>
          <w:b/>
          <w:lang w:val="fr-FR"/>
        </w:rPr>
        <w:tab/>
        <w:t>Longueur de la sangle de fixation inférieure</w:t>
      </w:r>
    </w:p>
    <w:p w:rsidR="009A37AA" w:rsidRPr="00BE4921" w:rsidRDefault="009A37AA" w:rsidP="006134FA">
      <w:pPr>
        <w:pStyle w:val="SingleTxtG"/>
        <w:ind w:left="2268"/>
        <w:rPr>
          <w:b/>
        </w:rPr>
      </w:pPr>
      <w:r w:rsidRPr="00BE4921">
        <w:rPr>
          <w:b/>
          <w:lang w:val="fr-FR"/>
        </w:rPr>
        <w:tab/>
        <w:t>La longueur de</w:t>
      </w:r>
      <w:r>
        <w:rPr>
          <w:b/>
          <w:lang w:val="fr-FR"/>
        </w:rPr>
        <w:t xml:space="preserve"> chaque</w:t>
      </w:r>
      <w:r w:rsidRPr="00BE4921">
        <w:rPr>
          <w:b/>
          <w:lang w:val="fr-FR"/>
        </w:rPr>
        <w:t xml:space="preserve"> sangle de fixation inférieure doit être d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au moins 1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500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mm.</w:t>
      </w:r>
    </w:p>
    <w:p w:rsidR="009A37AA" w:rsidRPr="00BE4921" w:rsidRDefault="006134FA" w:rsidP="00AD3E76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b/>
          <w:lang w:val="fr-FR"/>
        </w:rPr>
        <w:t>6.3.5.2.2</w:t>
      </w:r>
      <w:r w:rsidR="009A37AA" w:rsidRPr="00BE4921">
        <w:rPr>
          <w:b/>
          <w:lang w:val="fr-FR"/>
        </w:rPr>
        <w:tab/>
        <w:t>Indicateur de tension</w:t>
      </w:r>
    </w:p>
    <w:p w:rsidR="009A37AA" w:rsidRPr="00BE4921" w:rsidRDefault="009A37AA" w:rsidP="006134FA">
      <w:pPr>
        <w:pStyle w:val="SingleTxtG"/>
        <w:ind w:left="2268"/>
        <w:rPr>
          <w:b/>
        </w:rPr>
      </w:pPr>
      <w:r w:rsidRPr="00BE4921">
        <w:rPr>
          <w:b/>
          <w:lang w:val="fr-FR"/>
        </w:rPr>
        <w:tab/>
        <w:t xml:space="preserve">La sangle de fixation inférieure ou le </w:t>
      </w:r>
      <w:r>
        <w:rPr>
          <w:b/>
          <w:lang w:val="fr-FR"/>
        </w:rPr>
        <w:t>dispositif</w:t>
      </w:r>
      <w:r w:rsidRPr="00BE4921">
        <w:rPr>
          <w:b/>
          <w:lang w:val="fr-FR"/>
        </w:rPr>
        <w:t xml:space="preserve"> amélioré de retenue pour enfants doit être équipé d</w:t>
      </w:r>
      <w:r>
        <w:rPr>
          <w:b/>
          <w:lang w:val="fr-FR"/>
        </w:rPr>
        <w:t>’</w:t>
      </w:r>
      <w:r w:rsidRPr="00BE4921">
        <w:rPr>
          <w:b/>
          <w:lang w:val="fr-FR"/>
        </w:rPr>
        <w:t>un dispositif indiquant que la sangle est tendue</w:t>
      </w:r>
      <w:r>
        <w:rPr>
          <w:b/>
          <w:lang w:val="fr-FR"/>
        </w:rPr>
        <w:t>, qui p</w:t>
      </w:r>
      <w:r w:rsidRPr="00BE4921">
        <w:rPr>
          <w:b/>
          <w:lang w:val="fr-FR"/>
        </w:rPr>
        <w:t>eut faire partie du dispositif de réglage et de relâchement de la tension.</w:t>
      </w:r>
    </w:p>
    <w:p w:rsidR="009A37AA" w:rsidRPr="00BE4921" w:rsidRDefault="006134FA" w:rsidP="00AD3E76">
      <w:pPr>
        <w:pStyle w:val="SingleTxtG"/>
        <w:tabs>
          <w:tab w:val="left" w:pos="2268"/>
        </w:tabs>
        <w:ind w:left="2268" w:hanging="1134"/>
        <w:rPr>
          <w:b/>
        </w:rPr>
      </w:pPr>
      <w:r>
        <w:rPr>
          <w:b/>
          <w:lang w:val="fr-FR"/>
        </w:rPr>
        <w:t>6.3.5.2.3</w:t>
      </w:r>
      <w:r w:rsidR="009A37AA" w:rsidRPr="00BE4921">
        <w:rPr>
          <w:b/>
          <w:lang w:val="fr-FR"/>
        </w:rPr>
        <w:tab/>
        <w:t>Dimensions</w:t>
      </w:r>
    </w:p>
    <w:p w:rsidR="009A37AA" w:rsidRPr="00BE4921" w:rsidRDefault="009A37AA" w:rsidP="006134FA">
      <w:pPr>
        <w:pStyle w:val="SingleTxtG"/>
        <w:ind w:left="2268"/>
        <w:rPr>
          <w:b/>
        </w:rPr>
      </w:pPr>
      <w:r w:rsidRPr="00BE4921">
        <w:rPr>
          <w:b/>
          <w:lang w:val="fr-FR"/>
        </w:rPr>
        <w:tab/>
        <w:t>Les cotes utiles des crochets de fixation inférieure sont représentées à la figure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0</w:t>
      </w:r>
      <w:r w:rsidR="006134FA">
        <w:rPr>
          <w:b/>
          <w:lang w:val="fr-FR"/>
        </w:rPr>
        <w:t> </w:t>
      </w:r>
      <w:r w:rsidRPr="00BE4921">
        <w:rPr>
          <w:b/>
          <w:lang w:val="fr-FR"/>
        </w:rPr>
        <w:t>c).</w:t>
      </w:r>
      <w:r w:rsidR="006134FA">
        <w:rPr>
          <w:b/>
          <w:lang w:val="fr-FR"/>
        </w:rPr>
        <w:t> </w:t>
      </w:r>
      <w:r w:rsidRPr="006134FA">
        <w:rPr>
          <w:lang w:val="fr-FR"/>
        </w:rPr>
        <w:t>»</w:t>
      </w:r>
      <w:r w:rsidR="006134FA" w:rsidRPr="006134FA">
        <w:rPr>
          <w:lang w:val="fr-FR"/>
        </w:rPr>
        <w:t>.</w:t>
      </w:r>
    </w:p>
    <w:p w:rsidR="009A37AA" w:rsidRPr="00131D98" w:rsidRDefault="009A37AA" w:rsidP="006134FA">
      <w:pPr>
        <w:pStyle w:val="SingleTxtG"/>
        <w:rPr>
          <w:i/>
          <w:sz w:val="22"/>
          <w:szCs w:val="22"/>
        </w:rPr>
      </w:pPr>
      <w:r>
        <w:rPr>
          <w:i/>
          <w:iCs/>
          <w:lang w:val="fr-FR"/>
        </w:rPr>
        <w:t xml:space="preserve">Le paragraphe 6.3.5 </w:t>
      </w:r>
      <w:r>
        <w:rPr>
          <w:lang w:val="fr-FR"/>
        </w:rPr>
        <w:t>devient le paragraphe 6.3.6.</w:t>
      </w:r>
    </w:p>
    <w:p w:rsidR="009A37AA" w:rsidRPr="00131D98" w:rsidRDefault="009A37AA" w:rsidP="006134FA">
      <w:pPr>
        <w:pStyle w:val="SingleTxtG"/>
        <w:keepNext/>
        <w:rPr>
          <w:i/>
        </w:rPr>
      </w:pPr>
      <w:r w:rsidRPr="00BE4921">
        <w:rPr>
          <w:i/>
          <w:lang w:val="fr-FR"/>
        </w:rPr>
        <w:t>Paragraphe 7.1.3.5.2.1</w:t>
      </w:r>
      <w:r>
        <w:rPr>
          <w:lang w:val="fr-FR"/>
        </w:rPr>
        <w:t>, modifier comme suit</w:t>
      </w:r>
      <w:r w:rsidR="006134FA">
        <w:rPr>
          <w:lang w:val="fr-FR"/>
        </w:rPr>
        <w:t> </w:t>
      </w:r>
      <w:r>
        <w:rPr>
          <w:lang w:val="fr-FR"/>
        </w:rPr>
        <w:t>:</w:t>
      </w:r>
    </w:p>
    <w:p w:rsidR="009A37AA" w:rsidRPr="00131D98" w:rsidRDefault="009A37AA" w:rsidP="006134FA">
      <w:pPr>
        <w:pStyle w:val="SingleTxtG"/>
        <w:tabs>
          <w:tab w:val="left" w:pos="2268"/>
        </w:tabs>
        <w:ind w:left="2268" w:hanging="1134"/>
        <w:rPr>
          <w:szCs w:val="24"/>
        </w:rPr>
      </w:pPr>
      <w:r>
        <w:rPr>
          <w:lang w:val="fr-FR"/>
        </w:rPr>
        <w:t>«</w:t>
      </w:r>
      <w:r w:rsidR="006134FA">
        <w:rPr>
          <w:lang w:val="fr-FR"/>
        </w:rPr>
        <w:t> </w:t>
      </w:r>
      <w:r>
        <w:rPr>
          <w:lang w:val="fr-FR"/>
        </w:rPr>
        <w:t>7.1.3.5.2.1</w:t>
      </w:r>
      <w:r>
        <w:rPr>
          <w:lang w:val="fr-FR"/>
        </w:rPr>
        <w:tab/>
        <w:t xml:space="preserve">Installation d’un dispositif amélioré de retenue pour enfants ISOFIX universel intégral (i-Size) ou d’un dispositif amélioré de retenue pour enfants ISOFIX spécifique à un véhicule et intégral sur la banquette d’essai. </w:t>
      </w:r>
    </w:p>
    <w:p w:rsidR="009A37AA" w:rsidRPr="004477D8" w:rsidRDefault="006134FA" w:rsidP="006134FA">
      <w:pPr>
        <w:pStyle w:val="SingleTxtG"/>
        <w:ind w:left="2268"/>
        <w:rPr>
          <w:rFonts w:eastAsia="MS Mincho"/>
        </w:rPr>
      </w:pPr>
      <w:r>
        <w:rPr>
          <w:lang w:val="fr-FR"/>
        </w:rPr>
        <w:t>…</w:t>
      </w:r>
    </w:p>
    <w:p w:rsidR="009A37AA" w:rsidRPr="004477D8" w:rsidRDefault="009A37AA" w:rsidP="006134FA">
      <w:pPr>
        <w:pStyle w:val="SingleTxtG"/>
        <w:ind w:left="2268"/>
      </w:pPr>
      <w:r>
        <w:rPr>
          <w:lang w:val="fr-FR"/>
        </w:rPr>
        <w:t>Si le dispositif amélioré de retenue pour enfants en est équipé, la sangle supérieure doit être réglée de façon à obtenir une tension de 50</w:t>
      </w:r>
      <w:r w:rsidR="006134FA">
        <w:rPr>
          <w:lang w:val="fr-FR"/>
        </w:rPr>
        <w:t> </w:t>
      </w:r>
      <w:r>
        <w:rPr>
          <w:lang w:val="fr-FR"/>
        </w:rPr>
        <w:t>±5</w:t>
      </w:r>
      <w:r w:rsidR="006134FA">
        <w:rPr>
          <w:lang w:val="fr-FR"/>
        </w:rPr>
        <w:t> </w:t>
      </w:r>
      <w:r>
        <w:rPr>
          <w:lang w:val="fr-FR"/>
        </w:rPr>
        <w:t xml:space="preserve">N. Dans le cas contraire, la jambe de force, si le dispositif en est équipé, doit être réglée </w:t>
      </w:r>
      <w:r w:rsidRPr="004477D8">
        <w:rPr>
          <w:lang w:val="fr-FR"/>
        </w:rPr>
        <w:t>conformément aux instructions du fabricant du système de retenue.</w:t>
      </w:r>
    </w:p>
    <w:p w:rsidR="009A37AA" w:rsidRPr="004477D8" w:rsidRDefault="009A37AA" w:rsidP="006134FA">
      <w:pPr>
        <w:pStyle w:val="SingleTxtG"/>
        <w:ind w:left="2268"/>
        <w:rPr>
          <w:b/>
        </w:rPr>
      </w:pPr>
      <w:r w:rsidRPr="004477D8">
        <w:rPr>
          <w:b/>
          <w:lang w:val="fr-FR"/>
        </w:rPr>
        <w:t>Si le dispositif amélioré de retenue pour enfants en est équipé, la sangle inférieure doit être réglée de façon à obtenir une tension minimale de 50</w:t>
      </w:r>
      <w:r w:rsidR="006134FA" w:rsidRPr="004477D8">
        <w:rPr>
          <w:b/>
          <w:lang w:val="fr-FR"/>
        </w:rPr>
        <w:t> </w:t>
      </w:r>
      <w:r w:rsidRPr="004477D8">
        <w:rPr>
          <w:b/>
          <w:lang w:val="fr-FR"/>
        </w:rPr>
        <w:t>±5</w:t>
      </w:r>
      <w:r w:rsidR="006134FA" w:rsidRPr="004477D8">
        <w:rPr>
          <w:b/>
          <w:lang w:val="fr-FR"/>
        </w:rPr>
        <w:t> </w:t>
      </w:r>
      <w:r w:rsidRPr="004477D8">
        <w:rPr>
          <w:b/>
          <w:lang w:val="fr-FR"/>
        </w:rPr>
        <w:t>N.</w:t>
      </w:r>
    </w:p>
    <w:p w:rsidR="009A37AA" w:rsidRPr="004477D8" w:rsidRDefault="009A37AA" w:rsidP="006134FA">
      <w:pPr>
        <w:pStyle w:val="SingleTxtG"/>
        <w:ind w:left="2268"/>
        <w:rPr>
          <w:rFonts w:eastAsia="MS Mincho"/>
        </w:rPr>
      </w:pPr>
      <w:r w:rsidRPr="004477D8">
        <w:rPr>
          <w:lang w:val="fr-FR"/>
        </w:rPr>
        <w:t>…</w:t>
      </w:r>
      <w:r w:rsidR="006134FA" w:rsidRPr="004477D8">
        <w:rPr>
          <w:lang w:val="fr-FR"/>
        </w:rPr>
        <w:t> ».</w:t>
      </w:r>
    </w:p>
    <w:p w:rsidR="009A37AA" w:rsidRPr="00131D98" w:rsidRDefault="006134FA" w:rsidP="006134FA">
      <w:pPr>
        <w:pStyle w:val="HChG"/>
      </w:pPr>
      <w:r>
        <w:rPr>
          <w:lang w:val="fr-FR"/>
        </w:rPr>
        <w:tab/>
      </w:r>
      <w:r w:rsidR="009A37AA">
        <w:rPr>
          <w:lang w:val="fr-FR"/>
        </w:rPr>
        <w:t>II.</w:t>
      </w:r>
      <w:r w:rsidR="009A37AA">
        <w:rPr>
          <w:lang w:val="fr-FR"/>
        </w:rPr>
        <w:tab/>
        <w:t>Justification</w:t>
      </w:r>
    </w:p>
    <w:p w:rsidR="009A37AA" w:rsidRPr="00131D98" w:rsidRDefault="009A37AA" w:rsidP="00D81F55">
      <w:pPr>
        <w:pStyle w:val="SingleTxtG"/>
        <w:ind w:firstLine="567"/>
      </w:pPr>
      <w:r>
        <w:rPr>
          <w:lang w:val="fr-FR"/>
        </w:rPr>
        <w:t>Proposition d’intégrer dans le Règlement</w:t>
      </w:r>
      <w:r w:rsidR="006134FA">
        <w:rPr>
          <w:lang w:val="fr-FR"/>
        </w:rPr>
        <w:t> </w:t>
      </w:r>
      <w:r>
        <w:rPr>
          <w:lang w:val="fr-FR"/>
        </w:rPr>
        <w:t>:</w:t>
      </w:r>
    </w:p>
    <w:p w:rsidR="009A37AA" w:rsidRPr="00131D98" w:rsidRDefault="009A37AA" w:rsidP="00D81F55">
      <w:pPr>
        <w:pStyle w:val="SingleTxtG"/>
        <w:ind w:firstLine="567"/>
      </w:pPr>
      <w:r>
        <w:rPr>
          <w:lang w:val="fr-FR"/>
        </w:rPr>
        <w:t>a)</w:t>
      </w:r>
      <w:r>
        <w:rPr>
          <w:lang w:val="fr-FR"/>
        </w:rPr>
        <w:tab/>
        <w:t>La définition de la sangle de fixation inférieure et des prescriptions y</w:t>
      </w:r>
      <w:r w:rsidR="00B948A3">
        <w:rPr>
          <w:lang w:val="fr-FR"/>
        </w:rPr>
        <w:t> </w:t>
      </w:r>
      <w:r>
        <w:rPr>
          <w:lang w:val="fr-FR"/>
        </w:rPr>
        <w:t>relatives ; et</w:t>
      </w:r>
    </w:p>
    <w:p w:rsidR="009A37AA" w:rsidRDefault="009A37AA" w:rsidP="00D81F55">
      <w:pPr>
        <w:pStyle w:val="SingleTxtG"/>
        <w:ind w:firstLine="567"/>
        <w:rPr>
          <w:lang w:val="fr-FR"/>
        </w:rPr>
      </w:pPr>
      <w:r>
        <w:rPr>
          <w:lang w:val="fr-FR"/>
        </w:rPr>
        <w:t>b)</w:t>
      </w:r>
      <w:r>
        <w:rPr>
          <w:lang w:val="fr-FR"/>
        </w:rPr>
        <w:tab/>
        <w:t>La définition et les caractéristiques des ancrages pour fixation inférieure.</w:t>
      </w:r>
    </w:p>
    <w:p w:rsidR="006134FA" w:rsidRPr="006134FA" w:rsidRDefault="006134FA" w:rsidP="006134FA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34FA" w:rsidRPr="006134FA" w:rsidSect="006D3F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0C" w:rsidRDefault="0069260C" w:rsidP="00F95C08">
      <w:pPr>
        <w:spacing w:line="240" w:lineRule="auto"/>
      </w:pPr>
    </w:p>
  </w:endnote>
  <w:endnote w:type="continuationSeparator" w:id="0">
    <w:p w:rsidR="0069260C" w:rsidRPr="00AC3823" w:rsidRDefault="0069260C" w:rsidP="00AC3823">
      <w:pPr>
        <w:pStyle w:val="Footer"/>
      </w:pPr>
    </w:p>
  </w:endnote>
  <w:endnote w:type="continuationNotice" w:id="1">
    <w:p w:rsidR="0069260C" w:rsidRDefault="0069260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1F" w:rsidRPr="006D3F1F" w:rsidRDefault="006D3F1F" w:rsidP="006D3F1F">
    <w:pPr>
      <w:pStyle w:val="Footer"/>
      <w:tabs>
        <w:tab w:val="right" w:pos="9638"/>
      </w:tabs>
    </w:pPr>
    <w:r w:rsidRPr="006D3F1F">
      <w:rPr>
        <w:b/>
        <w:sz w:val="18"/>
      </w:rPr>
      <w:fldChar w:fldCharType="begin"/>
    </w:r>
    <w:r w:rsidRPr="006D3F1F">
      <w:rPr>
        <w:b/>
        <w:sz w:val="18"/>
      </w:rPr>
      <w:instrText xml:space="preserve"> PAGE  \* MERGEFORMAT </w:instrText>
    </w:r>
    <w:r w:rsidRPr="006D3F1F">
      <w:rPr>
        <w:b/>
        <w:sz w:val="18"/>
      </w:rPr>
      <w:fldChar w:fldCharType="separate"/>
    </w:r>
    <w:r w:rsidR="00BA1CA2">
      <w:rPr>
        <w:b/>
        <w:noProof/>
        <w:sz w:val="18"/>
      </w:rPr>
      <w:t>2</w:t>
    </w:r>
    <w:r w:rsidRPr="006D3F1F">
      <w:rPr>
        <w:b/>
        <w:sz w:val="18"/>
      </w:rPr>
      <w:fldChar w:fldCharType="end"/>
    </w:r>
    <w:r>
      <w:rPr>
        <w:b/>
        <w:sz w:val="18"/>
      </w:rPr>
      <w:tab/>
    </w:r>
    <w:r>
      <w:t>GE.18-03101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1F" w:rsidRPr="006D3F1F" w:rsidRDefault="006D3F1F" w:rsidP="006D3F1F">
    <w:pPr>
      <w:pStyle w:val="Footer"/>
      <w:tabs>
        <w:tab w:val="right" w:pos="9638"/>
      </w:tabs>
      <w:rPr>
        <w:b/>
        <w:sz w:val="18"/>
      </w:rPr>
    </w:pPr>
    <w:r>
      <w:t>GE.18-03101</w:t>
    </w:r>
    <w:r>
      <w:tab/>
    </w:r>
    <w:r w:rsidRPr="006D3F1F">
      <w:rPr>
        <w:b/>
        <w:sz w:val="18"/>
      </w:rPr>
      <w:fldChar w:fldCharType="begin"/>
    </w:r>
    <w:r w:rsidRPr="006D3F1F">
      <w:rPr>
        <w:b/>
        <w:sz w:val="18"/>
      </w:rPr>
      <w:instrText xml:space="preserve"> PAGE  \* MERGEFORMAT </w:instrText>
    </w:r>
    <w:r w:rsidRPr="006D3F1F">
      <w:rPr>
        <w:b/>
        <w:sz w:val="18"/>
      </w:rPr>
      <w:fldChar w:fldCharType="separate"/>
    </w:r>
    <w:r w:rsidR="00BA1CA2">
      <w:rPr>
        <w:b/>
        <w:noProof/>
        <w:sz w:val="18"/>
      </w:rPr>
      <w:t>3</w:t>
    </w:r>
    <w:r w:rsidRPr="006D3F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6D3F1F" w:rsidRDefault="006D3F1F" w:rsidP="006D3F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18-03101  (F)    090318    200318</w:t>
    </w:r>
    <w:r>
      <w:rPr>
        <w:sz w:val="20"/>
      </w:rPr>
      <w:br/>
    </w:r>
    <w:r w:rsidRPr="006D3F1F">
      <w:rPr>
        <w:rFonts w:ascii="C39T30Lfz" w:hAnsi="C39T30Lfz"/>
        <w:sz w:val="56"/>
      </w:rPr>
      <w:t></w:t>
    </w:r>
    <w:r w:rsidRPr="006D3F1F">
      <w:rPr>
        <w:rFonts w:ascii="C39T30Lfz" w:hAnsi="C39T30Lfz"/>
        <w:sz w:val="56"/>
      </w:rPr>
      <w:t></w:t>
    </w:r>
    <w:r w:rsidRPr="006D3F1F">
      <w:rPr>
        <w:rFonts w:ascii="C39T30Lfz" w:hAnsi="C39T30Lfz"/>
        <w:sz w:val="56"/>
      </w:rPr>
      <w:t></w:t>
    </w:r>
    <w:r w:rsidRPr="006D3F1F">
      <w:rPr>
        <w:rFonts w:ascii="C39T30Lfz" w:hAnsi="C39T30Lfz"/>
        <w:sz w:val="56"/>
      </w:rPr>
      <w:t></w:t>
    </w:r>
    <w:r w:rsidRPr="006D3F1F">
      <w:rPr>
        <w:rFonts w:ascii="C39T30Lfz" w:hAnsi="C39T30Lfz"/>
        <w:sz w:val="56"/>
      </w:rPr>
      <w:t></w:t>
    </w:r>
    <w:r w:rsidRPr="006D3F1F">
      <w:rPr>
        <w:rFonts w:ascii="C39T30Lfz" w:hAnsi="C39T30Lfz"/>
        <w:sz w:val="56"/>
      </w:rPr>
      <w:t></w:t>
    </w:r>
    <w:r w:rsidRPr="006D3F1F">
      <w:rPr>
        <w:rFonts w:ascii="C39T30Lfz" w:hAnsi="C39T30Lfz"/>
        <w:sz w:val="56"/>
      </w:rPr>
      <w:t></w:t>
    </w:r>
    <w:r w:rsidRPr="006D3F1F">
      <w:rPr>
        <w:rFonts w:ascii="C39T30Lfz" w:hAnsi="C39T30Lfz"/>
        <w:sz w:val="56"/>
      </w:rPr>
      <w:t></w:t>
    </w:r>
    <w:r w:rsidRPr="006D3F1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SP/2018/8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SP/2018/8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0C" w:rsidRPr="00AC3823" w:rsidRDefault="006926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260C" w:rsidRPr="00AC3823" w:rsidRDefault="0069260C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260C" w:rsidRPr="00AC3823" w:rsidRDefault="0069260C">
      <w:pPr>
        <w:spacing w:line="240" w:lineRule="auto"/>
        <w:rPr>
          <w:sz w:val="2"/>
          <w:szCs w:val="2"/>
        </w:rPr>
      </w:pPr>
    </w:p>
  </w:footnote>
  <w:footnote w:id="2">
    <w:p w:rsidR="009B3E6B" w:rsidRPr="009B3E6B" w:rsidRDefault="009B3E6B">
      <w:pPr>
        <w:pStyle w:val="FootnoteText"/>
      </w:pPr>
      <w:r>
        <w:rPr>
          <w:rStyle w:val="FootnoteReference"/>
        </w:rPr>
        <w:tab/>
      </w:r>
      <w:r w:rsidRPr="009B3E6B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rPr>
          <w:lang w:val="fr-FR"/>
        </w:rPr>
        <w:t>Conformément au programme de travail du Comité des transports intérieurs pour la période 2014</w:t>
      </w:r>
      <w:r>
        <w:rPr>
          <w:lang w:val="fr-FR"/>
        </w:rPr>
        <w:noBreakHyphen/>
        <w:t>2018 (ECE/TRANS/240, par. 105, et ECE/TRANS/2014/26, activité 02.4), le Forum mondial a pour mission d’élaborer, d’harmoniser et de mettre à jour les Règlements en vue d’améliorer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1F" w:rsidRPr="006D3F1F" w:rsidRDefault="00BA1CA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94720">
      <w:t>ECE/TRANS/WP.29/GRSP/2018/8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F1F" w:rsidRPr="006D3F1F" w:rsidRDefault="00BA1CA2" w:rsidP="006D3F1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94720">
      <w:t>ECE/TRANS/WP.29/GRSP/2018/8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0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55D43"/>
    <w:rsid w:val="00176178"/>
    <w:rsid w:val="001F525A"/>
    <w:rsid w:val="002032A0"/>
    <w:rsid w:val="00223272"/>
    <w:rsid w:val="0024779E"/>
    <w:rsid w:val="00257168"/>
    <w:rsid w:val="002744B8"/>
    <w:rsid w:val="002832AC"/>
    <w:rsid w:val="002D7C93"/>
    <w:rsid w:val="00305801"/>
    <w:rsid w:val="003916DE"/>
    <w:rsid w:val="00441C3B"/>
    <w:rsid w:val="00446FE5"/>
    <w:rsid w:val="004477D8"/>
    <w:rsid w:val="00452396"/>
    <w:rsid w:val="004837D8"/>
    <w:rsid w:val="004D3395"/>
    <w:rsid w:val="004E468C"/>
    <w:rsid w:val="00521496"/>
    <w:rsid w:val="005505B7"/>
    <w:rsid w:val="00573BE5"/>
    <w:rsid w:val="00586ED3"/>
    <w:rsid w:val="00596AA9"/>
    <w:rsid w:val="006134FA"/>
    <w:rsid w:val="0069260C"/>
    <w:rsid w:val="006D3F1F"/>
    <w:rsid w:val="0071601D"/>
    <w:rsid w:val="007342D8"/>
    <w:rsid w:val="007A62E6"/>
    <w:rsid w:val="007F20FA"/>
    <w:rsid w:val="0080684C"/>
    <w:rsid w:val="00871C75"/>
    <w:rsid w:val="008776DC"/>
    <w:rsid w:val="009446C0"/>
    <w:rsid w:val="009705C8"/>
    <w:rsid w:val="009A37AA"/>
    <w:rsid w:val="009B3E6B"/>
    <w:rsid w:val="009C1CF4"/>
    <w:rsid w:val="009F6B74"/>
    <w:rsid w:val="00A30353"/>
    <w:rsid w:val="00AC3823"/>
    <w:rsid w:val="00AD3E76"/>
    <w:rsid w:val="00AE323C"/>
    <w:rsid w:val="00AF0CB5"/>
    <w:rsid w:val="00B00181"/>
    <w:rsid w:val="00B00B0D"/>
    <w:rsid w:val="00B14719"/>
    <w:rsid w:val="00B765F7"/>
    <w:rsid w:val="00B948A3"/>
    <w:rsid w:val="00BA0CA9"/>
    <w:rsid w:val="00BA1CA2"/>
    <w:rsid w:val="00C02897"/>
    <w:rsid w:val="00C97039"/>
    <w:rsid w:val="00D3439C"/>
    <w:rsid w:val="00D81F55"/>
    <w:rsid w:val="00D94720"/>
    <w:rsid w:val="00DB1831"/>
    <w:rsid w:val="00DD3BFD"/>
    <w:rsid w:val="00DF6678"/>
    <w:rsid w:val="00E0299A"/>
    <w:rsid w:val="00E85C74"/>
    <w:rsid w:val="00EA6547"/>
    <w:rsid w:val="00EF2E22"/>
    <w:rsid w:val="00F35BAF"/>
    <w:rsid w:val="00F64E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A8A89EA-3534-4F39-BDBF-000FC4081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ECE/TRANS/WP.29/GRSP/2018/8</vt:lpstr>
      <vt:lpstr>ECE/TRANS/WP.29/GRSP/2018/8</vt:lpstr>
    </vt:vector>
  </TitlesOfParts>
  <Company>DCM</Company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ECE/TRANS/WP.29/GRSP/2018/8</dc:title>
  <dc:subject/>
  <dc:creator>Christine  CHAUTAGNAT</dc:creator>
  <cp:keywords/>
  <cp:lastModifiedBy>Benedicte Boudol</cp:lastModifiedBy>
  <cp:revision>2</cp:revision>
  <cp:lastPrinted>2018-03-20T13:32:00Z</cp:lastPrinted>
  <dcterms:created xsi:type="dcterms:W3CDTF">2018-03-20T14:07:00Z</dcterms:created>
  <dcterms:modified xsi:type="dcterms:W3CDTF">2018-03-20T14:07:00Z</dcterms:modified>
</cp:coreProperties>
</file>