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4A0" w:firstRow="1" w:lastRow="0" w:firstColumn="1" w:lastColumn="0" w:noHBand="0" w:noVBand="1"/>
      </w:tblPr>
      <w:tblGrid>
        <w:gridCol w:w="5529"/>
        <w:gridCol w:w="4252"/>
      </w:tblGrid>
      <w:tr w:rsidR="003C499E" w14:paraId="03E61CAA" w14:textId="77777777">
        <w:tc>
          <w:tcPr>
            <w:tcW w:w="5529" w:type="dxa"/>
          </w:tcPr>
          <w:p w14:paraId="18CF2F6C" w14:textId="27315D9F" w:rsidR="003C499E" w:rsidRDefault="00FD6EA8" w:rsidP="005E0128">
            <w:pPr>
              <w:tabs>
                <w:tab w:val="center" w:pos="4677"/>
                <w:tab w:val="right" w:pos="9355"/>
              </w:tabs>
              <w:ind w:left="-108"/>
              <w:rPr>
                <w:sz w:val="24"/>
                <w:lang w:val="sv-SE"/>
              </w:rPr>
            </w:pPr>
            <w:r>
              <w:rPr>
                <w:sz w:val="24"/>
                <w:lang w:val="en-US" w:eastAsia="ar-SA"/>
              </w:rPr>
              <w:t xml:space="preserve">Submitted by </w:t>
            </w:r>
            <w:r w:rsidR="006611B1">
              <w:rPr>
                <w:sz w:val="24"/>
                <w:lang w:val="en-US" w:eastAsia="ar-SA"/>
              </w:rPr>
              <w:t xml:space="preserve">the expert from </w:t>
            </w:r>
            <w:r w:rsidR="006611B1">
              <w:rPr>
                <w:sz w:val="24"/>
              </w:rPr>
              <w:t>Israel</w:t>
            </w:r>
          </w:p>
          <w:p w14:paraId="21871FC2" w14:textId="36BA0143" w:rsidR="00E90CB2" w:rsidRDefault="00E90CB2">
            <w:pPr>
              <w:tabs>
                <w:tab w:val="center" w:pos="4677"/>
                <w:tab w:val="right" w:pos="9355"/>
              </w:tabs>
              <w:ind w:left="-108"/>
              <w:rPr>
                <w:sz w:val="24"/>
                <w:lang w:val="en-US" w:eastAsia="ar-SA"/>
              </w:rPr>
            </w:pPr>
          </w:p>
        </w:tc>
        <w:tc>
          <w:tcPr>
            <w:tcW w:w="4252" w:type="dxa"/>
          </w:tcPr>
          <w:p w14:paraId="57DA165D" w14:textId="12BE15BF" w:rsidR="003C499E" w:rsidRDefault="00FD6EA8">
            <w:pPr>
              <w:tabs>
                <w:tab w:val="center" w:pos="4677"/>
                <w:tab w:val="right" w:pos="9355"/>
              </w:tabs>
              <w:ind w:left="363"/>
              <w:rPr>
                <w:sz w:val="24"/>
                <w:lang w:eastAsia="ar-SA"/>
              </w:rPr>
            </w:pPr>
            <w:r>
              <w:rPr>
                <w:sz w:val="24"/>
                <w:u w:val="single"/>
                <w:lang w:eastAsia="ar-SA"/>
              </w:rPr>
              <w:t>Informal document</w:t>
            </w:r>
            <w:r>
              <w:rPr>
                <w:sz w:val="24"/>
                <w:lang w:eastAsia="ar-SA"/>
              </w:rPr>
              <w:t xml:space="preserve"> </w:t>
            </w:r>
            <w:r>
              <w:rPr>
                <w:b/>
                <w:sz w:val="24"/>
                <w:lang w:eastAsia="ar-SA"/>
              </w:rPr>
              <w:t>GR</w:t>
            </w:r>
            <w:r w:rsidR="00C123F1">
              <w:rPr>
                <w:b/>
                <w:sz w:val="24"/>
                <w:lang w:eastAsia="ar-SA"/>
              </w:rPr>
              <w:t>SG-115</w:t>
            </w:r>
            <w:r>
              <w:rPr>
                <w:b/>
                <w:sz w:val="24"/>
                <w:lang w:eastAsia="ar-SA"/>
              </w:rPr>
              <w:t>-</w:t>
            </w:r>
            <w:r w:rsidR="006611B1">
              <w:rPr>
                <w:b/>
                <w:sz w:val="24"/>
                <w:lang w:eastAsia="ar-SA"/>
              </w:rPr>
              <w:t>36</w:t>
            </w:r>
          </w:p>
          <w:p w14:paraId="23C98702" w14:textId="77777777" w:rsidR="00C123F1" w:rsidRPr="00C123F1" w:rsidRDefault="00C123F1" w:rsidP="00D222D2">
            <w:pPr>
              <w:tabs>
                <w:tab w:val="center" w:pos="4677"/>
                <w:tab w:val="right" w:pos="9355"/>
              </w:tabs>
              <w:spacing w:after="0"/>
              <w:ind w:left="363"/>
              <w:rPr>
                <w:sz w:val="24"/>
                <w:lang w:eastAsia="ar-SA"/>
              </w:rPr>
            </w:pPr>
            <w:r w:rsidRPr="00C123F1">
              <w:rPr>
                <w:sz w:val="24"/>
                <w:lang w:eastAsia="ar-SA"/>
              </w:rPr>
              <w:t>(115th GRSG, 9-12 October 2018</w:t>
            </w:r>
          </w:p>
          <w:p w14:paraId="55E9C2E1" w14:textId="2154EB2C" w:rsidR="003C499E" w:rsidRDefault="00C123F1" w:rsidP="00D222D2">
            <w:pPr>
              <w:tabs>
                <w:tab w:val="center" w:pos="4677"/>
                <w:tab w:val="right" w:pos="9355"/>
              </w:tabs>
              <w:spacing w:after="0"/>
              <w:ind w:left="363"/>
              <w:rPr>
                <w:sz w:val="24"/>
                <w:u w:val="single"/>
                <w:lang w:eastAsia="ar-SA"/>
              </w:rPr>
            </w:pPr>
            <w:r w:rsidRPr="00C123F1">
              <w:rPr>
                <w:sz w:val="24"/>
                <w:lang w:eastAsia="ar-SA"/>
              </w:rPr>
              <w:t xml:space="preserve">agenda item </w:t>
            </w:r>
            <w:r>
              <w:rPr>
                <w:sz w:val="24"/>
                <w:lang w:eastAsia="ar-SA"/>
              </w:rPr>
              <w:t>6</w:t>
            </w:r>
            <w:r w:rsidRPr="00C123F1">
              <w:rPr>
                <w:sz w:val="24"/>
                <w:lang w:eastAsia="ar-SA"/>
              </w:rPr>
              <w:t>(</w:t>
            </w:r>
            <w:r>
              <w:rPr>
                <w:sz w:val="24"/>
                <w:lang w:eastAsia="ar-SA"/>
              </w:rPr>
              <w:t>b</w:t>
            </w:r>
            <w:r w:rsidRPr="00C123F1">
              <w:rPr>
                <w:sz w:val="24"/>
                <w:lang w:eastAsia="ar-SA"/>
              </w:rPr>
              <w:t>))</w:t>
            </w:r>
          </w:p>
        </w:tc>
      </w:tr>
    </w:tbl>
    <w:p w14:paraId="5CEC02B3" w14:textId="77777777" w:rsidR="00D222D2" w:rsidRDefault="00D222D2" w:rsidP="00D222D2">
      <w:pPr>
        <w:pStyle w:val="HChG"/>
        <w:spacing w:before="0" w:after="0"/>
        <w:ind w:left="1077"/>
        <w:jc w:val="both"/>
        <w:rPr>
          <w:sz w:val="22"/>
          <w:szCs w:val="36"/>
        </w:rPr>
      </w:pPr>
    </w:p>
    <w:p w14:paraId="1D57F199" w14:textId="65306CC9" w:rsidR="00E90CB2" w:rsidRPr="007B4CE5" w:rsidRDefault="00FD6EA8" w:rsidP="006611B1">
      <w:pPr>
        <w:pStyle w:val="HChG"/>
        <w:tabs>
          <w:tab w:val="left" w:pos="9072"/>
        </w:tabs>
        <w:ind w:left="0" w:right="567" w:firstLine="0"/>
        <w:jc w:val="both"/>
        <w:rPr>
          <w:szCs w:val="36"/>
        </w:rPr>
      </w:pPr>
      <w:r w:rsidRPr="007B4CE5">
        <w:rPr>
          <w:szCs w:val="36"/>
        </w:rPr>
        <w:t>Propo</w:t>
      </w:r>
      <w:bookmarkStart w:id="0" w:name="_GoBack"/>
      <w:bookmarkEnd w:id="0"/>
      <w:r w:rsidRPr="007B4CE5">
        <w:rPr>
          <w:szCs w:val="36"/>
        </w:rPr>
        <w:t xml:space="preserve">sal for amendments to </w:t>
      </w:r>
      <w:r w:rsidR="00E90CB2" w:rsidRPr="007B4CE5">
        <w:rPr>
          <w:szCs w:val="36"/>
        </w:rPr>
        <w:t>the proposal for a new UN Regulation on uniform provisions concerning the approval of motor vehicles with regard to the Blind Spot Information System for the Detection of Bicycles</w:t>
      </w:r>
    </w:p>
    <w:p w14:paraId="7A223725" w14:textId="6CEE3D35" w:rsidR="003C499E" w:rsidRPr="007B4CE5" w:rsidRDefault="00E90CB2" w:rsidP="00E90CB2">
      <w:pPr>
        <w:pStyle w:val="HChG"/>
        <w:ind w:left="1080"/>
        <w:jc w:val="center"/>
        <w:rPr>
          <w:szCs w:val="36"/>
        </w:rPr>
      </w:pPr>
      <w:r w:rsidRPr="007B4CE5">
        <w:rPr>
          <w:szCs w:val="36"/>
        </w:rPr>
        <w:t xml:space="preserve">(Amendments to </w:t>
      </w:r>
      <w:bookmarkStart w:id="1" w:name="_Hlk526678908"/>
      <w:r w:rsidRPr="007B4CE5">
        <w:rPr>
          <w:szCs w:val="36"/>
        </w:rPr>
        <w:t>ECE/TRANS/WP.29/GRSG/2018/24</w:t>
      </w:r>
      <w:bookmarkEnd w:id="1"/>
      <w:r w:rsidRPr="007B4CE5">
        <w:rPr>
          <w:szCs w:val="36"/>
        </w:rPr>
        <w:t>)</w:t>
      </w:r>
    </w:p>
    <w:p w14:paraId="5780F3B0" w14:textId="77777777" w:rsidR="003C499E" w:rsidRDefault="00FD6EA8">
      <w:pPr>
        <w:pStyle w:val="HChG"/>
        <w:ind w:left="1080" w:hanging="80"/>
        <w:jc w:val="both"/>
        <w:rPr>
          <w:sz w:val="32"/>
          <w:szCs w:val="32"/>
        </w:rPr>
      </w:pPr>
      <w:r>
        <w:rPr>
          <w:sz w:val="32"/>
          <w:szCs w:val="32"/>
          <w:lang w:val="sv-SE"/>
        </w:rPr>
        <w:t xml:space="preserve">I. </w:t>
      </w:r>
      <w:r>
        <w:rPr>
          <w:sz w:val="32"/>
          <w:szCs w:val="32"/>
        </w:rPr>
        <w:t xml:space="preserve">Proposal </w:t>
      </w:r>
    </w:p>
    <w:p w14:paraId="0157CF05" w14:textId="0741806C" w:rsidR="003C499E" w:rsidRDefault="006611B1" w:rsidP="005E0128">
      <w:pPr>
        <w:pStyle w:val="SingleTxtG"/>
        <w:rPr>
          <w:i/>
        </w:rPr>
      </w:pPr>
      <w:r>
        <w:rPr>
          <w:i/>
          <w:lang w:val="sv-SE"/>
        </w:rPr>
        <w:t>P</w:t>
      </w:r>
      <w:r w:rsidR="00FD6EA8">
        <w:rPr>
          <w:i/>
          <w:lang w:val="sv-SE"/>
        </w:rPr>
        <w:t xml:space="preserve">aragraph </w:t>
      </w:r>
      <w:r w:rsidR="00D222D2">
        <w:rPr>
          <w:i/>
          <w:lang w:val="sv-SE"/>
        </w:rPr>
        <w:t>5.</w:t>
      </w:r>
      <w:r w:rsidR="005E0128">
        <w:rPr>
          <w:i/>
          <w:lang w:val="sv-SE"/>
        </w:rPr>
        <w:t>5</w:t>
      </w:r>
      <w:r w:rsidR="00D222D2">
        <w:rPr>
          <w:i/>
          <w:lang w:val="sv-SE"/>
        </w:rPr>
        <w:t>.3.</w:t>
      </w:r>
      <w:r>
        <w:rPr>
          <w:i/>
          <w:lang w:val="sv-SE"/>
        </w:rPr>
        <w:t>,</w:t>
      </w:r>
      <w:r w:rsidR="00D222D2">
        <w:rPr>
          <w:i/>
          <w:lang w:val="sv-SE"/>
        </w:rPr>
        <w:t xml:space="preserve"> </w:t>
      </w:r>
      <w:r w:rsidRPr="006611B1">
        <w:rPr>
          <w:lang w:val="sv-SE"/>
        </w:rPr>
        <w:t xml:space="preserve">amend </w:t>
      </w:r>
      <w:r w:rsidR="00FD6EA8" w:rsidRPr="006611B1">
        <w:rPr>
          <w:lang w:val="en-US"/>
        </w:rPr>
        <w:t>to read:</w:t>
      </w:r>
    </w:p>
    <w:p w14:paraId="093F3ECC" w14:textId="55CB38A7" w:rsidR="000E6508" w:rsidRPr="000E6508" w:rsidRDefault="006611B1" w:rsidP="000E6508">
      <w:pPr>
        <w:spacing w:after="120"/>
        <w:ind w:left="2268" w:right="1134" w:hanging="1134"/>
        <w:jc w:val="both"/>
        <w:rPr>
          <w:bCs/>
        </w:rPr>
      </w:pPr>
      <w:r>
        <w:rPr>
          <w:lang w:val="sv-SE"/>
        </w:rPr>
        <w:t>"</w:t>
      </w:r>
      <w:r w:rsidR="00D222D2">
        <w:rPr>
          <w:lang w:val="sv-SE"/>
        </w:rPr>
        <w:t>5.</w:t>
      </w:r>
      <w:r w:rsidR="005E0128">
        <w:rPr>
          <w:lang w:val="sv-SE"/>
        </w:rPr>
        <w:t>5</w:t>
      </w:r>
      <w:r w:rsidR="00D222D2">
        <w:rPr>
          <w:lang w:val="sv-SE"/>
        </w:rPr>
        <w:t>.3.</w:t>
      </w:r>
      <w:r>
        <w:tab/>
      </w:r>
      <w:r w:rsidR="000E6508" w:rsidRPr="000E6508">
        <w:rPr>
          <w:bCs/>
        </w:rPr>
        <w:t xml:space="preserve">The warning signal shall be activated at the earliest when the system detects a potential collision, e.g. by the intention of a turn towards the bicycle, </w:t>
      </w:r>
      <w:r w:rsidR="000E6508" w:rsidRPr="000E6508">
        <w:rPr>
          <w:bCs/>
          <w:strike/>
        </w:rPr>
        <w:t>e.g. by evaluating the distance between or trajectory intersection of vehicle and bicycle,</w:t>
      </w:r>
      <w:r w:rsidR="000E6508" w:rsidRPr="000E6508">
        <w:rPr>
          <w:bCs/>
        </w:rPr>
        <w:t xml:space="preserve"> direction indicator activation or similar. The strategy </w:t>
      </w:r>
      <w:r w:rsidR="000E6508" w:rsidRPr="000E6508">
        <w:rPr>
          <w:u w:val="single"/>
        </w:rPr>
        <w:t>will take into consideration the time to collision between the vehicle and the bicycle, e.g. by evaluating the distance between and the trajectory intersection of vehicle and bicycle, and</w:t>
      </w:r>
      <w:r w:rsidR="000E6508">
        <w:t xml:space="preserve"> </w:t>
      </w:r>
      <w:r w:rsidR="000E6508" w:rsidRPr="000E6508">
        <w:rPr>
          <w:bCs/>
        </w:rPr>
        <w:t>shall be explained in the information referred to in paragraph 6.1. It shall not depend solely on the activation of the direction indicator.</w:t>
      </w:r>
    </w:p>
    <w:p w14:paraId="5A58C165" w14:textId="3D7D6CF7" w:rsidR="000E6508" w:rsidRPr="000E6508" w:rsidRDefault="000E6508" w:rsidP="000E6508">
      <w:pPr>
        <w:spacing w:after="120"/>
        <w:ind w:left="2268" w:right="1134" w:hanging="1134"/>
        <w:jc w:val="both"/>
        <w:rPr>
          <w:bCs/>
        </w:rPr>
      </w:pPr>
      <w:r w:rsidRPr="000E6508">
        <w:rPr>
          <w:bCs/>
        </w:rPr>
        <w:tab/>
      </w:r>
      <w:r w:rsidRPr="000E6508">
        <w:rPr>
          <w:bCs/>
        </w:rPr>
        <w:tab/>
        <w:t>The Technical Service shall verify the operation of the system according to the strategy.</w:t>
      </w:r>
      <w:r w:rsidR="006611B1">
        <w:rPr>
          <w:bCs/>
        </w:rPr>
        <w:t>"</w:t>
      </w:r>
    </w:p>
    <w:p w14:paraId="33A32865" w14:textId="77777777" w:rsidR="003C499E" w:rsidRDefault="00FD6EA8">
      <w:pPr>
        <w:pStyle w:val="HChG"/>
        <w:ind w:left="1080" w:hanging="80"/>
        <w:jc w:val="both"/>
        <w:rPr>
          <w:sz w:val="32"/>
          <w:szCs w:val="32"/>
          <w:lang w:val="sv-SE"/>
        </w:rPr>
      </w:pPr>
      <w:r>
        <w:rPr>
          <w:sz w:val="32"/>
          <w:szCs w:val="32"/>
          <w:lang w:val="sv-SE"/>
        </w:rPr>
        <w:tab/>
      </w:r>
      <w:r>
        <w:rPr>
          <w:sz w:val="32"/>
          <w:szCs w:val="32"/>
          <w:lang w:val="en-US"/>
        </w:rPr>
        <w:t>II.</w:t>
      </w:r>
      <w:r>
        <w:rPr>
          <w:sz w:val="32"/>
          <w:szCs w:val="32"/>
          <w:lang w:val="en-US"/>
        </w:rPr>
        <w:tab/>
        <w:t>Justification</w:t>
      </w:r>
    </w:p>
    <w:p w14:paraId="7FABAD0F" w14:textId="53EE95D8" w:rsidR="000E6508" w:rsidRDefault="000E6508" w:rsidP="006611B1">
      <w:pPr>
        <w:pStyle w:val="SingleTxtG"/>
        <w:numPr>
          <w:ilvl w:val="0"/>
          <w:numId w:val="19"/>
        </w:numPr>
        <w:ind w:left="1843" w:hanging="709"/>
      </w:pPr>
      <w:r>
        <w:t xml:space="preserve">TTC-based warnings are the industry standard and similar to production FCW/AEB systems </w:t>
      </w:r>
    </w:p>
    <w:p w14:paraId="781B07DD" w14:textId="72D608F2" w:rsidR="000E6508" w:rsidRDefault="000E6508" w:rsidP="000E6508">
      <w:pPr>
        <w:pStyle w:val="SingleTxtG"/>
        <w:numPr>
          <w:ilvl w:val="1"/>
          <w:numId w:val="19"/>
        </w:numPr>
      </w:pPr>
      <w:r>
        <w:t>Alerts require immediate attention and a concrete response to prevent an accident. Such approach is especially valuable with HGVs, operating in a limited-view and a complex driving and HMI environment.</w:t>
      </w:r>
    </w:p>
    <w:p w14:paraId="4009AD62" w14:textId="67CF8029" w:rsidR="000E6508" w:rsidRDefault="000E6508" w:rsidP="000E6508">
      <w:pPr>
        <w:pStyle w:val="SingleTxtG"/>
        <w:numPr>
          <w:ilvl w:val="1"/>
          <w:numId w:val="19"/>
        </w:numPr>
      </w:pPr>
      <w:r>
        <w:t xml:space="preserve">A </w:t>
      </w:r>
      <w:proofErr w:type="spellStart"/>
      <w:r>
        <w:t>ttc</w:t>
      </w:r>
      <w:proofErr w:type="spellEnd"/>
      <w:r>
        <w:t>-based warning is the approach adopted by both industry and with regulation in accident avoidance technologies where are well known to the public (FCW, AEB, LDW/LKA).</w:t>
      </w:r>
    </w:p>
    <w:p w14:paraId="4E4D6B6E" w14:textId="4C1B9226" w:rsidR="000E6508" w:rsidRDefault="000E6508" w:rsidP="000E6508">
      <w:pPr>
        <w:pStyle w:val="SingleTxtG"/>
        <w:numPr>
          <w:ilvl w:val="1"/>
          <w:numId w:val="19"/>
        </w:numPr>
      </w:pPr>
      <w:r>
        <w:t>The current draft defines a vague standard relating a ‘detection of a potential collision’, which does not define specific protection to the cyclist</w:t>
      </w:r>
    </w:p>
    <w:p w14:paraId="0B1F4B35" w14:textId="0AD36D16" w:rsidR="000E6508" w:rsidRDefault="000E6508" w:rsidP="006611B1">
      <w:pPr>
        <w:pStyle w:val="SingleTxtG"/>
        <w:numPr>
          <w:ilvl w:val="0"/>
          <w:numId w:val="19"/>
        </w:numPr>
        <w:ind w:left="1843" w:hanging="709"/>
      </w:pPr>
      <w:r>
        <w:t xml:space="preserve">A TTC based warning level is vital to supplement current 1st level of information, insufficient by itself in providing adequate protection in stop &amp; go scenarios beyond the last point of information: </w:t>
      </w:r>
    </w:p>
    <w:p w14:paraId="10A1EC76" w14:textId="70493AD4" w:rsidR="003C499E" w:rsidRDefault="000E6508" w:rsidP="000E6508">
      <w:pPr>
        <w:pStyle w:val="SingleTxtG"/>
        <w:numPr>
          <w:ilvl w:val="1"/>
          <w:numId w:val="19"/>
        </w:numPr>
      </w:pPr>
      <w:r>
        <w:t xml:space="preserve">According to the regulation requirement, the information signal will be displayed last at the last point of information, defined at 15-38m (depending on the relative HGV/cyclist speed, see testing procedures in appendix 1) only, or until the collision is possible. With stop &amp; go movement of the truck, </w:t>
      </w:r>
      <w:r>
        <w:lastRenderedPageBreak/>
        <w:t>halting after the last point of information, a cyclist approaching from behind will not require the information signal, until he is at the utmost forward front wheel, and only in cases of low lateral separation (0.25 to 0.9m). This information could be too little too late, for example for vehicles pausing their movement at a stop line, a red-light stop, or when stopping to allow a passing bike.</w:t>
      </w:r>
    </w:p>
    <w:p w14:paraId="2EF91581" w14:textId="77777777" w:rsidR="003C499E" w:rsidRDefault="00FD6EA8">
      <w:pPr>
        <w:spacing w:before="240"/>
        <w:ind w:left="1134" w:right="1134"/>
        <w:jc w:val="center"/>
        <w:rPr>
          <w:u w:val="single"/>
        </w:rPr>
      </w:pPr>
      <w:r>
        <w:rPr>
          <w:szCs w:val="24"/>
          <w:u w:val="single"/>
        </w:rPr>
        <w:tab/>
      </w:r>
      <w:r>
        <w:rPr>
          <w:szCs w:val="24"/>
          <w:u w:val="single"/>
        </w:rPr>
        <w:tab/>
      </w:r>
      <w:r>
        <w:rPr>
          <w:szCs w:val="24"/>
          <w:u w:val="single"/>
        </w:rPr>
        <w:tab/>
      </w:r>
    </w:p>
    <w:sectPr w:rsidR="003C499E">
      <w:footerReference w:type="first" r:id="rId9"/>
      <w:footnotePr>
        <w:numRestart w:val="eachSect"/>
      </w:footnotePr>
      <w:endnotePr>
        <w:numFmt w:val="decimal"/>
      </w:endnotePr>
      <w:type w:val="continuous"/>
      <w:pgSz w:w="11907" w:h="16840"/>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6357" w14:textId="77777777" w:rsidR="005E0128" w:rsidRDefault="005E0128"/>
  </w:endnote>
  <w:endnote w:type="continuationSeparator" w:id="0">
    <w:p w14:paraId="0BA5D5C9" w14:textId="77777777" w:rsidR="005E0128" w:rsidRDefault="005E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FCEB" w14:textId="3CFB27F9" w:rsidR="005E0128" w:rsidRDefault="005E0128">
    <w:pPr>
      <w:pStyle w:val="Footer"/>
    </w:pPr>
    <w:r>
      <w:rPr>
        <w:b/>
        <w:sz w:val="18"/>
      </w:rPr>
      <w:fldChar w:fldCharType="begin"/>
    </w:r>
    <w:r>
      <w:rPr>
        <w:b/>
        <w:sz w:val="18"/>
      </w:rPr>
      <w:instrText xml:space="preserve"> PAGE  \* MERGEFORMAT </w:instrText>
    </w:r>
    <w:r>
      <w:rPr>
        <w:b/>
        <w:sz w:val="18"/>
      </w:rPr>
      <w:fldChar w:fldCharType="separate"/>
    </w:r>
    <w:r w:rsidR="00267ED7">
      <w:rPr>
        <w:b/>
        <w:noProof/>
        <w:sz w:val="18"/>
      </w:rPr>
      <w:t>1</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EAE23" w14:textId="77777777" w:rsidR="005E0128" w:rsidRDefault="005E0128"/>
  </w:footnote>
  <w:footnote w:type="continuationSeparator" w:id="0">
    <w:p w14:paraId="7373A2FC" w14:textId="77777777" w:rsidR="005E0128" w:rsidRDefault="005E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nsid w:val="00000006"/>
    <w:multiLevelType w:val="multilevel"/>
    <w:tmpl w:val="00000006"/>
    <w:lvl w:ilvl="0">
      <w:start w:val="1"/>
      <w:numFmt w:val="decimal"/>
      <w:pStyle w:val="Level1"/>
      <w:lvlText w:val="1.%1_"/>
      <w:lvlJc w:val="left"/>
      <w:pPr>
        <w:tabs>
          <w:tab w:val="left"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2B3F49C6"/>
    <w:multiLevelType w:val="singleLevel"/>
    <w:tmpl w:val="2B3F49C6"/>
    <w:lvl w:ilvl="0">
      <w:start w:val="1"/>
      <w:numFmt w:val="lowerRoman"/>
      <w:pStyle w:val="Rom2"/>
      <w:lvlText w:val="%1)"/>
      <w:lvlJc w:val="right"/>
      <w:pPr>
        <w:tabs>
          <w:tab w:val="left" w:pos="927"/>
        </w:tabs>
        <w:ind w:left="567" w:firstLine="0"/>
      </w:pPr>
    </w:lvl>
  </w:abstractNum>
  <w:abstractNum w:abstractNumId="12">
    <w:nsid w:val="3BA027A8"/>
    <w:multiLevelType w:val="multilevel"/>
    <w:tmpl w:val="AB22BC6E"/>
    <w:lvl w:ilvl="0">
      <w:start w:val="1"/>
      <w:numFmt w:val="decimal"/>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3">
    <w:nsid w:val="3CB061AB"/>
    <w:multiLevelType w:val="singleLevel"/>
    <w:tmpl w:val="3CB061AB"/>
    <w:lvl w:ilvl="0">
      <w:start w:val="1"/>
      <w:numFmt w:val="decimal"/>
      <w:pStyle w:val="ParaNo"/>
      <w:lvlText w:val="%1."/>
      <w:lvlJc w:val="left"/>
      <w:pPr>
        <w:tabs>
          <w:tab w:val="left" w:pos="360"/>
        </w:tabs>
        <w:ind w:left="-1" w:firstLine="1"/>
      </w:pPr>
      <w:rPr>
        <w:rFonts w:hint="default"/>
      </w:rPr>
    </w:lvl>
  </w:abstractNum>
  <w:abstractNum w:abstractNumId="14">
    <w:nsid w:val="452D144C"/>
    <w:multiLevelType w:val="singleLevel"/>
    <w:tmpl w:val="452D144C"/>
    <w:lvl w:ilvl="0">
      <w:start w:val="1"/>
      <w:numFmt w:val="decimal"/>
      <w:pStyle w:val="ParaNo0"/>
      <w:lvlText w:val="(%1)"/>
      <w:lvlJc w:val="left"/>
      <w:pPr>
        <w:tabs>
          <w:tab w:val="left" w:pos="720"/>
        </w:tabs>
        <w:ind w:left="720" w:hanging="720"/>
      </w:pPr>
    </w:lvl>
  </w:abstractNum>
  <w:abstractNum w:abstractNumId="15">
    <w:nsid w:val="589514CF"/>
    <w:multiLevelType w:val="multilevel"/>
    <w:tmpl w:val="589514CF"/>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nsid w:val="65925DC1"/>
    <w:multiLevelType w:val="multilevel"/>
    <w:tmpl w:val="65925DC1"/>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5E223DA"/>
    <w:multiLevelType w:val="multilevel"/>
    <w:tmpl w:val="75E223DA"/>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CF349BD"/>
    <w:multiLevelType w:val="singleLevel"/>
    <w:tmpl w:val="7CF349BD"/>
    <w:lvl w:ilvl="0">
      <w:start w:val="1"/>
      <w:numFmt w:val="lowerRoman"/>
      <w:pStyle w:val="Rom1"/>
      <w:lvlText w:val="%1)"/>
      <w:lvlJc w:val="right"/>
      <w:pPr>
        <w:tabs>
          <w:tab w:val="left" w:pos="504"/>
        </w:tabs>
        <w:ind w:left="504" w:hanging="216"/>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0"/>
    <w:lvlOverride w:ilvl="0">
      <w:startOverride w:val="1"/>
      <w:lvl w:ilvl="0" w:tentative="1">
        <w:start w:val="1"/>
        <w:numFmt w:val="decimal"/>
        <w:pStyle w:val="Level1"/>
        <w:lvlText w:val="1.%1_"/>
        <w:lvlJc w:val="left"/>
      </w:lvl>
    </w:lvlOverride>
    <w:lvlOverride w:ilvl="1">
      <w:startOverride w:val="1"/>
      <w:lvl w:ilvl="1" w:tentative="1">
        <w:start w:val="1"/>
        <w:numFmt w:val="decimal"/>
        <w:lvlText w:val="%2"/>
        <w:lvlJc w:val="left"/>
      </w:lvl>
    </w:lvlOverride>
    <w:lvlOverride w:ilvl="2">
      <w:startOverride w:val="1"/>
      <w:lvl w:ilvl="2" w:tentative="1">
        <w:start w:val="1"/>
        <w:numFmt w:val="decimal"/>
        <w:lvlText w:val="%3"/>
        <w:lvlJc w:val="left"/>
      </w:lvl>
    </w:lvlOverride>
    <w:lvlOverride w:ilvl="3">
      <w:startOverride w:val="1"/>
      <w:lvl w:ilvl="3" w:tentative="1">
        <w:start w:val="1"/>
        <w:numFmt w:val="decimal"/>
        <w:lvlText w:val="%4"/>
        <w:lvlJc w:val="left"/>
      </w:lvl>
    </w:lvlOverride>
    <w:lvlOverride w:ilvl="4">
      <w:startOverride w:val="1"/>
      <w:lvl w:ilvl="4" w:tentative="1">
        <w:start w:val="1"/>
        <w:numFmt w:val="decimal"/>
        <w:lvlText w:val="%5"/>
        <w:lvlJc w:val="left"/>
      </w:lvl>
    </w:lvlOverride>
    <w:lvlOverride w:ilvl="5">
      <w:startOverride w:val="1"/>
      <w:lvl w:ilvl="5" w:tentative="1">
        <w:start w:val="1"/>
        <w:numFmt w:val="decimal"/>
        <w:lvlText w:val="%6"/>
        <w:lvlJc w:val="left"/>
      </w:lvl>
    </w:lvlOverride>
    <w:lvlOverride w:ilvl="6">
      <w:startOverride w:val="1"/>
      <w:lvl w:ilvl="6" w:tentative="1">
        <w:start w:val="1"/>
        <w:numFmt w:val="decimal"/>
        <w:lvlText w:val="%7"/>
        <w:lvlJc w:val="left"/>
      </w:lvl>
    </w:lvlOverride>
    <w:lvlOverride w:ilvl="7">
      <w:startOverride w:val="1"/>
      <w:lvl w:ilvl="7" w:tentative="1">
        <w:start w:val="1"/>
        <w:numFmt w:val="decimal"/>
        <w:lvlText w:val="%8"/>
        <w:lvlJc w:val="left"/>
      </w:lvl>
    </w:lvlOverride>
  </w:num>
  <w:num w:numId="15">
    <w:abstractNumId w:val="13"/>
  </w:num>
  <w:num w:numId="16">
    <w:abstractNumId w:val="18"/>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4380"/>
    <w:rsid w:val="00087892"/>
    <w:rsid w:val="000931C0"/>
    <w:rsid w:val="000A0BEC"/>
    <w:rsid w:val="000A6499"/>
    <w:rsid w:val="000B0595"/>
    <w:rsid w:val="000B175B"/>
    <w:rsid w:val="000B1DF1"/>
    <w:rsid w:val="000B2F02"/>
    <w:rsid w:val="000B3A0F"/>
    <w:rsid w:val="000B4EF7"/>
    <w:rsid w:val="000C2C03"/>
    <w:rsid w:val="000C2D2E"/>
    <w:rsid w:val="000D56EA"/>
    <w:rsid w:val="000D6F43"/>
    <w:rsid w:val="000E0415"/>
    <w:rsid w:val="000E6508"/>
    <w:rsid w:val="000F58EC"/>
    <w:rsid w:val="001029E4"/>
    <w:rsid w:val="00107548"/>
    <w:rsid w:val="001103AA"/>
    <w:rsid w:val="001132C7"/>
    <w:rsid w:val="0011332D"/>
    <w:rsid w:val="0011666B"/>
    <w:rsid w:val="00143572"/>
    <w:rsid w:val="001457CF"/>
    <w:rsid w:val="0015220F"/>
    <w:rsid w:val="0016422E"/>
    <w:rsid w:val="00165052"/>
    <w:rsid w:val="00165F3A"/>
    <w:rsid w:val="00172128"/>
    <w:rsid w:val="00177B8A"/>
    <w:rsid w:val="00182290"/>
    <w:rsid w:val="00184A31"/>
    <w:rsid w:val="0018698C"/>
    <w:rsid w:val="00194ADE"/>
    <w:rsid w:val="001A3955"/>
    <w:rsid w:val="001A5484"/>
    <w:rsid w:val="001B2A44"/>
    <w:rsid w:val="001B4B04"/>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6C43"/>
    <w:rsid w:val="00244633"/>
    <w:rsid w:val="0024772E"/>
    <w:rsid w:val="00247F8D"/>
    <w:rsid w:val="00256427"/>
    <w:rsid w:val="00267ED7"/>
    <w:rsid w:val="00267F5F"/>
    <w:rsid w:val="00270F51"/>
    <w:rsid w:val="00283F5B"/>
    <w:rsid w:val="00286B4D"/>
    <w:rsid w:val="00291B34"/>
    <w:rsid w:val="002A598C"/>
    <w:rsid w:val="002B19E4"/>
    <w:rsid w:val="002B5DFC"/>
    <w:rsid w:val="002B619C"/>
    <w:rsid w:val="002C27BE"/>
    <w:rsid w:val="002D4643"/>
    <w:rsid w:val="002E35F4"/>
    <w:rsid w:val="002E4AF3"/>
    <w:rsid w:val="002E5681"/>
    <w:rsid w:val="002E5B03"/>
    <w:rsid w:val="002F175C"/>
    <w:rsid w:val="002F7DE0"/>
    <w:rsid w:val="00302E18"/>
    <w:rsid w:val="00304201"/>
    <w:rsid w:val="0031068E"/>
    <w:rsid w:val="00314622"/>
    <w:rsid w:val="00314A3C"/>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760D4"/>
    <w:rsid w:val="00382335"/>
    <w:rsid w:val="00390025"/>
    <w:rsid w:val="00392E47"/>
    <w:rsid w:val="00393204"/>
    <w:rsid w:val="003A027E"/>
    <w:rsid w:val="003A6810"/>
    <w:rsid w:val="003B18E2"/>
    <w:rsid w:val="003B2942"/>
    <w:rsid w:val="003C2CC4"/>
    <w:rsid w:val="003C34FC"/>
    <w:rsid w:val="003C47DE"/>
    <w:rsid w:val="003C499E"/>
    <w:rsid w:val="003C534D"/>
    <w:rsid w:val="003D4B23"/>
    <w:rsid w:val="003E130E"/>
    <w:rsid w:val="004017B2"/>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35A4"/>
    <w:rsid w:val="004E56C4"/>
    <w:rsid w:val="004E77B2"/>
    <w:rsid w:val="004F405F"/>
    <w:rsid w:val="005020CE"/>
    <w:rsid w:val="00504B2D"/>
    <w:rsid w:val="00510195"/>
    <w:rsid w:val="005141F7"/>
    <w:rsid w:val="00514397"/>
    <w:rsid w:val="005144EA"/>
    <w:rsid w:val="0052136D"/>
    <w:rsid w:val="005219A4"/>
    <w:rsid w:val="0052775E"/>
    <w:rsid w:val="00530A07"/>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8050F"/>
    <w:rsid w:val="00590107"/>
    <w:rsid w:val="005941EC"/>
    <w:rsid w:val="0059724D"/>
    <w:rsid w:val="00597F29"/>
    <w:rsid w:val="005A4E59"/>
    <w:rsid w:val="005A5514"/>
    <w:rsid w:val="005B320C"/>
    <w:rsid w:val="005B3DB3"/>
    <w:rsid w:val="005B48A4"/>
    <w:rsid w:val="005B4E13"/>
    <w:rsid w:val="005C1A88"/>
    <w:rsid w:val="005C1A99"/>
    <w:rsid w:val="005C342F"/>
    <w:rsid w:val="005C4E03"/>
    <w:rsid w:val="005C7D1E"/>
    <w:rsid w:val="005E0128"/>
    <w:rsid w:val="005E0E83"/>
    <w:rsid w:val="005F0EEF"/>
    <w:rsid w:val="005F7B75"/>
    <w:rsid w:val="006001EE"/>
    <w:rsid w:val="00605042"/>
    <w:rsid w:val="00610EFB"/>
    <w:rsid w:val="00611FC4"/>
    <w:rsid w:val="00613CBB"/>
    <w:rsid w:val="006176FB"/>
    <w:rsid w:val="00631266"/>
    <w:rsid w:val="00632E7E"/>
    <w:rsid w:val="00640B26"/>
    <w:rsid w:val="0064110A"/>
    <w:rsid w:val="0064123D"/>
    <w:rsid w:val="00647727"/>
    <w:rsid w:val="00652D0A"/>
    <w:rsid w:val="00655949"/>
    <w:rsid w:val="006611B1"/>
    <w:rsid w:val="00662BB6"/>
    <w:rsid w:val="00671B51"/>
    <w:rsid w:val="00671B8F"/>
    <w:rsid w:val="0067362F"/>
    <w:rsid w:val="00676606"/>
    <w:rsid w:val="006772BD"/>
    <w:rsid w:val="00684C21"/>
    <w:rsid w:val="00692A48"/>
    <w:rsid w:val="006A2530"/>
    <w:rsid w:val="006B70C4"/>
    <w:rsid w:val="006C0E4A"/>
    <w:rsid w:val="006C3589"/>
    <w:rsid w:val="006D2108"/>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20B03"/>
    <w:rsid w:val="007220BA"/>
    <w:rsid w:val="00725824"/>
    <w:rsid w:val="0072632A"/>
    <w:rsid w:val="007327D5"/>
    <w:rsid w:val="007374C7"/>
    <w:rsid w:val="007629C8"/>
    <w:rsid w:val="00765FE0"/>
    <w:rsid w:val="0077047D"/>
    <w:rsid w:val="007808D3"/>
    <w:rsid w:val="00786C10"/>
    <w:rsid w:val="007941A9"/>
    <w:rsid w:val="007A3646"/>
    <w:rsid w:val="007B4CE5"/>
    <w:rsid w:val="007B4D5D"/>
    <w:rsid w:val="007B6BA5"/>
    <w:rsid w:val="007C3390"/>
    <w:rsid w:val="007C4F4B"/>
    <w:rsid w:val="007D45C4"/>
    <w:rsid w:val="007D7231"/>
    <w:rsid w:val="007E01E9"/>
    <w:rsid w:val="007E4540"/>
    <w:rsid w:val="007E568F"/>
    <w:rsid w:val="007E63F3"/>
    <w:rsid w:val="007F00DD"/>
    <w:rsid w:val="007F255D"/>
    <w:rsid w:val="007F3821"/>
    <w:rsid w:val="007F6611"/>
    <w:rsid w:val="008057EE"/>
    <w:rsid w:val="00811920"/>
    <w:rsid w:val="00815AD0"/>
    <w:rsid w:val="00815EDB"/>
    <w:rsid w:val="0082239C"/>
    <w:rsid w:val="008242D7"/>
    <w:rsid w:val="008257B1"/>
    <w:rsid w:val="00832334"/>
    <w:rsid w:val="00843767"/>
    <w:rsid w:val="008679D9"/>
    <w:rsid w:val="0087205C"/>
    <w:rsid w:val="00881990"/>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3BBF"/>
    <w:rsid w:val="00930560"/>
    <w:rsid w:val="00930F85"/>
    <w:rsid w:val="0093745E"/>
    <w:rsid w:val="00940F93"/>
    <w:rsid w:val="00943CF0"/>
    <w:rsid w:val="0094467E"/>
    <w:rsid w:val="009448C3"/>
    <w:rsid w:val="00955913"/>
    <w:rsid w:val="009626B7"/>
    <w:rsid w:val="00972FD7"/>
    <w:rsid w:val="009760F3"/>
    <w:rsid w:val="00976CFB"/>
    <w:rsid w:val="0098263F"/>
    <w:rsid w:val="0098446C"/>
    <w:rsid w:val="009873AF"/>
    <w:rsid w:val="009A0830"/>
    <w:rsid w:val="009A0E8D"/>
    <w:rsid w:val="009A3168"/>
    <w:rsid w:val="009B26E7"/>
    <w:rsid w:val="009B64BB"/>
    <w:rsid w:val="009C300D"/>
    <w:rsid w:val="009D2100"/>
    <w:rsid w:val="009F1104"/>
    <w:rsid w:val="009F24C5"/>
    <w:rsid w:val="00A00697"/>
    <w:rsid w:val="00A00A3F"/>
    <w:rsid w:val="00A01489"/>
    <w:rsid w:val="00A062D2"/>
    <w:rsid w:val="00A16D61"/>
    <w:rsid w:val="00A2253E"/>
    <w:rsid w:val="00A271CD"/>
    <w:rsid w:val="00A3026E"/>
    <w:rsid w:val="00A30B5B"/>
    <w:rsid w:val="00A312EA"/>
    <w:rsid w:val="00A338F1"/>
    <w:rsid w:val="00A3452C"/>
    <w:rsid w:val="00A35BE0"/>
    <w:rsid w:val="00A4537E"/>
    <w:rsid w:val="00A45D77"/>
    <w:rsid w:val="00A521DD"/>
    <w:rsid w:val="00A52EBA"/>
    <w:rsid w:val="00A540A1"/>
    <w:rsid w:val="00A553C8"/>
    <w:rsid w:val="00A6129C"/>
    <w:rsid w:val="00A62C39"/>
    <w:rsid w:val="00A72710"/>
    <w:rsid w:val="00A72F22"/>
    <w:rsid w:val="00A7360F"/>
    <w:rsid w:val="00A748A6"/>
    <w:rsid w:val="00A769F4"/>
    <w:rsid w:val="00A776B4"/>
    <w:rsid w:val="00A9133E"/>
    <w:rsid w:val="00A94361"/>
    <w:rsid w:val="00AA060A"/>
    <w:rsid w:val="00AA293C"/>
    <w:rsid w:val="00AA4D44"/>
    <w:rsid w:val="00AA6657"/>
    <w:rsid w:val="00AA6A36"/>
    <w:rsid w:val="00AC4A1B"/>
    <w:rsid w:val="00AC7D2D"/>
    <w:rsid w:val="00AD4029"/>
    <w:rsid w:val="00AE5CD0"/>
    <w:rsid w:val="00AF4E3A"/>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A0995"/>
    <w:rsid w:val="00BA5275"/>
    <w:rsid w:val="00BC3FA0"/>
    <w:rsid w:val="00BC74E9"/>
    <w:rsid w:val="00BD11F9"/>
    <w:rsid w:val="00BE3693"/>
    <w:rsid w:val="00BF335A"/>
    <w:rsid w:val="00BF5897"/>
    <w:rsid w:val="00BF64FB"/>
    <w:rsid w:val="00BF68A8"/>
    <w:rsid w:val="00C051E2"/>
    <w:rsid w:val="00C11A03"/>
    <w:rsid w:val="00C123F1"/>
    <w:rsid w:val="00C22C0C"/>
    <w:rsid w:val="00C30657"/>
    <w:rsid w:val="00C3354D"/>
    <w:rsid w:val="00C40399"/>
    <w:rsid w:val="00C4527F"/>
    <w:rsid w:val="00C45828"/>
    <w:rsid w:val="00C463DD"/>
    <w:rsid w:val="00C4724C"/>
    <w:rsid w:val="00C5557D"/>
    <w:rsid w:val="00C573A0"/>
    <w:rsid w:val="00C601B9"/>
    <w:rsid w:val="00C629A0"/>
    <w:rsid w:val="00C6369C"/>
    <w:rsid w:val="00C64629"/>
    <w:rsid w:val="00C726B6"/>
    <w:rsid w:val="00C745C3"/>
    <w:rsid w:val="00C756CC"/>
    <w:rsid w:val="00C76E75"/>
    <w:rsid w:val="00C96DF2"/>
    <w:rsid w:val="00CA3C5B"/>
    <w:rsid w:val="00CB3E03"/>
    <w:rsid w:val="00CD4AA6"/>
    <w:rsid w:val="00CD78B5"/>
    <w:rsid w:val="00CE4A8F"/>
    <w:rsid w:val="00CF1A4B"/>
    <w:rsid w:val="00D016D9"/>
    <w:rsid w:val="00D023D0"/>
    <w:rsid w:val="00D04C8B"/>
    <w:rsid w:val="00D06031"/>
    <w:rsid w:val="00D17394"/>
    <w:rsid w:val="00D2031B"/>
    <w:rsid w:val="00D214D8"/>
    <w:rsid w:val="00D222D2"/>
    <w:rsid w:val="00D2432A"/>
    <w:rsid w:val="00D24702"/>
    <w:rsid w:val="00D248B6"/>
    <w:rsid w:val="00D25FE2"/>
    <w:rsid w:val="00D26E07"/>
    <w:rsid w:val="00D3126E"/>
    <w:rsid w:val="00D33EA1"/>
    <w:rsid w:val="00D4197B"/>
    <w:rsid w:val="00D43252"/>
    <w:rsid w:val="00D47EEA"/>
    <w:rsid w:val="00D51093"/>
    <w:rsid w:val="00D6145A"/>
    <w:rsid w:val="00D63CF2"/>
    <w:rsid w:val="00D6640C"/>
    <w:rsid w:val="00D70056"/>
    <w:rsid w:val="00D74B66"/>
    <w:rsid w:val="00D74E1F"/>
    <w:rsid w:val="00D773DF"/>
    <w:rsid w:val="00D816DF"/>
    <w:rsid w:val="00D82EB7"/>
    <w:rsid w:val="00D8522B"/>
    <w:rsid w:val="00D90635"/>
    <w:rsid w:val="00D92E89"/>
    <w:rsid w:val="00D95303"/>
    <w:rsid w:val="00D978C6"/>
    <w:rsid w:val="00DA0476"/>
    <w:rsid w:val="00DA3C1C"/>
    <w:rsid w:val="00DA6132"/>
    <w:rsid w:val="00DC0DFA"/>
    <w:rsid w:val="00DC6D39"/>
    <w:rsid w:val="00DD3320"/>
    <w:rsid w:val="00DD6958"/>
    <w:rsid w:val="00E01BEB"/>
    <w:rsid w:val="00E03036"/>
    <w:rsid w:val="00E046DF"/>
    <w:rsid w:val="00E22B0C"/>
    <w:rsid w:val="00E23D09"/>
    <w:rsid w:val="00E265A0"/>
    <w:rsid w:val="00E26801"/>
    <w:rsid w:val="00E27346"/>
    <w:rsid w:val="00E3310A"/>
    <w:rsid w:val="00E40A45"/>
    <w:rsid w:val="00E40C7D"/>
    <w:rsid w:val="00E43A07"/>
    <w:rsid w:val="00E450F5"/>
    <w:rsid w:val="00E470CA"/>
    <w:rsid w:val="00E524B5"/>
    <w:rsid w:val="00E54749"/>
    <w:rsid w:val="00E560CA"/>
    <w:rsid w:val="00E60215"/>
    <w:rsid w:val="00E71BC8"/>
    <w:rsid w:val="00E7260F"/>
    <w:rsid w:val="00E7265E"/>
    <w:rsid w:val="00E73F5D"/>
    <w:rsid w:val="00E77E4E"/>
    <w:rsid w:val="00E838BD"/>
    <w:rsid w:val="00E87FBF"/>
    <w:rsid w:val="00E90CB2"/>
    <w:rsid w:val="00E96630"/>
    <w:rsid w:val="00EA2A77"/>
    <w:rsid w:val="00EA5931"/>
    <w:rsid w:val="00EB1090"/>
    <w:rsid w:val="00EB13D3"/>
    <w:rsid w:val="00EC6D8C"/>
    <w:rsid w:val="00ED07D6"/>
    <w:rsid w:val="00ED7443"/>
    <w:rsid w:val="00ED7757"/>
    <w:rsid w:val="00ED7A2A"/>
    <w:rsid w:val="00EE112B"/>
    <w:rsid w:val="00EE2D63"/>
    <w:rsid w:val="00EF0B13"/>
    <w:rsid w:val="00EF1D7F"/>
    <w:rsid w:val="00F07589"/>
    <w:rsid w:val="00F16022"/>
    <w:rsid w:val="00F22FCC"/>
    <w:rsid w:val="00F240A1"/>
    <w:rsid w:val="00F2555C"/>
    <w:rsid w:val="00F256C2"/>
    <w:rsid w:val="00F31E5F"/>
    <w:rsid w:val="00F40B22"/>
    <w:rsid w:val="00F5399E"/>
    <w:rsid w:val="00F6100A"/>
    <w:rsid w:val="00F765CA"/>
    <w:rsid w:val="00F860B8"/>
    <w:rsid w:val="00F92CAD"/>
    <w:rsid w:val="00F93781"/>
    <w:rsid w:val="00F977DF"/>
    <w:rsid w:val="00FA4F63"/>
    <w:rsid w:val="00FB415B"/>
    <w:rsid w:val="00FB613B"/>
    <w:rsid w:val="00FC234D"/>
    <w:rsid w:val="00FC6329"/>
    <w:rsid w:val="00FC68B7"/>
    <w:rsid w:val="00FD3F98"/>
    <w:rsid w:val="00FD4F8D"/>
    <w:rsid w:val="00FD6EA8"/>
    <w:rsid w:val="00FE106A"/>
    <w:rsid w:val="00FE1696"/>
    <w:rsid w:val="00FE5476"/>
    <w:rsid w:val="00FE7450"/>
    <w:rsid w:val="00FF145D"/>
    <w:rsid w:val="00FF7D02"/>
    <w:rsid w:val="02FD0D6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caption" w:qFormat="1"/>
    <w:lsdException w:name="envelope address" w:semiHidden="1"/>
    <w:lsdException w:name="envelope return" w:semiHidden="1"/>
    <w:lsdException w:name="annotation reference" w:semiHidden="1"/>
    <w:lsdException w:name="line number"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semiHidden="1" w:uiPriority="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Hyperlink" w:semiHidden="1" w:qFormat="1"/>
    <w:lsdException w:name="FollowedHyperlink" w:semiHidden="1"/>
    <w:lsdException w:name="Strong"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styleId="BalloonText">
    <w:name w:val="Balloon Text"/>
    <w:basedOn w:val="Normal"/>
    <w:link w:val="BalloonTextChar"/>
    <w:pPr>
      <w:suppressAutoHyphens w:val="0"/>
      <w:spacing w:line="240" w:lineRule="auto"/>
    </w:pPr>
    <w:rPr>
      <w:rFonts w:ascii="Tahoma" w:hAnsi="Tahoma" w:cs="Tahoma"/>
      <w:sz w:val="16"/>
      <w:szCs w:val="16"/>
    </w:rPr>
  </w:style>
  <w:style w:type="paragraph" w:styleId="BlockText">
    <w:name w:val="Block Text"/>
    <w:basedOn w:val="Normal"/>
    <w:pPr>
      <w:ind w:left="1440" w:right="1440"/>
    </w:pPr>
  </w:style>
  <w:style w:type="paragraph" w:styleId="BodyText">
    <w:name w:val="Body Text"/>
    <w:basedOn w:val="Normal"/>
    <w:next w:val="Normal"/>
    <w:link w:val="BodyTextCha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uppressAutoHyphens w:val="0"/>
      <w:spacing w:line="240" w:lineRule="auto"/>
    </w:pPr>
    <w:rPr>
      <w:b/>
      <w:bCs/>
    </w:rPr>
  </w:style>
  <w:style w:type="paragraph" w:styleId="Closing">
    <w:name w:val="Closing"/>
    <w:basedOn w:val="Normal"/>
    <w:semiHidden/>
    <w:pPr>
      <w:ind w:left="4252"/>
    </w:p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Pr>
      <w:b/>
      <w:bCs/>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FootnoteText"/>
  </w:style>
  <w:style w:type="paragraph" w:styleId="FootnoteText">
    <w:name w:val="footnote text"/>
    <w:aliases w:val="5_G,PP,5_G_6"/>
    <w:basedOn w:val="Normal"/>
    <w:link w:val="FootnoteTextChar"/>
    <w:qFormat/>
    <w:pPr>
      <w:tabs>
        <w:tab w:val="right" w:pos="1021"/>
      </w:tabs>
      <w:spacing w:line="220" w:lineRule="exact"/>
      <w:ind w:left="1134" w:right="1134" w:hanging="1134"/>
    </w:pPr>
    <w:rPr>
      <w:sz w:val="18"/>
    </w:rPr>
  </w:style>
  <w:style w:type="paragraph" w:styleId="EnvelopeAddress">
    <w:name w:val="envelope address"/>
    <w:basedOn w:val="Normal"/>
    <w:semiHidden/>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er">
    <w:name w:val="footer"/>
    <w:basedOn w:val="Normal"/>
    <w:pPr>
      <w:spacing w:line="240" w:lineRule="auto"/>
    </w:pPr>
    <w:rPr>
      <w:sz w:val="16"/>
    </w:rPr>
  </w:style>
  <w:style w:type="paragraph" w:styleId="Header">
    <w:name w:val="header"/>
    <w:basedOn w:val="Normal"/>
    <w:link w:val="HeaderChar"/>
    <w:pPr>
      <w:pBdr>
        <w:bottom w:val="single" w:sz="4" w:space="4" w:color="auto"/>
      </w:pBdr>
      <w:spacing w:line="240" w:lineRule="auto"/>
    </w:pPr>
    <w:rPr>
      <w:b/>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PlainText">
    <w:name w:val="Plain Text"/>
    <w:basedOn w:val="Normal"/>
    <w:semiHidden/>
    <w:rPr>
      <w:rFonts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CommentReference">
    <w:name w:val="annotation reference"/>
    <w:semiHidden/>
    <w:rPr>
      <w:sz w:val="6"/>
    </w:rPr>
  </w:style>
  <w:style w:type="character" w:styleId="Emphasis">
    <w:name w:val="Emphasis"/>
    <w:qFormat/>
    <w:rPr>
      <w:i/>
      <w:iCs/>
    </w:rPr>
  </w:style>
  <w:style w:type="character" w:styleId="EndnoteReference">
    <w:name w:val="endnote reference"/>
    <w:basedOn w:val="FootnoteReference"/>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Pr>
      <w:rFonts w:ascii="Times New Roman" w:hAnsi="Times New Roman"/>
      <w:sz w:val="18"/>
      <w:vertAlign w:val="superscript"/>
    </w:rPr>
  </w:style>
  <w:style w:type="character" w:styleId="FollowedHyperlink">
    <w:name w:val="FollowedHyperlink"/>
    <w:semiHidden/>
    <w:rPr>
      <w:color w:val="auto"/>
      <w:u w:val="non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qFormat/>
    <w:rPr>
      <w:color w:val="auto"/>
      <w:u w:val="none"/>
    </w:rPr>
  </w:style>
  <w:style w:type="character" w:styleId="LineNumber">
    <w:name w:val="line number"/>
    <w:semiHidden/>
    <w:rPr>
      <w:sz w:val="14"/>
    </w:rPr>
  </w:style>
  <w:style w:type="character" w:styleId="PageNumber">
    <w:name w:val="page number"/>
    <w:rPr>
      <w:rFonts w:ascii="Times New Roman" w:hAnsi="Times New Roman"/>
      <w:b/>
      <w:sz w:val="18"/>
    </w:rPr>
  </w:style>
  <w:style w:type="character" w:styleId="Strong">
    <w:name w:val="Strong"/>
    <w:qFormat/>
    <w:rPr>
      <w:b/>
      <w:bCs/>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eaderChar">
    <w:name w:val="Header Char"/>
    <w:link w:val="Header"/>
    <w:rPr>
      <w:b/>
      <w:sz w:val="18"/>
      <w:lang w:val="en-GB" w:eastAsia="en-US" w:bidi="ar-SA"/>
    </w:rPr>
  </w:style>
  <w:style w:type="paragraph" w:customStyle="1" w:styleId="ParaNo0">
    <w:name w:val="(ParaNo.)"/>
    <w:basedOn w:val="Normal"/>
    <w:pPr>
      <w:numPr>
        <w:numId w:val="13"/>
      </w:numPr>
      <w:suppressAutoHyphens w:val="0"/>
      <w:spacing w:line="240" w:lineRule="auto"/>
    </w:pPr>
    <w:rPr>
      <w:sz w:val="24"/>
    </w:rPr>
  </w:style>
  <w:style w:type="character" w:customStyle="1" w:styleId="BalloonTextChar">
    <w:name w:val="Balloon Text Char"/>
    <w:link w:val="BalloonText"/>
    <w:rPr>
      <w:rFonts w:ascii="Tahoma" w:hAnsi="Tahoma" w:cs="Tahoma"/>
      <w:sz w:val="16"/>
      <w:szCs w:val="16"/>
      <w:lang w:val="en-GB" w:eastAsia="en-US" w:bidi="ar-SA"/>
    </w:rPr>
  </w:style>
  <w:style w:type="paragraph" w:customStyle="1" w:styleId="Rvision1">
    <w:name w:val="Révision1"/>
    <w:hidden/>
    <w:uiPriority w:val="99"/>
    <w:semiHidden/>
    <w:rPr>
      <w:sz w:val="24"/>
      <w:szCs w:val="24"/>
      <w:lang w:val="en-GB" w:eastAsia="en-US"/>
    </w:rPr>
  </w:style>
  <w:style w:type="paragraph" w:customStyle="1" w:styleId="Sansinterligne1">
    <w:name w:val="Sans interligne1"/>
    <w:link w:val="SansinterligneCar"/>
    <w:qFormat/>
    <w:rPr>
      <w:rFonts w:ascii="Calibri" w:hAnsi="Calibri"/>
      <w:sz w:val="22"/>
      <w:szCs w:val="22"/>
      <w:lang w:val="fr-FR" w:eastAsia="en-US"/>
    </w:rPr>
  </w:style>
  <w:style w:type="character" w:customStyle="1" w:styleId="SansinterligneCar">
    <w:name w:val="Sans interligne Car"/>
    <w:link w:val="Sansinterligne1"/>
    <w:rPr>
      <w:rFonts w:ascii="Calibri" w:hAnsi="Calibri"/>
      <w:sz w:val="22"/>
      <w:szCs w:val="22"/>
      <w:lang w:val="fr-FR" w:eastAsia="en-US" w:bidi="ar-SA"/>
    </w:rPr>
  </w:style>
  <w:style w:type="character" w:customStyle="1" w:styleId="FootnoteTextChar">
    <w:name w:val="Footnote Text Char"/>
    <w:aliases w:val="5_G Char,PP Char,5_G_6 Char"/>
    <w:link w:val="FootnoteText"/>
    <w:rPr>
      <w:sz w:val="18"/>
      <w:lang w:val="en-GB" w:eastAsia="en-US"/>
    </w:rPr>
  </w:style>
  <w:style w:type="paragraph" w:customStyle="1" w:styleId="Paragraphedeliste1">
    <w:name w:val="Paragraphe de liste1"/>
    <w:basedOn w:val="Normal"/>
    <w:uiPriority w:val="34"/>
    <w:qFormat/>
    <w:pPr>
      <w:ind w:left="720"/>
      <w:contextualSpacing/>
    </w:pPr>
  </w:style>
  <w:style w:type="character" w:customStyle="1" w:styleId="BodyTextChar">
    <w:name w:val="Body Text Char"/>
    <w:link w:val="BodyText"/>
    <w:rPr>
      <w:lang w:val="en-GB" w:eastAsia="en-US"/>
    </w:rPr>
  </w:style>
  <w:style w:type="paragraph" w:customStyle="1" w:styleId="Titre51">
    <w:name w:val="Titre 5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pPr>
      <w:widowControl w:val="0"/>
      <w:numPr>
        <w:numId w:val="1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pPr>
      <w:numPr>
        <w:numId w:val="15"/>
      </w:numPr>
      <w:tabs>
        <w:tab w:val="clear" w:pos="360"/>
      </w:tabs>
      <w:suppressAutoHyphens w:val="0"/>
      <w:spacing w:line="240" w:lineRule="auto"/>
    </w:pPr>
    <w:rPr>
      <w:sz w:val="24"/>
    </w:rPr>
  </w:style>
  <w:style w:type="paragraph" w:customStyle="1" w:styleId="Rom1">
    <w:name w:val="Rom1"/>
    <w:basedOn w:val="Normal"/>
    <w:pPr>
      <w:numPr>
        <w:numId w:val="16"/>
      </w:numPr>
      <w:tabs>
        <w:tab w:val="clear" w:pos="504"/>
      </w:tabs>
      <w:suppressAutoHyphens w:val="0"/>
      <w:spacing w:line="240" w:lineRule="auto"/>
      <w:ind w:left="1145" w:hanging="465"/>
    </w:pPr>
    <w:rPr>
      <w:sz w:val="24"/>
    </w:rPr>
  </w:style>
  <w:style w:type="paragraph" w:customStyle="1" w:styleId="Rom2">
    <w:name w:val="Rom2"/>
    <w:basedOn w:val="Normal"/>
    <w:pPr>
      <w:numPr>
        <w:numId w:val="17"/>
      </w:numPr>
      <w:tabs>
        <w:tab w:val="clear" w:pos="927"/>
      </w:tabs>
      <w:suppressAutoHyphens w:val="0"/>
      <w:spacing w:line="240" w:lineRule="auto"/>
      <w:ind w:left="1712" w:hanging="465"/>
    </w:pPr>
    <w:rPr>
      <w:sz w:val="24"/>
    </w:rPr>
  </w:style>
  <w:style w:type="paragraph" w:customStyle="1" w:styleId="Titre61">
    <w:name w:val="Titre 6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Effetsdetableau3D31">
    <w:name w:val="Effets de tableau 3D 31"/>
    <w:basedOn w:val="TableNormal"/>
    <w:semiHidden/>
    <w:pPr>
      <w:suppressAutoHyphens/>
      <w:spacing w:line="240" w:lineRule="atLeast"/>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auclassique11">
    <w:name w:val="Tableau classique 1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auclassique21">
    <w:name w:val="Tableau classique 2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auclassique31">
    <w:name w:val="Tableau classique 31"/>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auclassique41">
    <w:name w:val="Tableau classique 41"/>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aucolor21">
    <w:name w:val="Tableau coloré 21"/>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aucolor31">
    <w:name w:val="Tableau coloré 31"/>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Colonnesdetableau11">
    <w:name w:val="Colonnes de tableau 1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21">
    <w:name w:val="Colonnes de tableau 21"/>
    <w:basedOn w:val="TableNormal"/>
    <w:semiHidden/>
    <w:pPr>
      <w:suppressAutoHyphens/>
      <w:spacing w:line="240" w:lineRule="atLeast"/>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31">
    <w:name w:val="Colonnes de tableau 31"/>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Colonnesdetableau41">
    <w:name w:val="Colonnes de tableau 41"/>
    <w:basedOn w:val="TableNormal"/>
    <w:semiHidden/>
    <w:pPr>
      <w:suppressAutoHyphens/>
      <w:spacing w:line="240" w:lineRule="atLeast"/>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aulgant1">
    <w:name w:val="Tableau élégant1"/>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Grilledetableau41">
    <w:name w:val="Grille de tableau 41"/>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Grilledetableau61">
    <w:name w:val="Grille de tableau 6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Grilledetableau81">
    <w:name w:val="Grille de tableau 81"/>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auliste11">
    <w:name w:val="Tableau liste 1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21">
    <w:name w:val="Tableau liste 21"/>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31">
    <w:name w:val="Tableau liste 31"/>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auliste41">
    <w:name w:val="Tableau liste 4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auliste71">
    <w:name w:val="Tableau liste 71"/>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auliste81">
    <w:name w:val="Tableau liste 8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auprofessionnel1">
    <w:name w:val="Tableau professionnel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ausimple21">
    <w:name w:val="Tableau simple 21"/>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ausimple31">
    <w:name w:val="Tableau simple 3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auWeb11">
    <w:name w:val="Tableau Web 1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21">
    <w:name w:val="Tableau Web 21"/>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31">
    <w:name w:val="Tableau Web 31"/>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Frontpagetitle">
    <w:name w:val="Front page title"/>
    <w:pPr>
      <w:spacing w:line="264" w:lineRule="auto"/>
      <w:jc w:val="center"/>
    </w:pPr>
    <w:rPr>
      <w:rFonts w:ascii="Arial" w:hAnsi="Arial"/>
      <w:b/>
      <w:sz w:val="24"/>
      <w:lang w:val="en-GB" w:eastAsia="en-US"/>
    </w:rPr>
  </w:style>
  <w:style w:type="paragraph" w:customStyle="1" w:styleId="Point0">
    <w:name w:val="Point 0"/>
    <w:basedOn w:val="Normal"/>
    <w:pPr>
      <w:suppressAutoHyphens w:val="0"/>
      <w:spacing w:before="120" w:after="120" w:line="240" w:lineRule="auto"/>
      <w:ind w:left="850" w:hanging="850"/>
      <w:jc w:val="both"/>
    </w:pPr>
    <w:rPr>
      <w:sz w:val="24"/>
      <w:lang w:eastAsia="en-GB"/>
    </w:rPr>
  </w:style>
  <w:style w:type="character" w:customStyle="1" w:styleId="CommentTextChar">
    <w:name w:val="Comment Text Char"/>
    <w:link w:val="CommentText"/>
    <w:semiHidden/>
    <w:rPr>
      <w:lang w:val="en-GB" w:eastAsia="en-US"/>
    </w:rPr>
  </w:style>
  <w:style w:type="character" w:customStyle="1" w:styleId="CommentSubjectChar">
    <w:name w:val="Comment Subject Char"/>
    <w:link w:val="CommentSubject"/>
    <w:rPr>
      <w:b/>
      <w:bCs/>
      <w:lang w:val="en-GB" w:eastAsia="en-US"/>
    </w:rPr>
  </w:style>
  <w:style w:type="paragraph" w:customStyle="1" w:styleId="p3">
    <w:name w:val="p3"/>
    <w:basedOn w:val="Normal"/>
    <w:next w:val="Normal"/>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uppressAutoHyphens w:val="0"/>
      <w:spacing w:line="240" w:lineRule="auto"/>
      <w:ind w:left="720"/>
    </w:pPr>
    <w:rPr>
      <w:rFonts w:ascii="Calibri" w:eastAsia="Calibri" w:hAnsi="Calibri"/>
      <w:sz w:val="22"/>
      <w:szCs w:val="22"/>
      <w:lang w:val="en-US"/>
    </w:rPr>
  </w:style>
  <w:style w:type="character" w:customStyle="1" w:styleId="H1GChar">
    <w:name w:val="_ H_1_G Char"/>
    <w:link w:val="H1G"/>
    <w:rsid w:val="00E90CB2"/>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caption" w:qFormat="1"/>
    <w:lsdException w:name="envelope address" w:semiHidden="1"/>
    <w:lsdException w:name="envelope return" w:semiHidden="1"/>
    <w:lsdException w:name="annotation reference" w:semiHidden="1"/>
    <w:lsdException w:name="line number"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semiHidden="1" w:uiPriority="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Hyperlink" w:semiHidden="1" w:qFormat="1"/>
    <w:lsdException w:name="FollowedHyperlink" w:semiHidden="1"/>
    <w:lsdException w:name="Strong"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styleId="BalloonText">
    <w:name w:val="Balloon Text"/>
    <w:basedOn w:val="Normal"/>
    <w:link w:val="BalloonTextChar"/>
    <w:pPr>
      <w:suppressAutoHyphens w:val="0"/>
      <w:spacing w:line="240" w:lineRule="auto"/>
    </w:pPr>
    <w:rPr>
      <w:rFonts w:ascii="Tahoma" w:hAnsi="Tahoma" w:cs="Tahoma"/>
      <w:sz w:val="16"/>
      <w:szCs w:val="16"/>
    </w:rPr>
  </w:style>
  <w:style w:type="paragraph" w:styleId="BlockText">
    <w:name w:val="Block Text"/>
    <w:basedOn w:val="Normal"/>
    <w:pPr>
      <w:ind w:left="1440" w:right="1440"/>
    </w:pPr>
  </w:style>
  <w:style w:type="paragraph" w:styleId="BodyText">
    <w:name w:val="Body Text"/>
    <w:basedOn w:val="Normal"/>
    <w:next w:val="Normal"/>
    <w:link w:val="BodyTextCha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uppressAutoHyphens w:val="0"/>
      <w:spacing w:line="240" w:lineRule="auto"/>
    </w:pPr>
    <w:rPr>
      <w:b/>
      <w:bCs/>
    </w:rPr>
  </w:style>
  <w:style w:type="paragraph" w:styleId="Closing">
    <w:name w:val="Closing"/>
    <w:basedOn w:val="Normal"/>
    <w:semiHidden/>
    <w:pPr>
      <w:ind w:left="4252"/>
    </w:p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Pr>
      <w:b/>
      <w:bCs/>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FootnoteText"/>
  </w:style>
  <w:style w:type="paragraph" w:styleId="FootnoteText">
    <w:name w:val="footnote text"/>
    <w:aliases w:val="5_G,PP,5_G_6"/>
    <w:basedOn w:val="Normal"/>
    <w:link w:val="FootnoteTextChar"/>
    <w:qFormat/>
    <w:pPr>
      <w:tabs>
        <w:tab w:val="right" w:pos="1021"/>
      </w:tabs>
      <w:spacing w:line="220" w:lineRule="exact"/>
      <w:ind w:left="1134" w:right="1134" w:hanging="1134"/>
    </w:pPr>
    <w:rPr>
      <w:sz w:val="18"/>
    </w:rPr>
  </w:style>
  <w:style w:type="paragraph" w:styleId="EnvelopeAddress">
    <w:name w:val="envelope address"/>
    <w:basedOn w:val="Normal"/>
    <w:semiHidden/>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er">
    <w:name w:val="footer"/>
    <w:basedOn w:val="Normal"/>
    <w:pPr>
      <w:spacing w:line="240" w:lineRule="auto"/>
    </w:pPr>
    <w:rPr>
      <w:sz w:val="16"/>
    </w:rPr>
  </w:style>
  <w:style w:type="paragraph" w:styleId="Header">
    <w:name w:val="header"/>
    <w:basedOn w:val="Normal"/>
    <w:link w:val="HeaderChar"/>
    <w:pPr>
      <w:pBdr>
        <w:bottom w:val="single" w:sz="4" w:space="4" w:color="auto"/>
      </w:pBdr>
      <w:spacing w:line="240" w:lineRule="auto"/>
    </w:pPr>
    <w:rPr>
      <w:b/>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PlainText">
    <w:name w:val="Plain Text"/>
    <w:basedOn w:val="Normal"/>
    <w:semiHidden/>
    <w:rPr>
      <w:rFonts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CommentReference">
    <w:name w:val="annotation reference"/>
    <w:semiHidden/>
    <w:rPr>
      <w:sz w:val="6"/>
    </w:rPr>
  </w:style>
  <w:style w:type="character" w:styleId="Emphasis">
    <w:name w:val="Emphasis"/>
    <w:qFormat/>
    <w:rPr>
      <w:i/>
      <w:iCs/>
    </w:rPr>
  </w:style>
  <w:style w:type="character" w:styleId="EndnoteReference">
    <w:name w:val="endnote reference"/>
    <w:basedOn w:val="FootnoteReference"/>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Pr>
      <w:rFonts w:ascii="Times New Roman" w:hAnsi="Times New Roman"/>
      <w:sz w:val="18"/>
      <w:vertAlign w:val="superscript"/>
    </w:rPr>
  </w:style>
  <w:style w:type="character" w:styleId="FollowedHyperlink">
    <w:name w:val="FollowedHyperlink"/>
    <w:semiHidden/>
    <w:rPr>
      <w:color w:val="auto"/>
      <w:u w:val="non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qFormat/>
    <w:rPr>
      <w:color w:val="auto"/>
      <w:u w:val="none"/>
    </w:rPr>
  </w:style>
  <w:style w:type="character" w:styleId="LineNumber">
    <w:name w:val="line number"/>
    <w:semiHidden/>
    <w:rPr>
      <w:sz w:val="14"/>
    </w:rPr>
  </w:style>
  <w:style w:type="character" w:styleId="PageNumber">
    <w:name w:val="page number"/>
    <w:rPr>
      <w:rFonts w:ascii="Times New Roman" w:hAnsi="Times New Roman"/>
      <w:b/>
      <w:sz w:val="18"/>
    </w:rPr>
  </w:style>
  <w:style w:type="character" w:styleId="Strong">
    <w:name w:val="Strong"/>
    <w:qFormat/>
    <w:rPr>
      <w:b/>
      <w:bCs/>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eaderChar">
    <w:name w:val="Header Char"/>
    <w:link w:val="Header"/>
    <w:rPr>
      <w:b/>
      <w:sz w:val="18"/>
      <w:lang w:val="en-GB" w:eastAsia="en-US" w:bidi="ar-SA"/>
    </w:rPr>
  </w:style>
  <w:style w:type="paragraph" w:customStyle="1" w:styleId="ParaNo0">
    <w:name w:val="(ParaNo.)"/>
    <w:basedOn w:val="Normal"/>
    <w:pPr>
      <w:numPr>
        <w:numId w:val="13"/>
      </w:numPr>
      <w:suppressAutoHyphens w:val="0"/>
      <w:spacing w:line="240" w:lineRule="auto"/>
    </w:pPr>
    <w:rPr>
      <w:sz w:val="24"/>
    </w:rPr>
  </w:style>
  <w:style w:type="character" w:customStyle="1" w:styleId="BalloonTextChar">
    <w:name w:val="Balloon Text Char"/>
    <w:link w:val="BalloonText"/>
    <w:rPr>
      <w:rFonts w:ascii="Tahoma" w:hAnsi="Tahoma" w:cs="Tahoma"/>
      <w:sz w:val="16"/>
      <w:szCs w:val="16"/>
      <w:lang w:val="en-GB" w:eastAsia="en-US" w:bidi="ar-SA"/>
    </w:rPr>
  </w:style>
  <w:style w:type="paragraph" w:customStyle="1" w:styleId="Rvision1">
    <w:name w:val="Révision1"/>
    <w:hidden/>
    <w:uiPriority w:val="99"/>
    <w:semiHidden/>
    <w:rPr>
      <w:sz w:val="24"/>
      <w:szCs w:val="24"/>
      <w:lang w:val="en-GB" w:eastAsia="en-US"/>
    </w:rPr>
  </w:style>
  <w:style w:type="paragraph" w:customStyle="1" w:styleId="Sansinterligne1">
    <w:name w:val="Sans interligne1"/>
    <w:link w:val="SansinterligneCar"/>
    <w:qFormat/>
    <w:rPr>
      <w:rFonts w:ascii="Calibri" w:hAnsi="Calibri"/>
      <w:sz w:val="22"/>
      <w:szCs w:val="22"/>
      <w:lang w:val="fr-FR" w:eastAsia="en-US"/>
    </w:rPr>
  </w:style>
  <w:style w:type="character" w:customStyle="1" w:styleId="SansinterligneCar">
    <w:name w:val="Sans interligne Car"/>
    <w:link w:val="Sansinterligne1"/>
    <w:rPr>
      <w:rFonts w:ascii="Calibri" w:hAnsi="Calibri"/>
      <w:sz w:val="22"/>
      <w:szCs w:val="22"/>
      <w:lang w:val="fr-FR" w:eastAsia="en-US" w:bidi="ar-SA"/>
    </w:rPr>
  </w:style>
  <w:style w:type="character" w:customStyle="1" w:styleId="FootnoteTextChar">
    <w:name w:val="Footnote Text Char"/>
    <w:aliases w:val="5_G Char,PP Char,5_G_6 Char"/>
    <w:link w:val="FootnoteText"/>
    <w:rPr>
      <w:sz w:val="18"/>
      <w:lang w:val="en-GB" w:eastAsia="en-US"/>
    </w:rPr>
  </w:style>
  <w:style w:type="paragraph" w:customStyle="1" w:styleId="Paragraphedeliste1">
    <w:name w:val="Paragraphe de liste1"/>
    <w:basedOn w:val="Normal"/>
    <w:uiPriority w:val="34"/>
    <w:qFormat/>
    <w:pPr>
      <w:ind w:left="720"/>
      <w:contextualSpacing/>
    </w:pPr>
  </w:style>
  <w:style w:type="character" w:customStyle="1" w:styleId="BodyTextChar">
    <w:name w:val="Body Text Char"/>
    <w:link w:val="BodyText"/>
    <w:rPr>
      <w:lang w:val="en-GB" w:eastAsia="en-US"/>
    </w:rPr>
  </w:style>
  <w:style w:type="paragraph" w:customStyle="1" w:styleId="Titre51">
    <w:name w:val="Titre 5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pPr>
      <w:widowControl w:val="0"/>
      <w:numPr>
        <w:numId w:val="1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pPr>
      <w:numPr>
        <w:numId w:val="15"/>
      </w:numPr>
      <w:tabs>
        <w:tab w:val="clear" w:pos="360"/>
      </w:tabs>
      <w:suppressAutoHyphens w:val="0"/>
      <w:spacing w:line="240" w:lineRule="auto"/>
    </w:pPr>
    <w:rPr>
      <w:sz w:val="24"/>
    </w:rPr>
  </w:style>
  <w:style w:type="paragraph" w:customStyle="1" w:styleId="Rom1">
    <w:name w:val="Rom1"/>
    <w:basedOn w:val="Normal"/>
    <w:pPr>
      <w:numPr>
        <w:numId w:val="16"/>
      </w:numPr>
      <w:tabs>
        <w:tab w:val="clear" w:pos="504"/>
      </w:tabs>
      <w:suppressAutoHyphens w:val="0"/>
      <w:spacing w:line="240" w:lineRule="auto"/>
      <w:ind w:left="1145" w:hanging="465"/>
    </w:pPr>
    <w:rPr>
      <w:sz w:val="24"/>
    </w:rPr>
  </w:style>
  <w:style w:type="paragraph" w:customStyle="1" w:styleId="Rom2">
    <w:name w:val="Rom2"/>
    <w:basedOn w:val="Normal"/>
    <w:pPr>
      <w:numPr>
        <w:numId w:val="17"/>
      </w:numPr>
      <w:tabs>
        <w:tab w:val="clear" w:pos="927"/>
      </w:tabs>
      <w:suppressAutoHyphens w:val="0"/>
      <w:spacing w:line="240" w:lineRule="auto"/>
      <w:ind w:left="1712" w:hanging="465"/>
    </w:pPr>
    <w:rPr>
      <w:sz w:val="24"/>
    </w:rPr>
  </w:style>
  <w:style w:type="paragraph" w:customStyle="1" w:styleId="Titre61">
    <w:name w:val="Titre 6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Effetsdetableau3D31">
    <w:name w:val="Effets de tableau 3D 31"/>
    <w:basedOn w:val="TableNormal"/>
    <w:semiHidden/>
    <w:pPr>
      <w:suppressAutoHyphens/>
      <w:spacing w:line="240" w:lineRule="atLeast"/>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auclassique11">
    <w:name w:val="Tableau classique 1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auclassique21">
    <w:name w:val="Tableau classique 2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auclassique31">
    <w:name w:val="Tableau classique 31"/>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auclassique41">
    <w:name w:val="Tableau classique 41"/>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aucolor21">
    <w:name w:val="Tableau coloré 21"/>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aucolor31">
    <w:name w:val="Tableau coloré 31"/>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Colonnesdetableau11">
    <w:name w:val="Colonnes de tableau 1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21">
    <w:name w:val="Colonnes de tableau 21"/>
    <w:basedOn w:val="TableNormal"/>
    <w:semiHidden/>
    <w:pPr>
      <w:suppressAutoHyphens/>
      <w:spacing w:line="240" w:lineRule="atLeast"/>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31">
    <w:name w:val="Colonnes de tableau 31"/>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Colonnesdetableau41">
    <w:name w:val="Colonnes de tableau 41"/>
    <w:basedOn w:val="TableNormal"/>
    <w:semiHidden/>
    <w:pPr>
      <w:suppressAutoHyphens/>
      <w:spacing w:line="240" w:lineRule="atLeast"/>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aulgant1">
    <w:name w:val="Tableau élégant1"/>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Grilledetableau41">
    <w:name w:val="Grille de tableau 41"/>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Grilledetableau61">
    <w:name w:val="Grille de tableau 6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Grilledetableau81">
    <w:name w:val="Grille de tableau 81"/>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auliste11">
    <w:name w:val="Tableau liste 1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21">
    <w:name w:val="Tableau liste 21"/>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31">
    <w:name w:val="Tableau liste 31"/>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auliste41">
    <w:name w:val="Tableau liste 4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auliste71">
    <w:name w:val="Tableau liste 71"/>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auliste81">
    <w:name w:val="Tableau liste 8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auprofessionnel1">
    <w:name w:val="Tableau professionnel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ausimple21">
    <w:name w:val="Tableau simple 21"/>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ausimple31">
    <w:name w:val="Tableau simple 3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auWeb11">
    <w:name w:val="Tableau Web 1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21">
    <w:name w:val="Tableau Web 21"/>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31">
    <w:name w:val="Tableau Web 31"/>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Frontpagetitle">
    <w:name w:val="Front page title"/>
    <w:pPr>
      <w:spacing w:line="264" w:lineRule="auto"/>
      <w:jc w:val="center"/>
    </w:pPr>
    <w:rPr>
      <w:rFonts w:ascii="Arial" w:hAnsi="Arial"/>
      <w:b/>
      <w:sz w:val="24"/>
      <w:lang w:val="en-GB" w:eastAsia="en-US"/>
    </w:rPr>
  </w:style>
  <w:style w:type="paragraph" w:customStyle="1" w:styleId="Point0">
    <w:name w:val="Point 0"/>
    <w:basedOn w:val="Normal"/>
    <w:pPr>
      <w:suppressAutoHyphens w:val="0"/>
      <w:spacing w:before="120" w:after="120" w:line="240" w:lineRule="auto"/>
      <w:ind w:left="850" w:hanging="850"/>
      <w:jc w:val="both"/>
    </w:pPr>
    <w:rPr>
      <w:sz w:val="24"/>
      <w:lang w:eastAsia="en-GB"/>
    </w:rPr>
  </w:style>
  <w:style w:type="character" w:customStyle="1" w:styleId="CommentTextChar">
    <w:name w:val="Comment Text Char"/>
    <w:link w:val="CommentText"/>
    <w:semiHidden/>
    <w:rPr>
      <w:lang w:val="en-GB" w:eastAsia="en-US"/>
    </w:rPr>
  </w:style>
  <w:style w:type="character" w:customStyle="1" w:styleId="CommentSubjectChar">
    <w:name w:val="Comment Subject Char"/>
    <w:link w:val="CommentSubject"/>
    <w:rPr>
      <w:b/>
      <w:bCs/>
      <w:lang w:val="en-GB" w:eastAsia="en-US"/>
    </w:rPr>
  </w:style>
  <w:style w:type="paragraph" w:customStyle="1" w:styleId="p3">
    <w:name w:val="p3"/>
    <w:basedOn w:val="Normal"/>
    <w:next w:val="Normal"/>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uppressAutoHyphens w:val="0"/>
      <w:spacing w:line="240" w:lineRule="auto"/>
      <w:ind w:left="720"/>
    </w:pPr>
    <w:rPr>
      <w:rFonts w:ascii="Calibri" w:eastAsia="Calibri" w:hAnsi="Calibri"/>
      <w:sz w:val="22"/>
      <w:szCs w:val="22"/>
      <w:lang w:val="en-US"/>
    </w:rPr>
  </w:style>
  <w:style w:type="character" w:customStyle="1" w:styleId="H1GChar">
    <w:name w:val="_ H_1_G Char"/>
    <w:link w:val="H1G"/>
    <w:rsid w:val="00E90CB2"/>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Wet Grip</dc:subject>
  <dc:creator>Peter.BROERTJES@ec.europa.eu</dc:creator>
  <cp:lastModifiedBy>Hubert Romain</cp:lastModifiedBy>
  <cp:revision>3</cp:revision>
  <cp:lastPrinted>2018-10-09T06:11:00Z</cp:lastPrinted>
  <dcterms:created xsi:type="dcterms:W3CDTF">2018-10-09T06:11:00Z</dcterms:created>
  <dcterms:modified xsi:type="dcterms:W3CDTF">2018-10-09T06:12:00Z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1033-10.2.0.5978</vt:lpwstr>
  </property>
</Properties>
</file>