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3E53B" w14:textId="77777777" w:rsidR="00B95548" w:rsidRPr="00ED219F" w:rsidRDefault="00B95548" w:rsidP="002E58D5">
      <w:pPr>
        <w:spacing w:after="120"/>
        <w:ind w:left="993"/>
        <w:jc w:val="center"/>
        <w:rPr>
          <w:b/>
          <w:sz w:val="22"/>
        </w:rPr>
      </w:pPr>
      <w:r w:rsidRPr="00ED219F">
        <w:rPr>
          <w:b/>
          <w:sz w:val="22"/>
        </w:rPr>
        <w:t>Proposal for amendment</w:t>
      </w:r>
      <w:r w:rsidR="00E15638" w:rsidRPr="00ED219F">
        <w:rPr>
          <w:b/>
          <w:sz w:val="22"/>
        </w:rPr>
        <w:t>s</w:t>
      </w:r>
      <w:r w:rsidRPr="00ED219F">
        <w:rPr>
          <w:b/>
          <w:sz w:val="22"/>
        </w:rPr>
        <w:t xml:space="preserve"> </w:t>
      </w:r>
      <w:r w:rsidR="00ED219F" w:rsidRPr="00ED219F">
        <w:rPr>
          <w:b/>
          <w:sz w:val="22"/>
        </w:rPr>
        <w:t xml:space="preserve">to the </w:t>
      </w:r>
      <w:r w:rsidR="00476F7A">
        <w:rPr>
          <w:b/>
          <w:sz w:val="22"/>
        </w:rPr>
        <w:t>01</w:t>
      </w:r>
      <w:r w:rsidR="00ED219F" w:rsidRPr="00ED219F">
        <w:rPr>
          <w:b/>
          <w:sz w:val="22"/>
        </w:rPr>
        <w:t xml:space="preserve"> series of amendments to</w:t>
      </w:r>
      <w:r w:rsidRPr="00ED219F">
        <w:rPr>
          <w:b/>
          <w:sz w:val="22"/>
        </w:rPr>
        <w:t xml:space="preserve"> UN R</w:t>
      </w:r>
      <w:r w:rsidR="00ED219F" w:rsidRPr="00ED219F">
        <w:rPr>
          <w:b/>
          <w:sz w:val="22"/>
        </w:rPr>
        <w:t xml:space="preserve">egulation No. </w:t>
      </w:r>
      <w:r w:rsidR="00476F7A">
        <w:rPr>
          <w:b/>
          <w:sz w:val="22"/>
        </w:rPr>
        <w:t>13</w:t>
      </w:r>
      <w:r w:rsidR="002E58D5">
        <w:rPr>
          <w:b/>
          <w:sz w:val="22"/>
        </w:rPr>
        <w:t>-H</w:t>
      </w:r>
      <w:r w:rsidR="002F12F5">
        <w:rPr>
          <w:b/>
          <w:sz w:val="22"/>
        </w:rPr>
        <w:t xml:space="preserve"> and </w:t>
      </w:r>
      <w:r w:rsidR="004B428A">
        <w:rPr>
          <w:b/>
          <w:sz w:val="22"/>
        </w:rPr>
        <w:t xml:space="preserve">to UN Regulation No. </w:t>
      </w:r>
      <w:r w:rsidR="002F12F5">
        <w:rPr>
          <w:b/>
          <w:sz w:val="22"/>
        </w:rPr>
        <w:t>R13</w:t>
      </w:r>
    </w:p>
    <w:p w14:paraId="596DFD78" w14:textId="77777777" w:rsidR="00852734" w:rsidRDefault="00852734" w:rsidP="00824F34">
      <w:pPr>
        <w:pStyle w:val="ListParagraph"/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494"/>
        <w:rPr>
          <w:b/>
          <w:iCs/>
          <w:lang w:eastAsia="nl-NL"/>
        </w:rPr>
      </w:pPr>
    </w:p>
    <w:p w14:paraId="6BA1DA27" w14:textId="77777777" w:rsidR="00891D13" w:rsidRPr="00526432" w:rsidRDefault="00891D13" w:rsidP="00891D13">
      <w:pPr>
        <w:pStyle w:val="ListParagraph"/>
        <w:keepNext/>
        <w:keepLines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b/>
          <w:iCs/>
          <w:sz w:val="24"/>
          <w:lang w:eastAsia="nl-NL"/>
        </w:rPr>
      </w:pPr>
      <w:r w:rsidRPr="00526432">
        <w:rPr>
          <w:b/>
          <w:iCs/>
          <w:sz w:val="24"/>
          <w:lang w:eastAsia="nl-NL"/>
        </w:rPr>
        <w:t>Proposal</w:t>
      </w:r>
      <w:r>
        <w:rPr>
          <w:b/>
          <w:iCs/>
          <w:sz w:val="24"/>
          <w:lang w:eastAsia="nl-NL"/>
        </w:rPr>
        <w:t xml:space="preserve"> </w:t>
      </w:r>
    </w:p>
    <w:p w14:paraId="3B3B0A25" w14:textId="77777777" w:rsidR="00852734" w:rsidRDefault="00852734" w:rsidP="00921A4B">
      <w:pPr>
        <w:pStyle w:val="ListParagraph"/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-142"/>
        <w:rPr>
          <w:b/>
          <w:iCs/>
          <w:lang w:eastAsia="nl-NL"/>
        </w:rPr>
      </w:pPr>
    </w:p>
    <w:p w14:paraId="63011092" w14:textId="77777777" w:rsidR="002F12F5" w:rsidRPr="004B428A" w:rsidRDefault="004B428A" w:rsidP="00921A4B">
      <w:pPr>
        <w:pStyle w:val="ListParagraph"/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-142"/>
        <w:rPr>
          <w:b/>
          <w:iCs/>
          <w:lang w:eastAsia="nl-NL"/>
        </w:rPr>
      </w:pPr>
      <w:r w:rsidRPr="004B428A">
        <w:rPr>
          <w:b/>
          <w:iCs/>
          <w:lang w:eastAsia="nl-NL"/>
        </w:rPr>
        <w:t xml:space="preserve">UN Regulation </w:t>
      </w:r>
      <w:r w:rsidR="002F12F5" w:rsidRPr="004B428A">
        <w:rPr>
          <w:b/>
          <w:iCs/>
          <w:lang w:eastAsia="nl-NL"/>
        </w:rPr>
        <w:t>R13H</w:t>
      </w:r>
    </w:p>
    <w:p w14:paraId="3AE596CB" w14:textId="77777777" w:rsidR="00824F34" w:rsidRDefault="00824F34" w:rsidP="00824F34">
      <w:pPr>
        <w:pStyle w:val="ListParagraph"/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494"/>
        <w:rPr>
          <w:b/>
          <w:iCs/>
          <w:lang w:eastAsia="nl-NL"/>
        </w:rPr>
      </w:pPr>
    </w:p>
    <w:p w14:paraId="14D6B6DA" w14:textId="77777777" w:rsidR="000F106D" w:rsidRDefault="00F633EF" w:rsidP="00B95548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/>
        <w:rPr>
          <w:i/>
          <w:iCs/>
          <w:lang w:eastAsia="nl-NL"/>
        </w:rPr>
      </w:pPr>
      <w:r>
        <w:rPr>
          <w:i/>
          <w:iCs/>
          <w:lang w:eastAsia="nl-NL"/>
        </w:rPr>
        <w:t xml:space="preserve">Paragraph </w:t>
      </w:r>
      <w:r w:rsidR="000F106D">
        <w:rPr>
          <w:i/>
          <w:iCs/>
          <w:lang w:eastAsia="nl-NL"/>
        </w:rPr>
        <w:t>5.2.10</w:t>
      </w:r>
      <w:r>
        <w:rPr>
          <w:i/>
          <w:iCs/>
          <w:lang w:eastAsia="nl-NL"/>
        </w:rPr>
        <w:t xml:space="preserve"> </w:t>
      </w:r>
      <w:r w:rsidRPr="00923729">
        <w:rPr>
          <w:iCs/>
          <w:lang w:eastAsia="nl-NL"/>
        </w:rPr>
        <w:t>amend to read:</w:t>
      </w:r>
    </w:p>
    <w:p w14:paraId="0C317927" w14:textId="77777777" w:rsidR="00450674" w:rsidRDefault="000F106D" w:rsidP="000F106D">
      <w:pPr>
        <w:spacing w:after="120"/>
        <w:ind w:left="2268" w:right="1134" w:hanging="1134"/>
        <w:jc w:val="both"/>
        <w:rPr>
          <w:iCs/>
          <w:lang w:eastAsia="nl-NL"/>
        </w:rPr>
      </w:pPr>
      <w:r w:rsidRPr="000F106D">
        <w:rPr>
          <w:iCs/>
          <w:lang w:eastAsia="nl-NL"/>
        </w:rPr>
        <w:t>“</w:t>
      </w:r>
      <w:r w:rsidR="00450674" w:rsidRPr="00450674">
        <w:rPr>
          <w:iCs/>
          <w:lang w:eastAsia="nl-NL"/>
        </w:rPr>
        <w:t>5.2.10.</w:t>
      </w:r>
      <w:r w:rsidR="00450674" w:rsidRPr="00450674">
        <w:rPr>
          <w:iCs/>
          <w:lang w:eastAsia="nl-NL"/>
        </w:rPr>
        <w:tab/>
        <w:t xml:space="preserve">The service, secondary and parking braking systems shall </w:t>
      </w:r>
      <w:r w:rsidR="00450674">
        <w:rPr>
          <w:iCs/>
          <w:lang w:eastAsia="nl-NL"/>
        </w:rPr>
        <w:t xml:space="preserve">… </w:t>
      </w:r>
    </w:p>
    <w:p w14:paraId="61018A3C" w14:textId="77777777" w:rsidR="00450674" w:rsidRDefault="000F106D" w:rsidP="00450674">
      <w:pPr>
        <w:spacing w:after="120"/>
        <w:ind w:left="2268" w:right="1134"/>
        <w:jc w:val="both"/>
        <w:rPr>
          <w:iCs/>
          <w:lang w:eastAsia="nl-NL"/>
        </w:rPr>
      </w:pPr>
      <w:r w:rsidRPr="000F106D">
        <w:rPr>
          <w:iCs/>
          <w:lang w:eastAsia="nl-NL"/>
        </w:rPr>
        <w:t>…</w:t>
      </w:r>
      <w:r w:rsidRPr="000F106D">
        <w:rPr>
          <w:iCs/>
          <w:lang w:eastAsia="nl-NL"/>
        </w:rPr>
        <w:tab/>
      </w:r>
    </w:p>
    <w:p w14:paraId="1320FB10" w14:textId="77777777" w:rsidR="000F106D" w:rsidRPr="000F106D" w:rsidRDefault="000F106D" w:rsidP="00450674">
      <w:pPr>
        <w:spacing w:after="120"/>
        <w:ind w:left="2268" w:right="1134"/>
        <w:jc w:val="both"/>
      </w:pPr>
      <w:r w:rsidRPr="000F106D">
        <w:rPr>
          <w:iCs/>
          <w:lang w:eastAsia="nl-NL"/>
        </w:rPr>
        <w:t xml:space="preserve">Nevertheless, in all cases, </w:t>
      </w:r>
      <w:r w:rsidRPr="000F106D">
        <w:t>the permanently connected friction braking source shall ensure that both the service and secondary braking systems continue to operate with the prescribed degree of effectiveness.</w:t>
      </w:r>
    </w:p>
    <w:p w14:paraId="734C516D" w14:textId="77777777" w:rsidR="00852734" w:rsidRDefault="000F106D" w:rsidP="00176BA9">
      <w:pPr>
        <w:spacing w:after="120"/>
        <w:ind w:left="2268" w:right="1134"/>
        <w:jc w:val="both"/>
        <w:rPr>
          <w:b/>
          <w:iCs/>
          <w:lang w:eastAsia="nl-NL"/>
        </w:rPr>
      </w:pPr>
      <w:r w:rsidRPr="000F106D">
        <w:t>Disconnection of the braking surfaces of the parking braking system shall be permitted only on condition that the disconnection is controlled</w:t>
      </w:r>
      <w:r w:rsidRPr="000F106D">
        <w:rPr>
          <w:iCs/>
          <w:lang w:eastAsia="nl-NL"/>
        </w:rPr>
        <w:t xml:space="preserve"> </w:t>
      </w:r>
      <w:r w:rsidRPr="00621247">
        <w:rPr>
          <w:b/>
          <w:iCs/>
          <w:strike/>
          <w:lang w:eastAsia="nl-NL"/>
        </w:rPr>
        <w:t>exclusively</w:t>
      </w:r>
      <w:r w:rsidRPr="000F106D">
        <w:rPr>
          <w:iCs/>
          <w:lang w:eastAsia="nl-NL"/>
        </w:rPr>
        <w:t xml:space="preserve"> by the driver from his driving seat</w:t>
      </w:r>
      <w:r w:rsidR="00621247">
        <w:rPr>
          <w:iCs/>
          <w:lang w:eastAsia="nl-NL"/>
        </w:rPr>
        <w:t xml:space="preserve"> </w:t>
      </w:r>
      <w:r w:rsidR="00094C7B" w:rsidRPr="00094C7B">
        <w:rPr>
          <w:b/>
          <w:iCs/>
          <w:lang w:eastAsia="nl-NL"/>
        </w:rPr>
        <w:t>or from a remote control device</w:t>
      </w:r>
      <w:r w:rsidRPr="000F106D">
        <w:rPr>
          <w:iCs/>
          <w:lang w:eastAsia="nl-NL"/>
        </w:rPr>
        <w:t>, by a system incapable of being brought into action by a leak</w:t>
      </w:r>
      <w:r w:rsidRPr="00450674">
        <w:rPr>
          <w:b/>
          <w:iCs/>
          <w:lang w:eastAsia="nl-NL"/>
        </w:rPr>
        <w:t>.</w:t>
      </w:r>
    </w:p>
    <w:p w14:paraId="51DCC0C7" w14:textId="77777777" w:rsidR="000F106D" w:rsidRDefault="00094C7B" w:rsidP="00176BA9">
      <w:pPr>
        <w:spacing w:after="120"/>
        <w:ind w:left="2268" w:right="1134"/>
        <w:jc w:val="both"/>
        <w:rPr>
          <w:lang w:val="en-US"/>
        </w:rPr>
      </w:pPr>
      <w:r>
        <w:rPr>
          <w:b/>
          <w:lang w:val="en-US"/>
        </w:rPr>
        <w:t xml:space="preserve">The remote control device mentioned above shall be </w:t>
      </w:r>
      <w:r w:rsidR="000F106D" w:rsidRPr="00450674">
        <w:rPr>
          <w:b/>
          <w:lang w:val="en-US"/>
        </w:rPr>
        <w:t xml:space="preserve">part of a system </w:t>
      </w:r>
      <w:r>
        <w:rPr>
          <w:b/>
          <w:lang w:val="en-US"/>
        </w:rPr>
        <w:t xml:space="preserve">fulfilling the technical requirements of </w:t>
      </w:r>
      <w:r w:rsidR="000F106D" w:rsidRPr="00450674">
        <w:rPr>
          <w:b/>
          <w:lang w:val="en-US"/>
        </w:rPr>
        <w:t>Regulation No. 79.02 or later series of amendment.</w:t>
      </w:r>
      <w:r w:rsidR="000F106D" w:rsidRPr="00450674">
        <w:rPr>
          <w:lang w:val="en-US"/>
        </w:rPr>
        <w:t>”</w:t>
      </w:r>
    </w:p>
    <w:p w14:paraId="1CDC67A4" w14:textId="77777777" w:rsidR="00621247" w:rsidRPr="000F106D" w:rsidRDefault="00621247" w:rsidP="000F106D">
      <w:pPr>
        <w:spacing w:after="120"/>
        <w:ind w:left="2268" w:right="1134" w:hanging="1134"/>
        <w:jc w:val="both"/>
        <w:rPr>
          <w:iCs/>
          <w:lang w:eastAsia="nl-NL"/>
        </w:rPr>
      </w:pPr>
    </w:p>
    <w:p w14:paraId="4E80ADC8" w14:textId="77777777" w:rsidR="00B95548" w:rsidRPr="00923729" w:rsidRDefault="00B95548" w:rsidP="00B95548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/>
        <w:rPr>
          <w:iCs/>
          <w:lang w:eastAsia="nl-NL"/>
        </w:rPr>
      </w:pPr>
      <w:r w:rsidRPr="00923729">
        <w:rPr>
          <w:i/>
          <w:iCs/>
          <w:lang w:eastAsia="nl-NL"/>
        </w:rPr>
        <w:t>Paragraph</w:t>
      </w:r>
      <w:r w:rsidR="002F12F5">
        <w:rPr>
          <w:i/>
          <w:iCs/>
          <w:lang w:eastAsia="nl-NL"/>
        </w:rPr>
        <w:t xml:space="preserve"> </w:t>
      </w:r>
      <w:r w:rsidR="009D1BAC">
        <w:rPr>
          <w:i/>
          <w:iCs/>
          <w:lang w:eastAsia="nl-NL"/>
        </w:rPr>
        <w:t xml:space="preserve">5.2.19.4. </w:t>
      </w:r>
      <w:r w:rsidR="00176BA9" w:rsidRPr="00176BA9">
        <w:rPr>
          <w:iCs/>
          <w:lang w:eastAsia="nl-NL"/>
        </w:rPr>
        <w:t>and new footnote</w:t>
      </w:r>
      <w:r w:rsidR="00176BA9">
        <w:rPr>
          <w:i/>
          <w:iCs/>
          <w:lang w:eastAsia="nl-NL"/>
        </w:rPr>
        <w:t xml:space="preserve"> </w:t>
      </w:r>
      <w:r w:rsidRPr="00923729">
        <w:rPr>
          <w:iCs/>
          <w:lang w:eastAsia="nl-NL"/>
        </w:rPr>
        <w:t>amend to read:</w:t>
      </w:r>
    </w:p>
    <w:p w14:paraId="3997BC21" w14:textId="43CFAC53" w:rsidR="00176BA9" w:rsidRDefault="00127760" w:rsidP="002E58D5">
      <w:pPr>
        <w:spacing w:after="120"/>
        <w:ind w:left="2268" w:right="1134" w:hanging="1134"/>
        <w:jc w:val="both"/>
      </w:pPr>
      <w:r w:rsidRPr="00923729">
        <w:t>"</w:t>
      </w:r>
      <w:r w:rsidR="002E58D5">
        <w:t>5.2.19.4.</w:t>
      </w:r>
      <w:r w:rsidR="002E58D5">
        <w:tab/>
        <w:t>After the ignition/start switch which controls the electrical energy for the braking equipment has been switched off and/or the key removed</w:t>
      </w:r>
      <w:r w:rsidR="00621247">
        <w:t>,</w:t>
      </w:r>
      <w:r w:rsidR="002E58D5">
        <w:t xml:space="preserve"> it shall remain possible to apply the parking braking system, wherea</w:t>
      </w:r>
      <w:r w:rsidR="00176BA9">
        <w:t>s releasing shall be prevented.</w:t>
      </w:r>
    </w:p>
    <w:p w14:paraId="0D191C1A" w14:textId="77777777" w:rsidR="007E7D70" w:rsidRDefault="002E58D5" w:rsidP="00176BA9">
      <w:pPr>
        <w:spacing w:after="120"/>
        <w:ind w:left="2268" w:right="1134"/>
        <w:jc w:val="both"/>
        <w:rPr>
          <w:b/>
        </w:rPr>
      </w:pPr>
      <w:r w:rsidRPr="00450674">
        <w:rPr>
          <w:b/>
        </w:rPr>
        <w:t xml:space="preserve">However, the parking braking system </w:t>
      </w:r>
      <w:r w:rsidR="00730998" w:rsidRPr="00450674">
        <w:rPr>
          <w:b/>
        </w:rPr>
        <w:t>may</w:t>
      </w:r>
      <w:r w:rsidRPr="00450674">
        <w:rPr>
          <w:b/>
        </w:rPr>
        <w:t xml:space="preserve"> </w:t>
      </w:r>
      <w:r w:rsidR="003E72A3">
        <w:rPr>
          <w:b/>
        </w:rPr>
        <w:t xml:space="preserve">also </w:t>
      </w:r>
      <w:r w:rsidRPr="00450674">
        <w:rPr>
          <w:b/>
        </w:rPr>
        <w:t xml:space="preserve">be released </w:t>
      </w:r>
      <w:r w:rsidR="003D4CB3">
        <w:rPr>
          <w:b/>
        </w:rPr>
        <w:t>when</w:t>
      </w:r>
      <w:r w:rsidR="003D4CB3" w:rsidRPr="00450674">
        <w:rPr>
          <w:b/>
        </w:rPr>
        <w:t xml:space="preserve"> </w:t>
      </w:r>
      <w:r w:rsidRPr="00450674">
        <w:rPr>
          <w:b/>
        </w:rPr>
        <w:t xml:space="preserve">this </w:t>
      </w:r>
      <w:r w:rsidR="007E7D70" w:rsidRPr="00450674">
        <w:rPr>
          <w:b/>
        </w:rPr>
        <w:t xml:space="preserve">action is part of </w:t>
      </w:r>
      <w:r w:rsidR="003D4CB3">
        <w:rPr>
          <w:b/>
          <w:lang w:val="en-US"/>
        </w:rPr>
        <w:t>an</w:t>
      </w:r>
      <w:r w:rsidR="003D4CB3" w:rsidRPr="00450674">
        <w:rPr>
          <w:b/>
          <w:lang w:val="en-US"/>
        </w:rPr>
        <w:t xml:space="preserve"> </w:t>
      </w:r>
      <w:r w:rsidR="000F106D" w:rsidRPr="00450674">
        <w:rPr>
          <w:b/>
          <w:lang w:val="en-US"/>
        </w:rPr>
        <w:t xml:space="preserve">operation of a </w:t>
      </w:r>
      <w:r w:rsidR="00526E52">
        <w:rPr>
          <w:b/>
          <w:lang w:val="en-US"/>
        </w:rPr>
        <w:t>r</w:t>
      </w:r>
      <w:r w:rsidR="000F106D" w:rsidRPr="00450674">
        <w:rPr>
          <w:b/>
          <w:lang w:val="en-US"/>
        </w:rPr>
        <w:t xml:space="preserve">emote </w:t>
      </w:r>
      <w:r w:rsidR="00526E52">
        <w:rPr>
          <w:b/>
          <w:lang w:val="en-US"/>
        </w:rPr>
        <w:t>c</w:t>
      </w:r>
      <w:r w:rsidR="000F106D" w:rsidRPr="00450674">
        <w:rPr>
          <w:b/>
          <w:lang w:val="en-US"/>
        </w:rPr>
        <w:t xml:space="preserve">ontrol system </w:t>
      </w:r>
      <w:r w:rsidR="00094C7B">
        <w:rPr>
          <w:b/>
          <w:lang w:val="en-US"/>
        </w:rPr>
        <w:t xml:space="preserve">fulfilling the technical requirements of </w:t>
      </w:r>
      <w:r w:rsidR="000F106D" w:rsidRPr="00450674">
        <w:rPr>
          <w:b/>
          <w:lang w:val="en-US"/>
        </w:rPr>
        <w:t>Regulation No. 79.02 or later series of amendment</w:t>
      </w:r>
      <w:r w:rsidR="001E44EC" w:rsidRPr="00450674">
        <w:rPr>
          <w:b/>
        </w:rPr>
        <w:t>.</w:t>
      </w:r>
      <w:r w:rsidR="00450674" w:rsidRPr="00450674">
        <w:t>”</w:t>
      </w:r>
    </w:p>
    <w:p w14:paraId="1DF95A19" w14:textId="77777777" w:rsidR="00386DA4" w:rsidRDefault="00386DA4" w:rsidP="009D1BAC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/>
        <w:rPr>
          <w:i/>
          <w:iCs/>
          <w:lang w:eastAsia="nl-NL"/>
        </w:rPr>
      </w:pPr>
    </w:p>
    <w:p w14:paraId="02022E4D" w14:textId="77777777" w:rsidR="009D1BAC" w:rsidRPr="00923729" w:rsidRDefault="009D1BAC" w:rsidP="009D1BAC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/>
        <w:rPr>
          <w:iCs/>
          <w:lang w:eastAsia="nl-NL"/>
        </w:rPr>
      </w:pPr>
      <w:r w:rsidRPr="00923729">
        <w:rPr>
          <w:i/>
          <w:iCs/>
          <w:lang w:eastAsia="nl-NL"/>
        </w:rPr>
        <w:t>Paragraph</w:t>
      </w:r>
      <w:r w:rsidR="00C01B47">
        <w:rPr>
          <w:i/>
          <w:iCs/>
          <w:lang w:eastAsia="nl-NL"/>
        </w:rPr>
        <w:t xml:space="preserve"> </w:t>
      </w:r>
      <w:r>
        <w:rPr>
          <w:i/>
          <w:iCs/>
          <w:lang w:eastAsia="nl-NL"/>
        </w:rPr>
        <w:t xml:space="preserve">5.2.22.4. </w:t>
      </w:r>
      <w:r w:rsidR="00176BA9" w:rsidRPr="00176BA9">
        <w:rPr>
          <w:iCs/>
          <w:lang w:eastAsia="nl-NL"/>
        </w:rPr>
        <w:t>and corresponding footnote</w:t>
      </w:r>
      <w:r w:rsidR="00176BA9">
        <w:rPr>
          <w:i/>
          <w:iCs/>
          <w:lang w:eastAsia="nl-NL"/>
        </w:rPr>
        <w:t xml:space="preserve"> </w:t>
      </w:r>
      <w:r w:rsidRPr="00923729">
        <w:rPr>
          <w:iCs/>
          <w:lang w:eastAsia="nl-NL"/>
        </w:rPr>
        <w:t>amend to read:</w:t>
      </w:r>
    </w:p>
    <w:p w14:paraId="28B702CF" w14:textId="77777777" w:rsidR="002E58D5" w:rsidRDefault="002E58D5" w:rsidP="007E7D70">
      <w:pPr>
        <w:spacing w:after="120"/>
        <w:ind w:left="2268" w:right="1134" w:hanging="1134"/>
        <w:jc w:val="both"/>
      </w:pPr>
      <w:r w:rsidRPr="00923729">
        <w:t>"</w:t>
      </w:r>
      <w:r w:rsidR="007E7D70">
        <w:t>5.2.22</w:t>
      </w:r>
      <w:r>
        <w:t>.4.</w:t>
      </w:r>
      <w:r>
        <w:tab/>
      </w:r>
      <w:r w:rsidR="007E7D70">
        <w:t>Electric regenerative braking systems as defined in Paragraph 2.17., of this Regulation, which produce a retarding force upon release of the accelerator control, shall generate the signal mentioned above according to the following provisions: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3037"/>
        <w:gridCol w:w="3059"/>
      </w:tblGrid>
      <w:tr w:rsidR="007E7D70" w:rsidRPr="007E7D70" w14:paraId="76C1C7A9" w14:textId="77777777" w:rsidTr="007E7D70">
        <w:tc>
          <w:tcPr>
            <w:tcW w:w="3037" w:type="dxa"/>
          </w:tcPr>
          <w:p w14:paraId="0FF399F1" w14:textId="77777777" w:rsidR="007E7D70" w:rsidRPr="00450674" w:rsidRDefault="007E7D70" w:rsidP="007E7D7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Cs/>
                <w:i/>
                <w:lang w:val="en-US"/>
              </w:rPr>
            </w:pPr>
            <w:r w:rsidRPr="00450674">
              <w:rPr>
                <w:rFonts w:eastAsiaTheme="minorHAnsi"/>
                <w:bCs/>
                <w:i/>
                <w:lang w:val="en-US"/>
              </w:rPr>
              <w:t xml:space="preserve">Vehicle decelerations </w:t>
            </w:r>
          </w:p>
          <w:p w14:paraId="0F657BC2" w14:textId="77777777" w:rsidR="007E7D70" w:rsidRPr="00450674" w:rsidRDefault="007E7D70" w:rsidP="00824F34">
            <w:pPr>
              <w:pStyle w:val="ListParagraph"/>
              <w:keepNext/>
              <w:keepLines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rPr>
                <w:i/>
                <w:iCs/>
                <w:lang w:eastAsia="nl-NL"/>
              </w:rPr>
            </w:pPr>
          </w:p>
        </w:tc>
        <w:tc>
          <w:tcPr>
            <w:tcW w:w="3059" w:type="dxa"/>
          </w:tcPr>
          <w:p w14:paraId="434986B6" w14:textId="77777777" w:rsidR="007E7D70" w:rsidRPr="00450674" w:rsidRDefault="007E7D70" w:rsidP="00824F34">
            <w:pPr>
              <w:pStyle w:val="ListParagraph"/>
              <w:keepNext/>
              <w:keepLines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rPr>
                <w:i/>
                <w:iCs/>
                <w:lang w:eastAsia="nl-NL"/>
              </w:rPr>
            </w:pPr>
            <w:r w:rsidRPr="00450674">
              <w:rPr>
                <w:rFonts w:eastAsiaTheme="minorHAnsi"/>
                <w:bCs/>
                <w:i/>
                <w:lang w:val="en-US"/>
              </w:rPr>
              <w:t>Signal generation</w:t>
            </w:r>
          </w:p>
        </w:tc>
      </w:tr>
      <w:tr w:rsidR="007E7D70" w:rsidRPr="007E7D70" w14:paraId="38C81819" w14:textId="77777777" w:rsidTr="007E7D70">
        <w:tc>
          <w:tcPr>
            <w:tcW w:w="3037" w:type="dxa"/>
          </w:tcPr>
          <w:p w14:paraId="03158C8B" w14:textId="77777777" w:rsidR="007E7D70" w:rsidRPr="00450674" w:rsidRDefault="007E7D70" w:rsidP="00824F34">
            <w:pPr>
              <w:pStyle w:val="ListParagraph"/>
              <w:keepNext/>
              <w:keepLines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rPr>
                <w:iCs/>
                <w:strike/>
                <w:lang w:eastAsia="nl-NL"/>
              </w:rPr>
            </w:pPr>
            <w:r w:rsidRPr="00450674">
              <w:rPr>
                <w:rFonts w:eastAsia="ArialMT"/>
                <w:strike/>
                <w:lang w:val="en-US"/>
              </w:rPr>
              <w:t>≤</w:t>
            </w:r>
            <w:r w:rsidRPr="00450674">
              <w:rPr>
                <w:rFonts w:eastAsiaTheme="minorHAnsi"/>
                <w:strike/>
                <w:lang w:val="en-US"/>
              </w:rPr>
              <w:t>0.7m/s</w:t>
            </w:r>
            <w:r w:rsidRPr="00450674">
              <w:rPr>
                <w:rFonts w:eastAsiaTheme="minorHAnsi"/>
                <w:strike/>
                <w:vertAlign w:val="superscript"/>
                <w:lang w:val="en-US"/>
              </w:rPr>
              <w:t>2</w:t>
            </w:r>
          </w:p>
        </w:tc>
        <w:tc>
          <w:tcPr>
            <w:tcW w:w="3059" w:type="dxa"/>
          </w:tcPr>
          <w:p w14:paraId="6CBD6492" w14:textId="77777777" w:rsidR="007E7D70" w:rsidRPr="00450674" w:rsidRDefault="007E7D70" w:rsidP="00824F34">
            <w:pPr>
              <w:pStyle w:val="ListParagraph"/>
              <w:keepNext/>
              <w:keepLines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rPr>
                <w:iCs/>
                <w:strike/>
                <w:lang w:eastAsia="nl-NL"/>
              </w:rPr>
            </w:pPr>
            <w:r w:rsidRPr="00450674">
              <w:rPr>
                <w:rFonts w:eastAsiaTheme="minorHAnsi"/>
                <w:strike/>
                <w:lang w:val="en-US"/>
              </w:rPr>
              <w:t>The signal shall not be generated</w:t>
            </w:r>
          </w:p>
        </w:tc>
      </w:tr>
      <w:tr w:rsidR="007E7D70" w:rsidRPr="007E7D70" w14:paraId="4F8A3D42" w14:textId="77777777" w:rsidTr="007E7D70">
        <w:tc>
          <w:tcPr>
            <w:tcW w:w="3037" w:type="dxa"/>
          </w:tcPr>
          <w:p w14:paraId="6F514694" w14:textId="77777777" w:rsidR="007E7D70" w:rsidRPr="007E7D70" w:rsidRDefault="007E7D70" w:rsidP="00824F34">
            <w:pPr>
              <w:pStyle w:val="ListParagraph"/>
              <w:keepNext/>
              <w:keepLines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rPr>
                <w:b/>
                <w:iCs/>
                <w:lang w:eastAsia="nl-NL"/>
              </w:rPr>
            </w:pPr>
            <w:r w:rsidRPr="00450674">
              <w:rPr>
                <w:rFonts w:eastAsiaTheme="minorHAnsi"/>
                <w:strike/>
                <w:lang w:val="en-US"/>
              </w:rPr>
              <w:t>&gt;0.7m/s</w:t>
            </w:r>
            <w:r w:rsidRPr="00450674">
              <w:rPr>
                <w:rFonts w:eastAsiaTheme="minorHAnsi"/>
                <w:strike/>
                <w:vertAlign w:val="superscript"/>
                <w:lang w:val="en-US"/>
              </w:rPr>
              <w:t>2</w:t>
            </w:r>
            <w:r w:rsidRPr="00450674">
              <w:rPr>
                <w:rFonts w:eastAsiaTheme="minorHAnsi"/>
                <w:strike/>
                <w:lang w:val="en-US"/>
              </w:rPr>
              <w:t xml:space="preserve"> and</w:t>
            </w:r>
            <w:r w:rsidRPr="007E7D70">
              <w:rPr>
                <w:rFonts w:eastAsiaTheme="minorHAnsi"/>
                <w:lang w:val="en-US"/>
              </w:rPr>
              <w:t xml:space="preserve"> </w:t>
            </w:r>
            <w:r w:rsidRPr="007E7D70">
              <w:rPr>
                <w:rFonts w:eastAsia="ArialMT"/>
                <w:lang w:val="en-US"/>
              </w:rPr>
              <w:t>≤</w:t>
            </w:r>
            <w:r w:rsidRPr="007E7D70">
              <w:rPr>
                <w:rFonts w:eastAsiaTheme="minorHAnsi"/>
                <w:lang w:val="en-US"/>
              </w:rPr>
              <w:t>1.3m/s</w:t>
            </w:r>
            <w:r w:rsidRPr="007E7D70">
              <w:rPr>
                <w:rFonts w:eastAsiaTheme="minorHAnsi"/>
                <w:vertAlign w:val="superscript"/>
                <w:lang w:val="en-US"/>
              </w:rPr>
              <w:t>2</w:t>
            </w:r>
          </w:p>
        </w:tc>
        <w:tc>
          <w:tcPr>
            <w:tcW w:w="3059" w:type="dxa"/>
          </w:tcPr>
          <w:p w14:paraId="1C0D9141" w14:textId="77777777" w:rsidR="007E7D70" w:rsidRPr="007E7D70" w:rsidRDefault="007E7D70" w:rsidP="00824F34">
            <w:pPr>
              <w:pStyle w:val="ListParagraph"/>
              <w:keepNext/>
              <w:keepLines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rPr>
                <w:b/>
                <w:iCs/>
                <w:lang w:eastAsia="nl-NL"/>
              </w:rPr>
            </w:pPr>
            <w:r w:rsidRPr="007E7D70">
              <w:rPr>
                <w:rFonts w:eastAsiaTheme="minorHAnsi"/>
                <w:lang w:val="en-US"/>
              </w:rPr>
              <w:t>The signal may be generated</w:t>
            </w:r>
          </w:p>
        </w:tc>
      </w:tr>
      <w:tr w:rsidR="007E7D70" w:rsidRPr="007E7D70" w14:paraId="08591E67" w14:textId="77777777" w:rsidTr="007E7D70">
        <w:tc>
          <w:tcPr>
            <w:tcW w:w="3037" w:type="dxa"/>
          </w:tcPr>
          <w:p w14:paraId="055CF43B" w14:textId="77777777" w:rsidR="007E7D70" w:rsidRPr="007E7D70" w:rsidRDefault="007E7D70" w:rsidP="00824F34">
            <w:pPr>
              <w:pStyle w:val="ListParagraph"/>
              <w:keepNext/>
              <w:keepLines/>
              <w:suppressAutoHyphens w:val="0"/>
              <w:autoSpaceDE w:val="0"/>
              <w:autoSpaceDN w:val="0"/>
              <w:adjustRightInd w:val="0"/>
              <w:spacing w:after="120" w:line="240" w:lineRule="auto"/>
              <w:ind w:left="0"/>
              <w:rPr>
                <w:b/>
                <w:iCs/>
                <w:lang w:eastAsia="nl-NL"/>
              </w:rPr>
            </w:pPr>
            <w:r w:rsidRPr="007E7D70">
              <w:rPr>
                <w:rFonts w:eastAsiaTheme="minorHAnsi"/>
                <w:lang w:val="en-US"/>
              </w:rPr>
              <w:t>&gt;1.3m/s</w:t>
            </w:r>
            <w:r w:rsidRPr="007E7D70">
              <w:rPr>
                <w:rFonts w:eastAsiaTheme="minorHAnsi"/>
                <w:vertAlign w:val="superscript"/>
                <w:lang w:val="en-US"/>
              </w:rPr>
              <w:t>2</w:t>
            </w:r>
          </w:p>
        </w:tc>
        <w:tc>
          <w:tcPr>
            <w:tcW w:w="3059" w:type="dxa"/>
          </w:tcPr>
          <w:p w14:paraId="5A123A72" w14:textId="77777777" w:rsidR="007E7D70" w:rsidRPr="007E7D70" w:rsidRDefault="007E7D70" w:rsidP="007E7D70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b/>
                <w:iCs/>
                <w:lang w:eastAsia="nl-NL"/>
              </w:rPr>
            </w:pPr>
            <w:r w:rsidRPr="007E7D70">
              <w:rPr>
                <w:rFonts w:eastAsiaTheme="minorHAnsi"/>
                <w:lang w:val="en-US"/>
              </w:rPr>
              <w:t>The signal shall be generated</w:t>
            </w:r>
          </w:p>
        </w:tc>
      </w:tr>
    </w:tbl>
    <w:p w14:paraId="5DF019FA" w14:textId="77777777" w:rsidR="007E7D70" w:rsidRDefault="007E7D70" w:rsidP="007E7D70">
      <w:pPr>
        <w:spacing w:after="120"/>
        <w:ind w:left="2268" w:right="1134"/>
        <w:jc w:val="both"/>
      </w:pPr>
      <w:r w:rsidRPr="00891D13">
        <w:rPr>
          <w:strike/>
        </w:rPr>
        <w:t>In all cases the signal shall be de-activated at the latest when the deceleration has fallen below 0.7m/s</w:t>
      </w:r>
      <w:r w:rsidRPr="00891D13">
        <w:rPr>
          <w:strike/>
          <w:vertAlign w:val="superscript"/>
        </w:rPr>
        <w:t>2</w:t>
      </w:r>
      <w:r w:rsidR="002F6F04" w:rsidRPr="00891D13">
        <w:rPr>
          <w:vertAlign w:val="superscript"/>
        </w:rPr>
        <w:t xml:space="preserve"> </w:t>
      </w:r>
      <w:r w:rsidR="00891D13" w:rsidRPr="00891D13">
        <w:rPr>
          <w:strike/>
          <w:vertAlign w:val="superscript"/>
        </w:rPr>
        <w:t>(</w:t>
      </w:r>
      <w:r w:rsidR="00F633EF">
        <w:rPr>
          <w:strike/>
          <w:vertAlign w:val="superscript"/>
        </w:rPr>
        <w:t>1</w:t>
      </w:r>
      <w:r w:rsidRPr="00891D13">
        <w:rPr>
          <w:strike/>
          <w:vertAlign w:val="superscript"/>
        </w:rPr>
        <w:t>)</w:t>
      </w:r>
      <w:r w:rsidR="002F6F04" w:rsidRPr="00891D13">
        <w:t>.</w:t>
      </w:r>
    </w:p>
    <w:p w14:paraId="5F216D60" w14:textId="77777777" w:rsidR="00F633EF" w:rsidRPr="00F633EF" w:rsidRDefault="00F633EF" w:rsidP="00F633EF">
      <w:pPr>
        <w:spacing w:after="120"/>
        <w:ind w:left="1134" w:right="1134"/>
        <w:jc w:val="both"/>
        <w:rPr>
          <w:strike/>
          <w:sz w:val="16"/>
          <w:szCs w:val="16"/>
          <w:lang w:val="en-US"/>
        </w:rPr>
      </w:pPr>
      <w:r w:rsidRPr="00F633EF">
        <w:rPr>
          <w:rFonts w:eastAsiaTheme="minorHAnsi"/>
          <w:strike/>
          <w:sz w:val="16"/>
          <w:szCs w:val="16"/>
          <w:lang w:val="en-US"/>
        </w:rPr>
        <w:t>(1) At the time of type approval, compliance with this requirement shall be confirmed by the vehicle manufacturer.</w:t>
      </w:r>
      <w:r w:rsidR="00176BA9">
        <w:rPr>
          <w:rFonts w:eastAsiaTheme="minorHAnsi"/>
          <w:strike/>
          <w:sz w:val="16"/>
          <w:szCs w:val="16"/>
          <w:lang w:val="en-US"/>
        </w:rPr>
        <w:t>”</w:t>
      </w:r>
    </w:p>
    <w:p w14:paraId="206DE8C0" w14:textId="77777777" w:rsidR="00891D13" w:rsidRDefault="00891D13" w:rsidP="00921A4B">
      <w:pPr>
        <w:spacing w:after="120"/>
        <w:ind w:left="-142" w:right="1134"/>
        <w:jc w:val="both"/>
        <w:rPr>
          <w:b/>
          <w:iCs/>
          <w:lang w:eastAsia="nl-NL"/>
        </w:rPr>
      </w:pPr>
    </w:p>
    <w:p w14:paraId="3386BE4E" w14:textId="77777777" w:rsidR="002F12F5" w:rsidRDefault="004B428A" w:rsidP="00921A4B">
      <w:pPr>
        <w:spacing w:after="120"/>
        <w:ind w:left="-142" w:right="1134"/>
        <w:jc w:val="both"/>
        <w:rPr>
          <w:b/>
        </w:rPr>
      </w:pPr>
      <w:r w:rsidRPr="004B428A">
        <w:rPr>
          <w:b/>
          <w:iCs/>
          <w:lang w:eastAsia="nl-NL"/>
        </w:rPr>
        <w:t xml:space="preserve">UN Regulation </w:t>
      </w:r>
      <w:r>
        <w:rPr>
          <w:b/>
          <w:iCs/>
          <w:lang w:eastAsia="nl-NL"/>
        </w:rPr>
        <w:t>R13</w:t>
      </w:r>
    </w:p>
    <w:p w14:paraId="533F84C9" w14:textId="77777777" w:rsidR="002F12F5" w:rsidRPr="00923729" w:rsidRDefault="002F12F5" w:rsidP="002F12F5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/>
        <w:rPr>
          <w:iCs/>
          <w:lang w:eastAsia="nl-NL"/>
        </w:rPr>
      </w:pPr>
      <w:r w:rsidRPr="00923729">
        <w:rPr>
          <w:i/>
          <w:iCs/>
          <w:lang w:eastAsia="nl-NL"/>
        </w:rPr>
        <w:t>Paragraph</w:t>
      </w:r>
      <w:r>
        <w:rPr>
          <w:i/>
          <w:iCs/>
          <w:lang w:eastAsia="nl-NL"/>
        </w:rPr>
        <w:t xml:space="preserve"> 5.2.1.10. </w:t>
      </w:r>
      <w:r w:rsidRPr="00923729">
        <w:rPr>
          <w:iCs/>
          <w:lang w:eastAsia="nl-NL"/>
        </w:rPr>
        <w:t>amend to read:</w:t>
      </w:r>
      <w:bookmarkStart w:id="0" w:name="_GoBack"/>
      <w:bookmarkEnd w:id="0"/>
    </w:p>
    <w:p w14:paraId="46D5F3AD" w14:textId="77777777" w:rsidR="00891D13" w:rsidRDefault="002F12F5" w:rsidP="00891D13">
      <w:pPr>
        <w:spacing w:after="120"/>
        <w:ind w:left="2268" w:right="1134" w:hanging="1134"/>
        <w:jc w:val="both"/>
      </w:pPr>
      <w:r>
        <w:rPr>
          <w:lang w:val="en-US"/>
        </w:rPr>
        <w:t>“</w:t>
      </w:r>
      <w:r w:rsidR="00921A4B">
        <w:rPr>
          <w:lang w:val="en-US"/>
        </w:rPr>
        <w:t>5.2.1.10.</w:t>
      </w:r>
      <w:r w:rsidR="00921A4B">
        <w:rPr>
          <w:lang w:val="en-US"/>
        </w:rPr>
        <w:tab/>
      </w:r>
      <w:r w:rsidRPr="002F12F5">
        <w:rPr>
          <w:lang w:val="en-US"/>
        </w:rPr>
        <w:t xml:space="preserve">The </w:t>
      </w:r>
      <w:r w:rsidRPr="00891D13">
        <w:rPr>
          <w:iCs/>
          <w:lang w:eastAsia="nl-NL"/>
        </w:rPr>
        <w:t>service</w:t>
      </w:r>
      <w:r w:rsidRPr="002F12F5">
        <w:rPr>
          <w:lang w:val="en-US"/>
        </w:rPr>
        <w:t xml:space="preserve">, secondary </w:t>
      </w:r>
      <w:r w:rsidRPr="00891D13">
        <w:t>and parking braking system</w:t>
      </w:r>
      <w:r w:rsidR="00891D13">
        <w:t xml:space="preserve">s shall act on braking </w:t>
      </w:r>
      <w:r w:rsidRPr="00891D13">
        <w:t>surfaces</w:t>
      </w:r>
      <w:r w:rsidR="00891D13">
        <w:t xml:space="preserve"> </w:t>
      </w:r>
      <w:r w:rsidRPr="00891D13">
        <w:t xml:space="preserve">connected to the wheels through components of adequate strength. </w:t>
      </w:r>
    </w:p>
    <w:p w14:paraId="18F219D4" w14:textId="77777777" w:rsidR="002F12F5" w:rsidRPr="00891D13" w:rsidRDefault="002F12F5" w:rsidP="00891D13">
      <w:pPr>
        <w:spacing w:after="120"/>
        <w:ind w:left="2268" w:right="1134"/>
        <w:jc w:val="both"/>
      </w:pPr>
      <w:r w:rsidRPr="00891D13">
        <w:t>Where braking</w:t>
      </w:r>
      <w:r w:rsidR="00921A4B" w:rsidRPr="00891D13">
        <w:t xml:space="preserve"> </w:t>
      </w:r>
      <w:r w:rsidRPr="00891D13">
        <w:t>torque for a particular axle or axles is provided by both a friction braking system and</w:t>
      </w:r>
      <w:r w:rsidR="00921A4B" w:rsidRPr="00891D13">
        <w:t xml:space="preserve"> a</w:t>
      </w:r>
      <w:r w:rsidRPr="00891D13">
        <w:t>n electrical regenerative braking system of category B, disconnection of the latter</w:t>
      </w:r>
      <w:r w:rsidR="00921A4B" w:rsidRPr="00891D13">
        <w:t xml:space="preserve"> </w:t>
      </w:r>
      <w:r w:rsidRPr="00891D13">
        <w:t>source is permitted, providing that the friction braking source remains permanently</w:t>
      </w:r>
      <w:r w:rsidR="00921A4B" w:rsidRPr="00891D13">
        <w:t xml:space="preserve"> </w:t>
      </w:r>
      <w:r w:rsidRPr="00891D13">
        <w:t>connected and able to provide the compensation referred to in paragraph 5.2.1.7.2.1.</w:t>
      </w:r>
    </w:p>
    <w:p w14:paraId="1AD595A9" w14:textId="77777777" w:rsidR="002F12F5" w:rsidRPr="00891D13" w:rsidRDefault="002F12F5" w:rsidP="00891D13">
      <w:pPr>
        <w:spacing w:after="120"/>
        <w:ind w:left="2268" w:right="1134"/>
        <w:jc w:val="both"/>
      </w:pPr>
      <w:r w:rsidRPr="00891D13">
        <w:t xml:space="preserve">However in the case of short disconnection transients, incomplete compensation is accepted, but within 1 s, this compensation shall have attained at least 75 per cent of its final value. </w:t>
      </w:r>
    </w:p>
    <w:p w14:paraId="0EDB3E5A" w14:textId="77777777" w:rsidR="002F12F5" w:rsidRPr="00891D13" w:rsidRDefault="002F12F5" w:rsidP="00891D13">
      <w:pPr>
        <w:spacing w:after="120"/>
        <w:ind w:left="2268" w:right="1134"/>
        <w:jc w:val="both"/>
      </w:pPr>
      <w:r w:rsidRPr="00891D13">
        <w:t xml:space="preserve">Nevertheless, in all cases the permanently connected friction braking source shall ensure that both the service and secondary braking systems continue to operate with the prescribed degree of effectiveness. </w:t>
      </w:r>
    </w:p>
    <w:p w14:paraId="0BF3C0E4" w14:textId="77777777" w:rsidR="00852734" w:rsidRDefault="002F12F5" w:rsidP="00891D13">
      <w:pPr>
        <w:spacing w:after="120"/>
        <w:ind w:left="2268" w:right="1134"/>
        <w:jc w:val="both"/>
        <w:rPr>
          <w:b/>
          <w:lang w:val="en-US"/>
        </w:rPr>
      </w:pPr>
      <w:r w:rsidRPr="00891D13">
        <w:t xml:space="preserve">Disconnection of the </w:t>
      </w:r>
      <w:proofErr w:type="spellStart"/>
      <w:r w:rsidRPr="00891D13">
        <w:t>brak</w:t>
      </w:r>
      <w:r w:rsidRPr="002F12F5">
        <w:rPr>
          <w:lang w:val="en-US"/>
        </w:rPr>
        <w:t>ing</w:t>
      </w:r>
      <w:proofErr w:type="spellEnd"/>
      <w:r w:rsidRPr="002F12F5">
        <w:rPr>
          <w:lang w:val="en-US"/>
        </w:rPr>
        <w:t xml:space="preserve"> surfaces of the parking braking system shall be permitted only on condition that the disconnection is controlled </w:t>
      </w:r>
      <w:r w:rsidRPr="00F633EF">
        <w:rPr>
          <w:b/>
          <w:strike/>
          <w:lang w:val="en-US"/>
        </w:rPr>
        <w:t>exclusively</w:t>
      </w:r>
      <w:r w:rsidRPr="002F12F5">
        <w:rPr>
          <w:lang w:val="en-US"/>
        </w:rPr>
        <w:t xml:space="preserve"> by the driver from his driving seat</w:t>
      </w:r>
      <w:r w:rsidR="00094C7B">
        <w:rPr>
          <w:iCs/>
          <w:lang w:eastAsia="nl-NL"/>
        </w:rPr>
        <w:t xml:space="preserve"> </w:t>
      </w:r>
      <w:r w:rsidR="00094C7B" w:rsidRPr="00094C7B">
        <w:rPr>
          <w:b/>
          <w:iCs/>
          <w:lang w:eastAsia="nl-NL"/>
        </w:rPr>
        <w:t>or from a remote control device</w:t>
      </w:r>
      <w:r w:rsidRPr="002F12F5">
        <w:rPr>
          <w:lang w:val="en-US"/>
        </w:rPr>
        <w:t>, by a system incapable of being brought into action by a leak.</w:t>
      </w:r>
    </w:p>
    <w:p w14:paraId="213B952A" w14:textId="77777777" w:rsidR="00BD5384" w:rsidRDefault="00094C7B" w:rsidP="00891D13">
      <w:pPr>
        <w:spacing w:after="120"/>
        <w:ind w:left="2268" w:right="1134"/>
        <w:jc w:val="both"/>
        <w:rPr>
          <w:lang w:val="en-US"/>
        </w:rPr>
      </w:pPr>
      <w:r>
        <w:rPr>
          <w:b/>
          <w:lang w:val="en-US"/>
        </w:rPr>
        <w:t xml:space="preserve">The remote control device mentioned above shall be </w:t>
      </w:r>
      <w:r w:rsidRPr="00450674">
        <w:rPr>
          <w:b/>
          <w:lang w:val="en-US"/>
        </w:rPr>
        <w:t xml:space="preserve">part of a system </w:t>
      </w:r>
      <w:r>
        <w:rPr>
          <w:b/>
          <w:lang w:val="en-US"/>
        </w:rPr>
        <w:t xml:space="preserve">fulfilling the technical requirements of </w:t>
      </w:r>
      <w:r w:rsidRPr="00450674">
        <w:rPr>
          <w:b/>
          <w:lang w:val="en-US"/>
        </w:rPr>
        <w:t>Regulation No. 79.02 or later series of amendment.</w:t>
      </w:r>
      <w:r w:rsidR="00891D13" w:rsidRPr="00891D13">
        <w:rPr>
          <w:lang w:val="en-US"/>
        </w:rPr>
        <w:t>”</w:t>
      </w:r>
    </w:p>
    <w:p w14:paraId="05D637CA" w14:textId="77777777" w:rsidR="00176BA9" w:rsidRDefault="00176BA9" w:rsidP="00891D13">
      <w:pPr>
        <w:spacing w:after="120"/>
        <w:ind w:left="2268" w:right="1134"/>
        <w:jc w:val="both"/>
        <w:rPr>
          <w:lang w:val="en-US"/>
        </w:rPr>
      </w:pPr>
    </w:p>
    <w:p w14:paraId="1FF00A63" w14:textId="77777777" w:rsidR="007D1F10" w:rsidRPr="00526432" w:rsidRDefault="00824F34" w:rsidP="00824F34">
      <w:pPr>
        <w:pStyle w:val="ListParagraph"/>
        <w:keepNext/>
        <w:keepLines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rPr>
          <w:b/>
          <w:iCs/>
          <w:sz w:val="24"/>
          <w:lang w:eastAsia="nl-NL"/>
        </w:rPr>
      </w:pPr>
      <w:r w:rsidRPr="00526432">
        <w:rPr>
          <w:b/>
          <w:iCs/>
          <w:sz w:val="24"/>
          <w:lang w:eastAsia="nl-NL"/>
        </w:rPr>
        <w:t>Justification</w:t>
      </w:r>
    </w:p>
    <w:p w14:paraId="56CB4B5C" w14:textId="77777777" w:rsidR="009D1BAC" w:rsidRDefault="009D1BAC" w:rsidP="00AC622A">
      <w:pPr>
        <w:ind w:left="1134"/>
        <w:rPr>
          <w:u w:val="single"/>
        </w:rPr>
      </w:pPr>
      <w:r w:rsidRPr="00E25534">
        <w:rPr>
          <w:u w:val="single"/>
        </w:rPr>
        <w:t xml:space="preserve">Paragraph </w:t>
      </w:r>
      <w:r w:rsidR="009A78A1">
        <w:rPr>
          <w:u w:val="single"/>
        </w:rPr>
        <w:t xml:space="preserve">5.2.10. and </w:t>
      </w:r>
      <w:r w:rsidRPr="00E25534">
        <w:rPr>
          <w:u w:val="single"/>
        </w:rPr>
        <w:t>5.2.19.4</w:t>
      </w:r>
      <w:r w:rsidR="00E72F53">
        <w:rPr>
          <w:u w:val="single"/>
        </w:rPr>
        <w:t xml:space="preserve"> of </w:t>
      </w:r>
      <w:r w:rsidR="008E2F22">
        <w:rPr>
          <w:u w:val="single"/>
        </w:rPr>
        <w:t>UN </w:t>
      </w:r>
      <w:r w:rsidR="00E72F53">
        <w:rPr>
          <w:u w:val="single"/>
        </w:rPr>
        <w:t>R13-</w:t>
      </w:r>
      <w:r w:rsidR="005A4111">
        <w:rPr>
          <w:u w:val="single"/>
        </w:rPr>
        <w:t xml:space="preserve">H and </w:t>
      </w:r>
      <w:r w:rsidR="004B428A">
        <w:rPr>
          <w:u w:val="single"/>
        </w:rPr>
        <w:t xml:space="preserve">5.2.1.10 of </w:t>
      </w:r>
      <w:r w:rsidR="008E2F22">
        <w:rPr>
          <w:u w:val="single"/>
        </w:rPr>
        <w:t>UN </w:t>
      </w:r>
      <w:r w:rsidR="004B428A">
        <w:rPr>
          <w:u w:val="single"/>
        </w:rPr>
        <w:t>R13</w:t>
      </w:r>
    </w:p>
    <w:p w14:paraId="5016E8A1" w14:textId="77777777" w:rsidR="008E3C08" w:rsidRDefault="008E3C08" w:rsidP="00AC622A">
      <w:pPr>
        <w:ind w:left="1134"/>
        <w:rPr>
          <w:u w:val="single"/>
        </w:rPr>
      </w:pPr>
    </w:p>
    <w:p w14:paraId="19E74B06" w14:textId="77777777" w:rsidR="00F633EF" w:rsidRDefault="005A4111" w:rsidP="00176BA9">
      <w:pPr>
        <w:ind w:left="1134"/>
        <w:jc w:val="both"/>
      </w:pPr>
      <w:r w:rsidRPr="00E25534">
        <w:t>The new series 02 of Regulation 79 introduced requirements for RCP (remote controlled parking) systems. A RCP system require</w:t>
      </w:r>
      <w:r w:rsidRPr="005A6264">
        <w:t>s</w:t>
      </w:r>
      <w:r w:rsidRPr="00E25534">
        <w:t xml:space="preserve"> the engagement of an EPB (electrical parking brake) once the manoeuvre has finished and the ignition is switched off. The suggested modification</w:t>
      </w:r>
      <w:r>
        <w:t>s</w:t>
      </w:r>
      <w:r w:rsidRPr="00E25534">
        <w:t xml:space="preserve"> allow the </w:t>
      </w:r>
      <w:r>
        <w:t xml:space="preserve">release / disconnection of </w:t>
      </w:r>
      <w:r w:rsidRPr="00E25534">
        <w:t xml:space="preserve">the EPB </w:t>
      </w:r>
      <w:r>
        <w:t>by a remote control system (approved to Regulation79</w:t>
      </w:r>
      <w:r w:rsidR="003D4CB3">
        <w:t>)</w:t>
      </w:r>
      <w:r w:rsidR="00F633EF">
        <w:t xml:space="preserve"> what is needed to enable </w:t>
      </w:r>
      <w:r w:rsidR="003E72A3">
        <w:t xml:space="preserve">the </w:t>
      </w:r>
      <w:r w:rsidR="003D4CB3">
        <w:t xml:space="preserve">exit </w:t>
      </w:r>
      <w:r w:rsidR="003E72A3">
        <w:t xml:space="preserve">of the vehicle out </w:t>
      </w:r>
      <w:r w:rsidR="003D4CB3">
        <w:t>of a parking spot</w:t>
      </w:r>
      <w:r w:rsidR="003E72A3">
        <w:t xml:space="preserve"> with a remote control system</w:t>
      </w:r>
      <w:r w:rsidR="003D4CB3">
        <w:t>.</w:t>
      </w:r>
    </w:p>
    <w:p w14:paraId="1D537EC4" w14:textId="77777777" w:rsidR="00542603" w:rsidRDefault="00542603" w:rsidP="00AC622A">
      <w:pPr>
        <w:ind w:left="1134"/>
      </w:pPr>
    </w:p>
    <w:p w14:paraId="6498696B" w14:textId="77777777" w:rsidR="00E25534" w:rsidRDefault="00730998" w:rsidP="00730998">
      <w:pPr>
        <w:ind w:left="1134"/>
        <w:rPr>
          <w:u w:val="single"/>
        </w:rPr>
      </w:pPr>
      <w:r w:rsidRPr="00E25534">
        <w:rPr>
          <w:u w:val="single"/>
        </w:rPr>
        <w:t>Paragraph 5.2.22.4</w:t>
      </w:r>
      <w:r w:rsidR="008E2F22" w:rsidRPr="008E2F22">
        <w:rPr>
          <w:u w:val="single"/>
        </w:rPr>
        <w:t xml:space="preserve"> of </w:t>
      </w:r>
      <w:r w:rsidR="008E2F22">
        <w:rPr>
          <w:u w:val="single"/>
        </w:rPr>
        <w:t>UN </w:t>
      </w:r>
      <w:r w:rsidR="008E2F22" w:rsidRPr="008E2F22">
        <w:rPr>
          <w:u w:val="single"/>
        </w:rPr>
        <w:t>R13-H</w:t>
      </w:r>
    </w:p>
    <w:p w14:paraId="46111084" w14:textId="77777777" w:rsidR="00542603" w:rsidRPr="00E25534" w:rsidRDefault="00542603" w:rsidP="00730998">
      <w:pPr>
        <w:ind w:left="1134"/>
        <w:rPr>
          <w:u w:val="single"/>
        </w:rPr>
      </w:pPr>
    </w:p>
    <w:p w14:paraId="603496EC" w14:textId="044A7790" w:rsidR="004C64C7" w:rsidRPr="00E25534" w:rsidRDefault="006A5C5A" w:rsidP="00036664">
      <w:pPr>
        <w:ind w:left="1134"/>
        <w:rPr>
          <w:lang w:val="en-US"/>
        </w:rPr>
      </w:pPr>
      <w:r w:rsidRPr="00E25534">
        <w:t xml:space="preserve">For electric regenerative </w:t>
      </w:r>
      <w:proofErr w:type="gramStart"/>
      <w:r w:rsidRPr="00E25534">
        <w:t>braking</w:t>
      </w:r>
      <w:proofErr w:type="gramEnd"/>
      <w:r w:rsidRPr="00E25534">
        <w:t xml:space="preserve"> the illumination of the stop lamp </w:t>
      </w:r>
      <w:r w:rsidR="008251BF" w:rsidRPr="00036664">
        <w:t>is</w:t>
      </w:r>
      <w:r w:rsidR="008251BF">
        <w:t xml:space="preserve"> </w:t>
      </w:r>
      <w:r w:rsidR="00E25534" w:rsidRPr="00E25534">
        <w:t xml:space="preserve">currently </w:t>
      </w:r>
      <w:r w:rsidRPr="00E25534">
        <w:t>not be possible under 0.7m/s² deceleration</w:t>
      </w:r>
      <w:r w:rsidR="00E25534" w:rsidRPr="00E25534">
        <w:t>. However, there should be</w:t>
      </w:r>
      <w:r w:rsidRPr="00E25534">
        <w:t xml:space="preserve"> a possibility to implement ´one pedal driving´ for full electric vehicles, where the brake pedal </w:t>
      </w:r>
      <w:r w:rsidR="00E25534" w:rsidRPr="00E25534">
        <w:t xml:space="preserve">might </w:t>
      </w:r>
      <w:r w:rsidR="008E2F22">
        <w:t xml:space="preserve">be </w:t>
      </w:r>
      <w:r w:rsidRPr="00E25534">
        <w:t xml:space="preserve">necessary </w:t>
      </w:r>
      <w:r w:rsidR="008E2F22" w:rsidRPr="00E25534">
        <w:t xml:space="preserve">only </w:t>
      </w:r>
      <w:r w:rsidRPr="00E25534">
        <w:t>for emergency braking manoeuvres. In such cases the illumination of the stop lamp should not be prohibited below 0.7 m/s² deceleration</w:t>
      </w:r>
      <w:r w:rsidR="00E25534" w:rsidRPr="00E25534">
        <w:t xml:space="preserve"> or whilst stationary.</w:t>
      </w:r>
      <w:r w:rsidR="00036664">
        <w:t xml:space="preserve"> For example, switching </w:t>
      </w:r>
      <w:r w:rsidR="004C64C7" w:rsidRPr="00E25534">
        <w:rPr>
          <w:lang w:val="en-US"/>
        </w:rPr>
        <w:t xml:space="preserve">off the stop lamps towards the end of a full stop </w:t>
      </w:r>
      <w:r w:rsidR="00036664">
        <w:rPr>
          <w:lang w:val="en-US"/>
        </w:rPr>
        <w:t>may</w:t>
      </w:r>
      <w:r w:rsidR="004C64C7" w:rsidRPr="00E25534">
        <w:rPr>
          <w:lang w:val="en-US"/>
        </w:rPr>
        <w:t xml:space="preserve"> be </w:t>
      </w:r>
      <w:r w:rsidR="00036664">
        <w:rPr>
          <w:lang w:val="en-US"/>
        </w:rPr>
        <w:t>mis</w:t>
      </w:r>
      <w:r w:rsidR="004C64C7" w:rsidRPr="00E25534">
        <w:rPr>
          <w:lang w:val="en-US"/>
        </w:rPr>
        <w:t xml:space="preserve">interpreted </w:t>
      </w:r>
      <w:r w:rsidR="008E2F22">
        <w:rPr>
          <w:lang w:val="en-US"/>
        </w:rPr>
        <w:t>by</w:t>
      </w:r>
      <w:r w:rsidR="008E2F22" w:rsidRPr="00E25534">
        <w:rPr>
          <w:lang w:val="en-US"/>
        </w:rPr>
        <w:t xml:space="preserve"> the driver of a following vehicle</w:t>
      </w:r>
      <w:r w:rsidR="00036664">
        <w:rPr>
          <w:lang w:val="en-US"/>
        </w:rPr>
        <w:t>, e.g.</w:t>
      </w:r>
      <w:r w:rsidR="008E2F22" w:rsidRPr="00E25534">
        <w:rPr>
          <w:lang w:val="en-US"/>
        </w:rPr>
        <w:t xml:space="preserve"> </w:t>
      </w:r>
      <w:r w:rsidR="004C64C7" w:rsidRPr="00E25534">
        <w:rPr>
          <w:lang w:val="en-US"/>
        </w:rPr>
        <w:t xml:space="preserve">as </w:t>
      </w:r>
      <w:r w:rsidR="00036664">
        <w:rPr>
          <w:lang w:val="en-US"/>
        </w:rPr>
        <w:t>an intention to accelerate.</w:t>
      </w:r>
    </w:p>
    <w:p w14:paraId="5C8ED63E" w14:textId="77777777" w:rsidR="006A5C5A" w:rsidRPr="00E25534" w:rsidRDefault="006A5C5A" w:rsidP="006A5C5A">
      <w:pPr>
        <w:ind w:left="1134"/>
      </w:pPr>
      <w:r w:rsidRPr="00E25534">
        <w:t>The proposed amendment</w:t>
      </w:r>
      <w:r w:rsidR="008E2F22">
        <w:t>s</w:t>
      </w:r>
      <w:r w:rsidRPr="00E25534">
        <w:t xml:space="preserve"> </w:t>
      </w:r>
      <w:r w:rsidR="00E25534" w:rsidRPr="00E25534">
        <w:t xml:space="preserve">also </w:t>
      </w:r>
      <w:r w:rsidRPr="00E25534">
        <w:t>align the requirements of stop lamp activation</w:t>
      </w:r>
      <w:r w:rsidR="00E25534" w:rsidRPr="00E25534">
        <w:t xml:space="preserve"> resulting from</w:t>
      </w:r>
      <w:r w:rsidRPr="00E25534">
        <w:t xml:space="preserve"> regenerative braking with those from paragraph 5.2.1.30.2. of </w:t>
      </w:r>
      <w:r w:rsidR="004C64C7">
        <w:t xml:space="preserve">UN </w:t>
      </w:r>
      <w:r w:rsidRPr="00E25534">
        <w:t xml:space="preserve">Regulation </w:t>
      </w:r>
      <w:r w:rsidR="008E2F22">
        <w:t>No. </w:t>
      </w:r>
      <w:r w:rsidRPr="00E25534">
        <w:t>13</w:t>
      </w:r>
      <w:r w:rsidR="008E2F22">
        <w:t>.</w:t>
      </w:r>
    </w:p>
    <w:sectPr w:rsidR="006A5C5A" w:rsidRPr="00E25534" w:rsidSect="00A8745F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71DB0" w14:textId="77777777" w:rsidR="00DD63EE" w:rsidRDefault="00DD63EE" w:rsidP="00651447">
      <w:pPr>
        <w:spacing w:line="240" w:lineRule="auto"/>
      </w:pPr>
      <w:r>
        <w:separator/>
      </w:r>
    </w:p>
  </w:endnote>
  <w:endnote w:type="continuationSeparator" w:id="0">
    <w:p w14:paraId="4D2155F2" w14:textId="77777777" w:rsidR="00DD63EE" w:rsidRDefault="00DD63EE" w:rsidP="00651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E46B2" w14:textId="77777777" w:rsidR="00DD63EE" w:rsidRDefault="00DD63EE" w:rsidP="00651447">
      <w:pPr>
        <w:spacing w:line="240" w:lineRule="auto"/>
      </w:pPr>
      <w:r>
        <w:separator/>
      </w:r>
    </w:p>
  </w:footnote>
  <w:footnote w:type="continuationSeparator" w:id="0">
    <w:p w14:paraId="64791B89" w14:textId="77777777" w:rsidR="00DD63EE" w:rsidRDefault="00DD63EE" w:rsidP="00651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828"/>
    </w:tblGrid>
    <w:tr w:rsidR="00A8745F" w:rsidRPr="00E15638" w14:paraId="0BDF6A4C" w14:textId="77777777" w:rsidTr="00C00E29">
      <w:tc>
        <w:tcPr>
          <w:tcW w:w="5665" w:type="dxa"/>
        </w:tcPr>
        <w:p w14:paraId="31CD69C2" w14:textId="4B224BA4" w:rsidR="00A8745F" w:rsidRPr="00E15638" w:rsidRDefault="00A8745F" w:rsidP="00A8745F">
          <w:pPr>
            <w:pStyle w:val="Header"/>
          </w:pPr>
        </w:p>
      </w:tc>
      <w:tc>
        <w:tcPr>
          <w:tcW w:w="3828" w:type="dxa"/>
        </w:tcPr>
        <w:p w14:paraId="4851F98D" w14:textId="52C42DEA" w:rsidR="00A8745F" w:rsidRPr="00E15638" w:rsidRDefault="00A8745F" w:rsidP="00A8745F">
          <w:pPr>
            <w:pStyle w:val="Header"/>
          </w:pPr>
        </w:p>
      </w:tc>
    </w:tr>
  </w:tbl>
  <w:p w14:paraId="392A40B6" w14:textId="77777777" w:rsidR="00A8745F" w:rsidRDefault="00A87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F526A" w14:textId="77777777" w:rsidR="00E15638" w:rsidRPr="00E15638" w:rsidRDefault="00E15638">
    <w:pPr>
      <w:pStyle w:val="Header"/>
    </w:pPr>
  </w:p>
  <w:tbl>
    <w:tblPr>
      <w:tblStyle w:val="TableGrid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828"/>
    </w:tblGrid>
    <w:tr w:rsidR="00E15638" w:rsidRPr="00E15638" w14:paraId="757E106B" w14:textId="77777777" w:rsidTr="00E15638">
      <w:tc>
        <w:tcPr>
          <w:tcW w:w="5665" w:type="dxa"/>
        </w:tcPr>
        <w:p w14:paraId="371972DE" w14:textId="77777777" w:rsidR="00E15638" w:rsidRPr="00E15638" w:rsidRDefault="00ED219F" w:rsidP="00C01B47">
          <w:pPr>
            <w:pStyle w:val="Header"/>
          </w:pPr>
          <w:r>
            <w:t>Submitted</w:t>
          </w:r>
          <w:r w:rsidR="00E15638" w:rsidRPr="00E15638">
            <w:t xml:space="preserve"> by the experts from OICA</w:t>
          </w:r>
        </w:p>
      </w:tc>
      <w:tc>
        <w:tcPr>
          <w:tcW w:w="3828" w:type="dxa"/>
        </w:tcPr>
        <w:p w14:paraId="665877A0" w14:textId="4414F31F" w:rsidR="00E15638" w:rsidRPr="00E15638" w:rsidRDefault="00E15638" w:rsidP="00E15638">
          <w:pPr>
            <w:pStyle w:val="Header"/>
          </w:pPr>
          <w:r w:rsidRPr="00ED219F">
            <w:rPr>
              <w:u w:val="single"/>
            </w:rPr>
            <w:t>Informal document</w:t>
          </w:r>
          <w:r w:rsidRPr="00E15638">
            <w:t xml:space="preserve"> </w:t>
          </w:r>
          <w:r w:rsidRPr="00ED219F">
            <w:rPr>
              <w:b/>
            </w:rPr>
            <w:t>GRRF-</w:t>
          </w:r>
          <w:r w:rsidR="00476F7A">
            <w:rPr>
              <w:b/>
            </w:rPr>
            <w:t>86</w:t>
          </w:r>
          <w:r w:rsidRPr="00ED219F">
            <w:rPr>
              <w:b/>
            </w:rPr>
            <w:t>-</w:t>
          </w:r>
          <w:r w:rsidR="00A8745F">
            <w:rPr>
              <w:b/>
            </w:rPr>
            <w:t>16</w:t>
          </w:r>
        </w:p>
        <w:p w14:paraId="6AF2322E" w14:textId="77777777" w:rsidR="00E15638" w:rsidRPr="00E15638" w:rsidRDefault="00E15638" w:rsidP="00E15638">
          <w:pPr>
            <w:pStyle w:val="Header"/>
          </w:pPr>
          <w:r w:rsidRPr="00E15638">
            <w:t>8</w:t>
          </w:r>
          <w:r w:rsidR="00476F7A">
            <w:t>6</w:t>
          </w:r>
          <w:r w:rsidRPr="00E15638">
            <w:rPr>
              <w:vertAlign w:val="superscript"/>
            </w:rPr>
            <w:t>th</w:t>
          </w:r>
          <w:r>
            <w:t xml:space="preserve"> </w:t>
          </w:r>
          <w:r w:rsidRPr="00E15638">
            <w:t>GRRF session, 1</w:t>
          </w:r>
          <w:r w:rsidR="00476F7A">
            <w:t>2-16</w:t>
          </w:r>
          <w:r w:rsidRPr="00E15638">
            <w:t xml:space="preserve"> </w:t>
          </w:r>
          <w:r w:rsidR="00476F7A">
            <w:t>February</w:t>
          </w:r>
          <w:r w:rsidRPr="00E15638">
            <w:t xml:space="preserve"> 201</w:t>
          </w:r>
          <w:r w:rsidR="00476F7A">
            <w:t>8</w:t>
          </w:r>
        </w:p>
        <w:p w14:paraId="687BEE9E" w14:textId="12E3797E" w:rsidR="00E15638" w:rsidRPr="00E15638" w:rsidRDefault="00E15638" w:rsidP="00476F7A">
          <w:pPr>
            <w:pStyle w:val="Header"/>
          </w:pPr>
          <w:r>
            <w:t xml:space="preserve">Agenda item </w:t>
          </w:r>
          <w:r w:rsidR="00A8745F">
            <w:t>3(c)</w:t>
          </w:r>
        </w:p>
      </w:tc>
    </w:tr>
  </w:tbl>
  <w:p w14:paraId="0048BDBB" w14:textId="77777777" w:rsidR="00651447" w:rsidRPr="00E15638" w:rsidRDefault="00651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828"/>
    </w:tblGrid>
    <w:tr w:rsidR="00A8745F" w:rsidRPr="00E15638" w14:paraId="65A05405" w14:textId="77777777" w:rsidTr="00C00E29">
      <w:tc>
        <w:tcPr>
          <w:tcW w:w="5665" w:type="dxa"/>
        </w:tcPr>
        <w:p w14:paraId="14FD9172" w14:textId="77777777" w:rsidR="00A8745F" w:rsidRPr="00E15638" w:rsidRDefault="00A8745F" w:rsidP="00A8745F">
          <w:pPr>
            <w:pStyle w:val="Header"/>
          </w:pPr>
          <w:r>
            <w:t>Submitted</w:t>
          </w:r>
          <w:r w:rsidRPr="00E15638">
            <w:t xml:space="preserve"> by the experts from OICA</w:t>
          </w:r>
        </w:p>
      </w:tc>
      <w:tc>
        <w:tcPr>
          <w:tcW w:w="3828" w:type="dxa"/>
        </w:tcPr>
        <w:p w14:paraId="5EC17FDB" w14:textId="77777777" w:rsidR="00A8745F" w:rsidRPr="00E15638" w:rsidRDefault="00A8745F" w:rsidP="00A8745F">
          <w:pPr>
            <w:pStyle w:val="Header"/>
          </w:pPr>
          <w:r w:rsidRPr="00ED219F">
            <w:rPr>
              <w:u w:val="single"/>
            </w:rPr>
            <w:t>Informal document</w:t>
          </w:r>
          <w:r w:rsidRPr="00E15638">
            <w:t xml:space="preserve"> </w:t>
          </w:r>
          <w:r w:rsidRPr="00ED219F">
            <w:rPr>
              <w:b/>
            </w:rPr>
            <w:t>GRRF-</w:t>
          </w:r>
          <w:r>
            <w:rPr>
              <w:b/>
            </w:rPr>
            <w:t>86</w:t>
          </w:r>
          <w:r w:rsidRPr="00ED219F">
            <w:rPr>
              <w:b/>
            </w:rPr>
            <w:t>-</w:t>
          </w:r>
          <w:r>
            <w:rPr>
              <w:b/>
            </w:rPr>
            <w:t>16</w:t>
          </w:r>
        </w:p>
        <w:p w14:paraId="4052CC4D" w14:textId="77777777" w:rsidR="00A8745F" w:rsidRPr="00E15638" w:rsidRDefault="00A8745F" w:rsidP="00A8745F">
          <w:pPr>
            <w:pStyle w:val="Header"/>
          </w:pPr>
          <w:r w:rsidRPr="00E15638">
            <w:t>8</w:t>
          </w:r>
          <w:r>
            <w:t>6</w:t>
          </w:r>
          <w:r w:rsidRPr="00E15638">
            <w:rPr>
              <w:vertAlign w:val="superscript"/>
            </w:rPr>
            <w:t>th</w:t>
          </w:r>
          <w:r>
            <w:t xml:space="preserve"> </w:t>
          </w:r>
          <w:r w:rsidRPr="00E15638">
            <w:t>GRRF session, 1</w:t>
          </w:r>
          <w:r>
            <w:t>2-16</w:t>
          </w:r>
          <w:r w:rsidRPr="00E15638">
            <w:t xml:space="preserve"> </w:t>
          </w:r>
          <w:r>
            <w:t>February</w:t>
          </w:r>
          <w:r w:rsidRPr="00E15638">
            <w:t xml:space="preserve"> 201</w:t>
          </w:r>
          <w:r>
            <w:t>8</w:t>
          </w:r>
        </w:p>
        <w:p w14:paraId="43747459" w14:textId="77777777" w:rsidR="00A8745F" w:rsidRPr="00E15638" w:rsidRDefault="00A8745F" w:rsidP="00A8745F">
          <w:pPr>
            <w:pStyle w:val="Header"/>
          </w:pPr>
          <w:r>
            <w:t>Agenda item 3(c)</w:t>
          </w:r>
        </w:p>
      </w:tc>
    </w:tr>
  </w:tbl>
  <w:p w14:paraId="76FCFD12" w14:textId="77777777" w:rsidR="00A8745F" w:rsidRDefault="00A87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46D"/>
    <w:multiLevelType w:val="hybridMultilevel"/>
    <w:tmpl w:val="4D60EF38"/>
    <w:lvl w:ilvl="0" w:tplc="040C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5DB7BAD"/>
    <w:multiLevelType w:val="hybridMultilevel"/>
    <w:tmpl w:val="FA7E806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9AB6A60"/>
    <w:multiLevelType w:val="hybridMultilevel"/>
    <w:tmpl w:val="D7707B78"/>
    <w:lvl w:ilvl="0" w:tplc="040C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694C5800"/>
    <w:multiLevelType w:val="hybridMultilevel"/>
    <w:tmpl w:val="938AA49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7A4D29BB"/>
    <w:multiLevelType w:val="hybridMultilevel"/>
    <w:tmpl w:val="98F6BF78"/>
    <w:lvl w:ilvl="0" w:tplc="330A77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84"/>
    <w:rsid w:val="00036664"/>
    <w:rsid w:val="00094C7B"/>
    <w:rsid w:val="000E199A"/>
    <w:rsid w:val="000F106D"/>
    <w:rsid w:val="000F3161"/>
    <w:rsid w:val="001043D6"/>
    <w:rsid w:val="00127760"/>
    <w:rsid w:val="00150ACA"/>
    <w:rsid w:val="00152950"/>
    <w:rsid w:val="00176BA9"/>
    <w:rsid w:val="001B510E"/>
    <w:rsid w:val="001E2DB2"/>
    <w:rsid w:val="001E44EC"/>
    <w:rsid w:val="0026556C"/>
    <w:rsid w:val="002A2CC4"/>
    <w:rsid w:val="002E58D5"/>
    <w:rsid w:val="002F12F5"/>
    <w:rsid w:val="002F6F04"/>
    <w:rsid w:val="00386DA4"/>
    <w:rsid w:val="003D3EFD"/>
    <w:rsid w:val="003D4BF9"/>
    <w:rsid w:val="003D4CB3"/>
    <w:rsid w:val="003E72A3"/>
    <w:rsid w:val="003F7A84"/>
    <w:rsid w:val="00450674"/>
    <w:rsid w:val="00463580"/>
    <w:rsid w:val="00476F7A"/>
    <w:rsid w:val="00484160"/>
    <w:rsid w:val="00495122"/>
    <w:rsid w:val="004B428A"/>
    <w:rsid w:val="004C64C7"/>
    <w:rsid w:val="00526432"/>
    <w:rsid w:val="00526E52"/>
    <w:rsid w:val="00542603"/>
    <w:rsid w:val="005831B2"/>
    <w:rsid w:val="0059303D"/>
    <w:rsid w:val="005A4111"/>
    <w:rsid w:val="005A6264"/>
    <w:rsid w:val="005F4164"/>
    <w:rsid w:val="00621247"/>
    <w:rsid w:val="006363C2"/>
    <w:rsid w:val="00651447"/>
    <w:rsid w:val="00694373"/>
    <w:rsid w:val="006A5C5A"/>
    <w:rsid w:val="0072748B"/>
    <w:rsid w:val="00730998"/>
    <w:rsid w:val="00751D42"/>
    <w:rsid w:val="007B7084"/>
    <w:rsid w:val="007D1F10"/>
    <w:rsid w:val="007D58DC"/>
    <w:rsid w:val="007E7D70"/>
    <w:rsid w:val="007F5D1D"/>
    <w:rsid w:val="00824F34"/>
    <w:rsid w:val="008251BF"/>
    <w:rsid w:val="00852734"/>
    <w:rsid w:val="008571FB"/>
    <w:rsid w:val="008626FD"/>
    <w:rsid w:val="00891D13"/>
    <w:rsid w:val="008E2F22"/>
    <w:rsid w:val="008E3C08"/>
    <w:rsid w:val="00921A4B"/>
    <w:rsid w:val="0093094F"/>
    <w:rsid w:val="0094350F"/>
    <w:rsid w:val="00972B64"/>
    <w:rsid w:val="009A5C47"/>
    <w:rsid w:val="009A78A1"/>
    <w:rsid w:val="009D1BAC"/>
    <w:rsid w:val="00A40E06"/>
    <w:rsid w:val="00A74268"/>
    <w:rsid w:val="00A8745F"/>
    <w:rsid w:val="00A978D2"/>
    <w:rsid w:val="00AA7441"/>
    <w:rsid w:val="00AB79E7"/>
    <w:rsid w:val="00AC622A"/>
    <w:rsid w:val="00B95548"/>
    <w:rsid w:val="00B97DC2"/>
    <w:rsid w:val="00BA0188"/>
    <w:rsid w:val="00BD5384"/>
    <w:rsid w:val="00BD6C2A"/>
    <w:rsid w:val="00C01B47"/>
    <w:rsid w:val="00C812A8"/>
    <w:rsid w:val="00C81C1C"/>
    <w:rsid w:val="00CF5BB6"/>
    <w:rsid w:val="00D02DBA"/>
    <w:rsid w:val="00D62240"/>
    <w:rsid w:val="00DD63EE"/>
    <w:rsid w:val="00E15638"/>
    <w:rsid w:val="00E23FEC"/>
    <w:rsid w:val="00E25534"/>
    <w:rsid w:val="00E72F53"/>
    <w:rsid w:val="00EA01BC"/>
    <w:rsid w:val="00EA2652"/>
    <w:rsid w:val="00EC7273"/>
    <w:rsid w:val="00ED219F"/>
    <w:rsid w:val="00EF1670"/>
    <w:rsid w:val="00F633EF"/>
    <w:rsid w:val="00F93BB6"/>
    <w:rsid w:val="00FC164D"/>
    <w:rsid w:val="00FC4F9F"/>
    <w:rsid w:val="00FC7D00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7123B3"/>
  <w15:docId w15:val="{12357ACC-6C20-48B9-AEC1-A591E676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760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44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4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144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47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1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D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DA4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6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E5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E5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E52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7EA5-AE26-46A2-B490-CD7B058A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4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Volvo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Teyssier Pierre</dc:creator>
  <cp:lastModifiedBy>Benedicte Boudol</cp:lastModifiedBy>
  <cp:revision>2</cp:revision>
  <dcterms:created xsi:type="dcterms:W3CDTF">2018-02-07T08:21:00Z</dcterms:created>
  <dcterms:modified xsi:type="dcterms:W3CDTF">2018-02-07T08:21:00Z</dcterms:modified>
</cp:coreProperties>
</file>