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B64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B649A" w:rsidP="008B649A">
            <w:pPr>
              <w:jc w:val="right"/>
            </w:pPr>
            <w:r w:rsidRPr="008B649A">
              <w:rPr>
                <w:sz w:val="40"/>
              </w:rPr>
              <w:t>ECE</w:t>
            </w:r>
            <w:r>
              <w:t>/TRANS/WP.29/GRE/2018/49/Corr.1</w:t>
            </w:r>
          </w:p>
        </w:tc>
      </w:tr>
      <w:tr w:rsidR="002D5AAC" w:rsidRPr="008B649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B64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B649A" w:rsidRDefault="008B649A" w:rsidP="008B6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October 2018</w:t>
            </w:r>
          </w:p>
          <w:p w:rsidR="008B649A" w:rsidRDefault="008B649A" w:rsidP="008B6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B649A" w:rsidRPr="008D53B6" w:rsidRDefault="008B649A" w:rsidP="008B6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B649A" w:rsidRPr="00D17877" w:rsidRDefault="008B649A" w:rsidP="008B649A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D17877">
        <w:rPr>
          <w:bCs/>
          <w:sz w:val="28"/>
          <w:szCs w:val="28"/>
        </w:rPr>
        <w:t>Комитет по внутреннему транспорту</w:t>
      </w:r>
    </w:p>
    <w:p w:rsidR="008B649A" w:rsidRPr="00D17877" w:rsidRDefault="008B649A" w:rsidP="008B649A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D1787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7877">
        <w:rPr>
          <w:b/>
          <w:bCs/>
          <w:sz w:val="24"/>
          <w:szCs w:val="24"/>
        </w:rPr>
        <w:t>в области транспортных средств</w:t>
      </w:r>
    </w:p>
    <w:p w:rsidR="008B649A" w:rsidRPr="00D17877" w:rsidRDefault="008B649A" w:rsidP="008B649A">
      <w:pPr>
        <w:pStyle w:val="SingleTxtGR"/>
        <w:spacing w:after="0"/>
        <w:ind w:left="0"/>
        <w:jc w:val="left"/>
        <w:rPr>
          <w:b/>
        </w:rPr>
      </w:pPr>
      <w:r w:rsidRPr="00D17877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D17877">
        <w:rPr>
          <w:b/>
          <w:bCs/>
        </w:rPr>
        <w:t>и световой сигнализации</w:t>
      </w:r>
    </w:p>
    <w:p w:rsidR="008B649A" w:rsidRPr="00D17877" w:rsidRDefault="008B649A" w:rsidP="008B649A">
      <w:pPr>
        <w:pStyle w:val="SingleTxtGR"/>
        <w:spacing w:before="120" w:after="0"/>
        <w:ind w:left="0"/>
        <w:jc w:val="left"/>
        <w:rPr>
          <w:b/>
          <w:bCs/>
        </w:rPr>
      </w:pPr>
      <w:r w:rsidRPr="00D17877">
        <w:rPr>
          <w:b/>
          <w:bCs/>
        </w:rPr>
        <w:t>Восьмидесятая сессия</w:t>
      </w:r>
    </w:p>
    <w:p w:rsidR="008B649A" w:rsidRPr="00D17877" w:rsidRDefault="008B649A" w:rsidP="008B649A">
      <w:pPr>
        <w:pStyle w:val="SingleTxtGR"/>
        <w:spacing w:after="0"/>
        <w:ind w:left="0"/>
        <w:jc w:val="left"/>
      </w:pPr>
      <w:r w:rsidRPr="00D17877">
        <w:t>Женева, 23</w:t>
      </w:r>
      <w:r>
        <w:t>–</w:t>
      </w:r>
      <w:r w:rsidRPr="00D17877">
        <w:t>26 октября 2018 года</w:t>
      </w:r>
    </w:p>
    <w:p w:rsidR="008B649A" w:rsidRPr="00D17877" w:rsidRDefault="008B649A" w:rsidP="008B649A">
      <w:pPr>
        <w:pStyle w:val="SingleTxtGR"/>
        <w:spacing w:after="0"/>
        <w:ind w:left="0"/>
        <w:jc w:val="left"/>
        <w:rPr>
          <w:bCs/>
        </w:rPr>
      </w:pPr>
      <w:r w:rsidRPr="00D17877">
        <w:rPr>
          <w:bCs/>
        </w:rPr>
        <w:t>Пункт 5 предварительной повестки дня</w:t>
      </w:r>
    </w:p>
    <w:p w:rsidR="008B649A" w:rsidRDefault="008B649A" w:rsidP="008B649A">
      <w:pPr>
        <w:suppressAutoHyphens w:val="0"/>
        <w:spacing w:line="240" w:lineRule="auto"/>
      </w:pPr>
      <w:r w:rsidRPr="00D17877">
        <w:rPr>
          <w:b/>
          <w:bCs/>
        </w:rPr>
        <w:t xml:space="preserve">Правила № 37 ООН (лампы накаливания), </w:t>
      </w:r>
      <w:r>
        <w:rPr>
          <w:b/>
          <w:bCs/>
        </w:rPr>
        <w:br/>
      </w:r>
      <w:r w:rsidRPr="00D17877">
        <w:rPr>
          <w:b/>
          <w:bCs/>
        </w:rPr>
        <w:t>Правила № 99 ООН (газоразрядные источники света),</w:t>
      </w:r>
      <w:r>
        <w:rPr>
          <w:b/>
          <w:bCs/>
        </w:rPr>
        <w:br/>
      </w:r>
      <w:r w:rsidRPr="00D17877">
        <w:rPr>
          <w:b/>
        </w:rPr>
        <w:t xml:space="preserve">Правила № 128 ООН (источники света на СИД) </w:t>
      </w:r>
      <w:r>
        <w:rPr>
          <w:b/>
        </w:rPr>
        <w:br/>
      </w:r>
      <w:r w:rsidRPr="00D17877">
        <w:rPr>
          <w:b/>
        </w:rPr>
        <w:t>и</w:t>
      </w:r>
      <w:r>
        <w:t> </w:t>
      </w:r>
      <w:r w:rsidRPr="00D17877">
        <w:rPr>
          <w:b/>
        </w:rPr>
        <w:t>Сводная резолюция по общей спецификации</w:t>
      </w:r>
      <w:r>
        <w:t xml:space="preserve"> </w:t>
      </w:r>
      <w:r>
        <w:br/>
      </w:r>
      <w:r w:rsidRPr="00D17877">
        <w:rPr>
          <w:b/>
          <w:bCs/>
        </w:rPr>
        <w:t>для</w:t>
      </w:r>
      <w:r>
        <w:rPr>
          <w:bCs/>
        </w:rPr>
        <w:t> </w:t>
      </w:r>
      <w:r w:rsidRPr="00D17877">
        <w:rPr>
          <w:b/>
          <w:bCs/>
        </w:rPr>
        <w:t>категорий источников света</w:t>
      </w:r>
    </w:p>
    <w:p w:rsidR="008B649A" w:rsidRPr="00D17877" w:rsidRDefault="008B649A" w:rsidP="008B649A">
      <w:pPr>
        <w:pStyle w:val="HChGR"/>
      </w:pPr>
      <w:r>
        <w:tab/>
      </w:r>
      <w:r>
        <w:tab/>
      </w:r>
      <w:r w:rsidRPr="00D17877">
        <w:t xml:space="preserve">Предложение по дополнению [8] к первоначальному варианту Правил № 128 </w:t>
      </w:r>
      <w:r>
        <w:t xml:space="preserve">ООН </w:t>
      </w:r>
      <w:r w:rsidRPr="00D17877">
        <w:t>(источники света на</w:t>
      </w:r>
      <w:r>
        <w:t> </w:t>
      </w:r>
      <w:r w:rsidRPr="00D17877">
        <w:t xml:space="preserve">светоизлучающих диодах) </w:t>
      </w:r>
    </w:p>
    <w:p w:rsidR="008B649A" w:rsidRPr="00D17877" w:rsidRDefault="008B649A" w:rsidP="008B649A">
      <w:pPr>
        <w:pStyle w:val="H1GR"/>
        <w:spacing w:before="240"/>
        <w:rPr>
          <w:b w:val="0"/>
          <w:sz w:val="20"/>
        </w:rPr>
      </w:pPr>
      <w:r>
        <w:tab/>
      </w:r>
      <w:r>
        <w:tab/>
        <w:t>Исправление</w:t>
      </w:r>
    </w:p>
    <w:p w:rsidR="008B649A" w:rsidRDefault="008B649A" w:rsidP="008B649A">
      <w:pPr>
        <w:pStyle w:val="SingleTxtGR"/>
        <w:tabs>
          <w:tab w:val="clear" w:pos="1701"/>
        </w:tabs>
        <w:rPr>
          <w:bCs/>
        </w:rPr>
      </w:pPr>
      <w:r>
        <w:rPr>
          <w:bCs/>
        </w:rPr>
        <w:t xml:space="preserve">После пункта 4 </w:t>
      </w:r>
      <w:r w:rsidRPr="005857B8">
        <w:rPr>
          <w:bCs/>
          <w:i/>
        </w:rPr>
        <w:t>включить</w:t>
      </w:r>
      <w:r>
        <w:rPr>
          <w:bCs/>
        </w:rPr>
        <w:t xml:space="preserve"> нижеследующий рисунок.</w:t>
      </w:r>
    </w:p>
    <w:p w:rsidR="008B649A" w:rsidRPr="00B332E7" w:rsidRDefault="008B649A" w:rsidP="008B649A">
      <w:pPr>
        <w:spacing w:before="120"/>
        <w:ind w:left="1134" w:right="1134"/>
        <w:jc w:val="both"/>
        <w:rPr>
          <w:bCs/>
        </w:rPr>
      </w:pPr>
      <w:r>
        <w:rPr>
          <w:bCs/>
        </w:rPr>
        <w:t>Рис</w:t>
      </w:r>
      <w:r w:rsidRPr="00B332E7">
        <w:rPr>
          <w:bCs/>
        </w:rPr>
        <w:t>. 1</w:t>
      </w:r>
    </w:p>
    <w:p w:rsidR="008B649A" w:rsidRPr="0068586E" w:rsidRDefault="008B649A" w:rsidP="008B649A">
      <w:pPr>
        <w:pStyle w:val="Heading1"/>
        <w:ind w:left="1134" w:right="566"/>
        <w:rPr>
          <w:b w:val="0"/>
          <w:color w:val="FF0000"/>
        </w:rPr>
      </w:pPr>
      <w:r w:rsidRPr="0068586E">
        <w:t xml:space="preserve">Примерные параметры допустимого светового потока в </w:t>
      </w:r>
      <w:r>
        <w:t>официально</w:t>
      </w:r>
      <w:r w:rsidRPr="0068586E">
        <w:t xml:space="preserve"> </w:t>
      </w:r>
      <w:r>
        <w:t>утвержденном</w:t>
      </w:r>
      <w:r w:rsidRPr="0068586E">
        <w:t xml:space="preserve"> источнике света </w:t>
      </w:r>
      <w:r>
        <w:t>на</w:t>
      </w:r>
      <w:r w:rsidRPr="0068586E">
        <w:t xml:space="preserve"> </w:t>
      </w:r>
      <w:r>
        <w:t>СИД</w:t>
      </w:r>
      <w:r w:rsidRPr="0068586E">
        <w:t xml:space="preserve"> </w:t>
      </w:r>
      <w:r>
        <w:t>в контексте</w:t>
      </w:r>
      <w:r w:rsidRPr="0068586E">
        <w:t xml:space="preserve"> пункта 1.2 приложения 4 к Правилам № 128 ООН</w:t>
      </w:r>
    </w:p>
    <w:p w:rsidR="008B649A" w:rsidRDefault="008B649A" w:rsidP="008B649A">
      <w:pPr>
        <w:pStyle w:val="SingleTxtG"/>
        <w:spacing w:after="0"/>
      </w:pPr>
      <w:r w:rsidRPr="006C674E">
        <w:rPr>
          <w:noProof/>
          <w:lang w:val="ru-RU" w:eastAsia="ru-RU"/>
        </w:rPr>
        <w:drawing>
          <wp:inline distT="0" distB="0" distL="0" distR="0" wp14:anchorId="1F5068FF" wp14:editId="6AD8BAF4">
            <wp:extent cx="5002160" cy="24200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12" cy="24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5F" w:rsidRPr="008B649A" w:rsidRDefault="008B649A" w:rsidP="008B649A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B649A" w:rsidSect="008B64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87" w:rsidRPr="00A312BC" w:rsidRDefault="00355587" w:rsidP="00A312BC"/>
  </w:endnote>
  <w:endnote w:type="continuationSeparator" w:id="0">
    <w:p w:rsidR="00355587" w:rsidRPr="00A312BC" w:rsidRDefault="003555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A" w:rsidRPr="008B649A" w:rsidRDefault="008B649A">
    <w:pPr>
      <w:pStyle w:val="Footer"/>
    </w:pPr>
    <w:r w:rsidRPr="008B649A">
      <w:rPr>
        <w:b/>
        <w:sz w:val="18"/>
      </w:rPr>
      <w:fldChar w:fldCharType="begin"/>
    </w:r>
    <w:r w:rsidRPr="008B649A">
      <w:rPr>
        <w:b/>
        <w:sz w:val="18"/>
      </w:rPr>
      <w:instrText xml:space="preserve"> PAGE  \* MERGEFORMAT </w:instrText>
    </w:r>
    <w:r w:rsidRPr="008B649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B649A">
      <w:rPr>
        <w:b/>
        <w:sz w:val="18"/>
      </w:rPr>
      <w:fldChar w:fldCharType="end"/>
    </w:r>
    <w:r>
      <w:rPr>
        <w:b/>
        <w:sz w:val="18"/>
      </w:rPr>
      <w:tab/>
    </w:r>
    <w:r>
      <w:t>GE.18-17378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A" w:rsidRPr="008B649A" w:rsidRDefault="008B649A" w:rsidP="008B649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GE.18-17378</w:t>
    </w:r>
    <w:r>
      <w:tab/>
    </w:r>
    <w:r w:rsidRPr="008B649A">
      <w:rPr>
        <w:b/>
        <w:sz w:val="18"/>
      </w:rPr>
      <w:fldChar w:fldCharType="begin"/>
    </w:r>
    <w:r w:rsidRPr="008B649A">
      <w:rPr>
        <w:b/>
        <w:sz w:val="18"/>
      </w:rPr>
      <w:instrText xml:space="preserve"> PAGE  \* MERGEFORMAT </w:instrText>
    </w:r>
    <w:r w:rsidRPr="008B64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64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B649A" w:rsidRDefault="008B649A" w:rsidP="008B64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18-17378  (R)</w:t>
    </w:r>
    <w:r>
      <w:rPr>
        <w:lang w:val="en-US"/>
      </w:rPr>
      <w:t xml:space="preserve">  241018  241018</w:t>
    </w:r>
    <w:r>
      <w:br/>
    </w:r>
    <w:r w:rsidRPr="008B649A">
      <w:rPr>
        <w:rFonts w:ascii="C39T30Lfz" w:hAnsi="C39T30Lfz"/>
        <w:kern w:val="14"/>
        <w:sz w:val="56"/>
      </w:rPr>
      <w:t></w:t>
    </w:r>
    <w:r w:rsidRPr="008B649A">
      <w:rPr>
        <w:rFonts w:ascii="C39T30Lfz" w:hAnsi="C39T30Lfz"/>
        <w:kern w:val="14"/>
        <w:sz w:val="56"/>
      </w:rPr>
      <w:t></w:t>
    </w:r>
    <w:r w:rsidRPr="008B649A">
      <w:rPr>
        <w:rFonts w:ascii="C39T30Lfz" w:hAnsi="C39T30Lfz"/>
        <w:kern w:val="14"/>
        <w:sz w:val="56"/>
      </w:rPr>
      <w:t></w:t>
    </w:r>
    <w:r w:rsidRPr="008B649A">
      <w:rPr>
        <w:rFonts w:ascii="C39T30Lfz" w:hAnsi="C39T30Lfz"/>
        <w:kern w:val="14"/>
        <w:sz w:val="56"/>
      </w:rPr>
      <w:t></w:t>
    </w:r>
    <w:r w:rsidRPr="008B649A">
      <w:rPr>
        <w:rFonts w:ascii="C39T30Lfz" w:hAnsi="C39T30Lfz"/>
        <w:kern w:val="14"/>
        <w:sz w:val="56"/>
      </w:rPr>
      <w:t></w:t>
    </w:r>
    <w:r w:rsidRPr="008B649A">
      <w:rPr>
        <w:rFonts w:ascii="C39T30Lfz" w:hAnsi="C39T30Lfz"/>
        <w:kern w:val="14"/>
        <w:sz w:val="56"/>
      </w:rPr>
      <w:t></w:t>
    </w:r>
    <w:r w:rsidRPr="008B649A">
      <w:rPr>
        <w:rFonts w:ascii="C39T30Lfz" w:hAnsi="C39T30Lfz"/>
        <w:kern w:val="14"/>
        <w:sz w:val="56"/>
      </w:rPr>
      <w:t></w:t>
    </w:r>
    <w:r w:rsidRPr="008B649A">
      <w:rPr>
        <w:rFonts w:ascii="C39T30Lfz" w:hAnsi="C39T30Lfz"/>
        <w:kern w:val="14"/>
        <w:sz w:val="56"/>
      </w:rPr>
      <w:t></w:t>
    </w:r>
    <w:r w:rsidRPr="008B649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9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9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87" w:rsidRPr="001075E9" w:rsidRDefault="003555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5587" w:rsidRDefault="003555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A" w:rsidRPr="008B649A" w:rsidRDefault="00533C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79AD">
      <w:t>ECE/TRANS/WP.29/GRE/2018/49/Corr.1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A" w:rsidRPr="008B649A" w:rsidRDefault="00533CE3" w:rsidP="008B64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79AD">
      <w:t>ECE/TRANS/WP.29/GRE/2018/49/Corr.1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8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9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587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CE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43D6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49A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168A226-1FB5-4B43-8EDF-CD75D93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B649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8B649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ECE/TRANS/WP.29/GRE/2018/49/Corr.1</vt:lpstr>
      <vt:lpstr>A/</vt:lpstr>
      <vt:lpstr>A/</vt:lpstr>
    </vt:vector>
  </TitlesOfParts>
  <Company>DCM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ECE/TRANS/WP.29/GRE/2018/49/Corr.1</dc:title>
  <dc:subject/>
  <dc:creator>Marina KOROTKOVA</dc:creator>
  <cp:keywords/>
  <cp:lastModifiedBy>Benedicte Boudol</cp:lastModifiedBy>
  <cp:revision>2</cp:revision>
  <cp:lastPrinted>2018-10-24T11:24:00Z</cp:lastPrinted>
  <dcterms:created xsi:type="dcterms:W3CDTF">2018-12-04T10:10:00Z</dcterms:created>
  <dcterms:modified xsi:type="dcterms:W3CDTF">2018-12-04T10:10:00Z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