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9703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9703C" w:rsidP="0089703C">
            <w:pPr>
              <w:jc w:val="right"/>
            </w:pPr>
            <w:r w:rsidRPr="0089703C">
              <w:rPr>
                <w:sz w:val="40"/>
              </w:rPr>
              <w:t>ECE</w:t>
            </w:r>
            <w:r>
              <w:t>/TRANS/WP.29/GRE/2018/45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9703C" w:rsidP="00C97039">
            <w:pPr>
              <w:spacing w:before="240"/>
            </w:pPr>
            <w:proofErr w:type="spellStart"/>
            <w:r>
              <w:t>Distr</w:t>
            </w:r>
            <w:proofErr w:type="spellEnd"/>
            <w:r>
              <w:t>. générale</w:t>
            </w:r>
          </w:p>
          <w:p w:rsidR="0089703C" w:rsidRDefault="0089703C" w:rsidP="0089703C">
            <w:pPr>
              <w:spacing w:line="240" w:lineRule="exact"/>
            </w:pPr>
            <w:r>
              <w:t>10 août 2018</w:t>
            </w:r>
          </w:p>
          <w:p w:rsidR="0089703C" w:rsidRDefault="0089703C" w:rsidP="0089703C">
            <w:pPr>
              <w:spacing w:line="240" w:lineRule="exact"/>
            </w:pPr>
            <w:r>
              <w:t>Français</w:t>
            </w:r>
          </w:p>
          <w:p w:rsidR="0089703C" w:rsidRPr="00DB58B5" w:rsidRDefault="0089703C" w:rsidP="0089703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1137" w:rsidRPr="00951942" w:rsidRDefault="00E41137" w:rsidP="00951942">
      <w:pPr>
        <w:spacing w:before="120"/>
        <w:rPr>
          <w:b/>
          <w:sz w:val="24"/>
          <w:szCs w:val="24"/>
        </w:rPr>
      </w:pPr>
      <w:r w:rsidRPr="00951942">
        <w:rPr>
          <w:b/>
          <w:sz w:val="24"/>
          <w:szCs w:val="24"/>
          <w:lang w:val="fr-FR"/>
        </w:rPr>
        <w:t xml:space="preserve">Forum mondial de l’harmonisation </w:t>
      </w:r>
      <w:r w:rsidR="00951942">
        <w:rPr>
          <w:b/>
          <w:sz w:val="24"/>
          <w:szCs w:val="24"/>
          <w:lang w:val="fr-FR"/>
        </w:rPr>
        <w:br/>
      </w:r>
      <w:r w:rsidRPr="00951942">
        <w:rPr>
          <w:b/>
          <w:sz w:val="24"/>
          <w:szCs w:val="24"/>
          <w:lang w:val="fr-FR"/>
        </w:rPr>
        <w:t>des Règlements concernant les véhicules</w:t>
      </w:r>
    </w:p>
    <w:p w:rsidR="00E41137" w:rsidRPr="00951942" w:rsidRDefault="00E41137" w:rsidP="00951942">
      <w:pPr>
        <w:spacing w:before="120"/>
        <w:rPr>
          <w:b/>
          <w:bCs/>
        </w:rPr>
      </w:pPr>
      <w:r w:rsidRPr="00951942">
        <w:rPr>
          <w:b/>
          <w:lang w:val="fr-FR"/>
        </w:rPr>
        <w:t>Groupe de travail de l’éclairage et de la signalisation lumineuse</w:t>
      </w:r>
    </w:p>
    <w:p w:rsidR="00E41137" w:rsidRPr="00951942" w:rsidRDefault="00E41137" w:rsidP="00951942">
      <w:pPr>
        <w:spacing w:before="120"/>
        <w:rPr>
          <w:b/>
        </w:rPr>
      </w:pPr>
      <w:r w:rsidRPr="00951942">
        <w:rPr>
          <w:b/>
          <w:bCs/>
          <w:lang w:val="fr-FR"/>
        </w:rPr>
        <w:t>Quatre-vingtième session</w:t>
      </w:r>
    </w:p>
    <w:p w:rsidR="00E41137" w:rsidRPr="00951942" w:rsidRDefault="00E41137" w:rsidP="00E41137">
      <w:pPr>
        <w:rPr>
          <w:bCs/>
        </w:rPr>
      </w:pPr>
      <w:r w:rsidRPr="00951942">
        <w:rPr>
          <w:lang w:val="fr-FR"/>
        </w:rPr>
        <w:t>Genève, 23-26</w:t>
      </w:r>
      <w:r w:rsidR="00951942">
        <w:rPr>
          <w:lang w:val="fr-FR"/>
        </w:rPr>
        <w:t> </w:t>
      </w:r>
      <w:r w:rsidRPr="00951942">
        <w:rPr>
          <w:lang w:val="fr-FR"/>
        </w:rPr>
        <w:t>octobre 2018</w:t>
      </w:r>
    </w:p>
    <w:p w:rsidR="00E41137" w:rsidRPr="00951942" w:rsidRDefault="00E41137" w:rsidP="00E41137">
      <w:pPr>
        <w:rPr>
          <w:b/>
          <w:bCs/>
        </w:rPr>
      </w:pPr>
      <w:r w:rsidRPr="00951942">
        <w:rPr>
          <w:lang w:val="fr-FR"/>
        </w:rPr>
        <w:t>Point 7</w:t>
      </w:r>
      <w:r w:rsidR="00951942">
        <w:rPr>
          <w:lang w:val="fr-FR"/>
        </w:rPr>
        <w:t> </w:t>
      </w:r>
      <w:r w:rsidRPr="00951942">
        <w:rPr>
          <w:lang w:val="fr-FR"/>
        </w:rPr>
        <w:t xml:space="preserve">b) de l’ordre du jour provisoire </w:t>
      </w:r>
    </w:p>
    <w:p w:rsidR="00E41137" w:rsidRPr="00951942" w:rsidRDefault="00E41137" w:rsidP="00E41137">
      <w:pPr>
        <w:rPr>
          <w:b/>
          <w:bCs/>
        </w:rPr>
      </w:pPr>
      <w:r w:rsidRPr="00951942">
        <w:rPr>
          <w:b/>
          <w:lang w:val="fr-FR"/>
        </w:rPr>
        <w:t>Autres Règlements ONU</w:t>
      </w:r>
      <w:r w:rsidR="00714177">
        <w:rPr>
          <w:b/>
          <w:lang w:val="fr-FR"/>
        </w:rPr>
        <w:t> </w:t>
      </w:r>
      <w:r w:rsidRPr="00951942">
        <w:rPr>
          <w:b/>
          <w:lang w:val="fr-FR"/>
        </w:rPr>
        <w:t xml:space="preserve">: </w:t>
      </w:r>
      <w:r w:rsidR="001C7DA6">
        <w:rPr>
          <w:b/>
          <w:lang w:val="fr-FR"/>
        </w:rPr>
        <w:br/>
      </w:r>
      <w:r w:rsidRPr="00951942">
        <w:rPr>
          <w:b/>
          <w:lang w:val="fr-FR"/>
        </w:rPr>
        <w:t>Règlement ONU n</w:t>
      </w:r>
      <w:r w:rsidRPr="00951942">
        <w:rPr>
          <w:b/>
          <w:vertAlign w:val="superscript"/>
          <w:lang w:val="fr-FR"/>
        </w:rPr>
        <w:t>o</w:t>
      </w:r>
      <w:r w:rsidR="00951942" w:rsidRPr="00951942">
        <w:rPr>
          <w:b/>
          <w:lang w:val="fr-FR"/>
        </w:rPr>
        <w:t> </w:t>
      </w:r>
      <w:r w:rsidRPr="00951942">
        <w:rPr>
          <w:b/>
          <w:lang w:val="fr-FR"/>
        </w:rPr>
        <w:t xml:space="preserve">53 (Installation des dispositifs d’éclairage </w:t>
      </w:r>
      <w:r w:rsidR="001C7DA6">
        <w:rPr>
          <w:b/>
          <w:lang w:val="fr-FR"/>
        </w:rPr>
        <w:br/>
      </w:r>
      <w:r w:rsidRPr="00951942">
        <w:rPr>
          <w:b/>
          <w:lang w:val="fr-FR"/>
        </w:rPr>
        <w:t>et de signalisation lumineuse sur les véhicules de la catégorie L</w:t>
      </w:r>
      <w:r w:rsidRPr="00951942">
        <w:rPr>
          <w:b/>
          <w:vertAlign w:val="subscript"/>
          <w:lang w:val="fr-FR"/>
        </w:rPr>
        <w:t>3</w:t>
      </w:r>
      <w:r w:rsidRPr="00951942">
        <w:rPr>
          <w:b/>
          <w:lang w:val="fr-FR"/>
        </w:rPr>
        <w:t>)</w:t>
      </w:r>
    </w:p>
    <w:p w:rsidR="00E41137" w:rsidRPr="001B3CAC" w:rsidRDefault="00951942" w:rsidP="00951942">
      <w:pPr>
        <w:pStyle w:val="HChG"/>
      </w:pPr>
      <w:r>
        <w:rPr>
          <w:lang w:val="fr-FR"/>
        </w:rPr>
        <w:tab/>
      </w:r>
      <w:r>
        <w:rPr>
          <w:lang w:val="fr-FR"/>
        </w:rPr>
        <w:tab/>
      </w:r>
      <w:r w:rsidR="00E41137" w:rsidRPr="001B3CAC">
        <w:rPr>
          <w:lang w:val="fr-FR"/>
        </w:rPr>
        <w:t>Proposition de nouveau complément aux séries 01 et 02 d</w:t>
      </w:r>
      <w:r w:rsidR="00E41137">
        <w:rPr>
          <w:lang w:val="fr-FR"/>
        </w:rPr>
        <w:t>’</w:t>
      </w:r>
      <w:r w:rsidR="00E41137" w:rsidRPr="001B3CAC">
        <w:rPr>
          <w:lang w:val="fr-FR"/>
        </w:rPr>
        <w:t xml:space="preserve">amendements au Règlement </w:t>
      </w:r>
      <w:r w:rsidR="00E41137">
        <w:rPr>
          <w:lang w:val="fr-FR"/>
        </w:rPr>
        <w:t xml:space="preserve">ONU </w:t>
      </w:r>
      <w:r w:rsidR="00E41137" w:rsidRPr="001B3CAC">
        <w:rPr>
          <w:lang w:val="fr-FR"/>
        </w:rPr>
        <w:t>n</w:t>
      </w:r>
      <w:r w:rsidR="00E41137" w:rsidRPr="001B3CAC">
        <w:rPr>
          <w:vertAlign w:val="superscript"/>
          <w:lang w:val="fr-FR"/>
        </w:rPr>
        <w:t>o</w:t>
      </w:r>
      <w:r>
        <w:rPr>
          <w:lang w:val="fr-FR"/>
        </w:rPr>
        <w:t> </w:t>
      </w:r>
      <w:r w:rsidR="00E41137" w:rsidRPr="001B3CAC">
        <w:rPr>
          <w:lang w:val="fr-FR"/>
        </w:rPr>
        <w:t xml:space="preserve">53 (Installation </w:t>
      </w:r>
      <w:r>
        <w:rPr>
          <w:lang w:val="fr-FR"/>
        </w:rPr>
        <w:br/>
      </w:r>
      <w:r w:rsidR="00E41137" w:rsidRPr="001B3CAC">
        <w:rPr>
          <w:lang w:val="fr-FR"/>
        </w:rPr>
        <w:t>des dispositifs d</w:t>
      </w:r>
      <w:r w:rsidR="00E41137">
        <w:rPr>
          <w:lang w:val="fr-FR"/>
        </w:rPr>
        <w:t>’</w:t>
      </w:r>
      <w:r w:rsidR="00E41137" w:rsidRPr="001B3CAC">
        <w:rPr>
          <w:lang w:val="fr-FR"/>
        </w:rPr>
        <w:t xml:space="preserve">éclairage et de signalisation </w:t>
      </w:r>
      <w:r>
        <w:rPr>
          <w:lang w:val="fr-FR"/>
        </w:rPr>
        <w:br/>
      </w:r>
      <w:r w:rsidR="00E41137" w:rsidRPr="001B3CAC">
        <w:rPr>
          <w:lang w:val="fr-FR"/>
        </w:rPr>
        <w:t>lumineuse sur les véhicules de la catégorie L</w:t>
      </w:r>
      <w:r w:rsidR="00E41137" w:rsidRPr="001B3CAC">
        <w:rPr>
          <w:vertAlign w:val="subscript"/>
          <w:lang w:val="fr-FR"/>
        </w:rPr>
        <w:t>3</w:t>
      </w:r>
      <w:r w:rsidR="00E41137" w:rsidRPr="001B3CAC">
        <w:rPr>
          <w:lang w:val="fr-FR"/>
        </w:rPr>
        <w:t>)</w:t>
      </w:r>
    </w:p>
    <w:p w:rsidR="00E41137" w:rsidRPr="001B3CAC" w:rsidRDefault="00951942" w:rsidP="00951942">
      <w:pPr>
        <w:pStyle w:val="H1G"/>
      </w:pPr>
      <w:r>
        <w:rPr>
          <w:lang w:val="fr-FR"/>
        </w:rPr>
        <w:tab/>
      </w:r>
      <w:r>
        <w:rPr>
          <w:lang w:val="fr-FR"/>
        </w:rPr>
        <w:tab/>
      </w:r>
      <w:r w:rsidR="00E41137" w:rsidRPr="001B3CAC">
        <w:rPr>
          <w:lang w:val="fr-FR"/>
        </w:rPr>
        <w:t>Communication de l</w:t>
      </w:r>
      <w:r w:rsidR="00E41137">
        <w:rPr>
          <w:lang w:val="fr-FR"/>
        </w:rPr>
        <w:t>’</w:t>
      </w:r>
      <w:r w:rsidR="00E41137" w:rsidRPr="001B3CAC">
        <w:rPr>
          <w:lang w:val="fr-FR"/>
        </w:rPr>
        <w:t>expert de l</w:t>
      </w:r>
      <w:r w:rsidR="00E41137">
        <w:rPr>
          <w:lang w:val="fr-FR"/>
        </w:rPr>
        <w:t>’</w:t>
      </w:r>
      <w:r w:rsidR="00E41137" w:rsidRPr="001B3CAC">
        <w:rPr>
          <w:lang w:val="fr-FR"/>
        </w:rPr>
        <w:t xml:space="preserve">Association internationale </w:t>
      </w:r>
      <w:r>
        <w:rPr>
          <w:lang w:val="fr-FR"/>
        </w:rPr>
        <w:br/>
      </w:r>
      <w:r w:rsidR="00E41137" w:rsidRPr="001B3CAC">
        <w:rPr>
          <w:lang w:val="fr-FR"/>
        </w:rPr>
        <w:t>des constructeurs de motocycles (IMMA)</w:t>
      </w:r>
      <w:r w:rsidRPr="00951942">
        <w:rPr>
          <w:rStyle w:val="FootnoteReference"/>
          <w:sz w:val="20"/>
          <w:vertAlign w:val="baseline"/>
        </w:rPr>
        <w:footnoteReference w:customMarkFollows="1" w:id="2"/>
        <w:t>*</w:t>
      </w:r>
    </w:p>
    <w:p w:rsidR="00951942" w:rsidRDefault="00E41137" w:rsidP="00951942">
      <w:pPr>
        <w:pStyle w:val="SingleTxtG"/>
        <w:ind w:firstLine="567"/>
        <w:rPr>
          <w:lang w:val="fr-FR"/>
        </w:rPr>
      </w:pPr>
      <w:r w:rsidRPr="00951942">
        <w:rPr>
          <w:lang w:val="fr-FR"/>
        </w:rPr>
        <w:t>Le texte reproduit ci-après a été établi par l’expert de l’IMMA en vue de</w:t>
      </w:r>
      <w:r w:rsidR="000700B7">
        <w:rPr>
          <w:lang w:val="fr-FR"/>
        </w:rPr>
        <w:t xml:space="preserve"> </w:t>
      </w:r>
      <w:r w:rsidRPr="00951942">
        <w:rPr>
          <w:lang w:val="fr-FR"/>
        </w:rPr>
        <w:t>clarifier l’usage des feux indicateurs de direction comme moyen d’indiquer l’état du dispositif de protection des véhicules contre une utilisation non autorisée. Les modifications qu’il est proposé d’apporter au texte actuel du Règlement ONU n</w:t>
      </w:r>
      <w:r w:rsidRPr="00951942">
        <w:rPr>
          <w:vertAlign w:val="superscript"/>
          <w:lang w:val="fr-FR"/>
        </w:rPr>
        <w:t>o</w:t>
      </w:r>
      <w:r w:rsidR="00951942">
        <w:rPr>
          <w:lang w:val="fr-FR"/>
        </w:rPr>
        <w:t> </w:t>
      </w:r>
      <w:r w:rsidRPr="00951942">
        <w:rPr>
          <w:lang w:val="fr-FR"/>
        </w:rPr>
        <w:t>53 sont signalées en caractères gras pour les ajouts ou biffé</w:t>
      </w:r>
      <w:r w:rsidR="00BC7B44">
        <w:rPr>
          <w:lang w:val="fr-FR"/>
        </w:rPr>
        <w:t>e</w:t>
      </w:r>
      <w:r w:rsidRPr="00951942">
        <w:rPr>
          <w:lang w:val="fr-FR"/>
        </w:rPr>
        <w:t>s pour les suppressions.</w:t>
      </w:r>
    </w:p>
    <w:p w:rsidR="00E41137" w:rsidRPr="001B3CAC" w:rsidRDefault="00951942" w:rsidP="00951942">
      <w:pPr>
        <w:pStyle w:val="HChG"/>
      </w:pPr>
      <w:r>
        <w:rPr>
          <w:lang w:val="fr-FR"/>
        </w:rPr>
        <w:br w:type="page"/>
      </w:r>
      <w:r>
        <w:rPr>
          <w:lang w:val="fr-FR"/>
        </w:rPr>
        <w:lastRenderedPageBreak/>
        <w:tab/>
      </w:r>
      <w:r w:rsidR="00E41137" w:rsidRPr="001B3CAC">
        <w:rPr>
          <w:lang w:val="fr-FR"/>
        </w:rPr>
        <w:t>I.</w:t>
      </w:r>
      <w:r w:rsidR="00E41137" w:rsidRPr="001B3CAC">
        <w:rPr>
          <w:lang w:val="fr-FR"/>
        </w:rPr>
        <w:tab/>
        <w:t>Proposition</w:t>
      </w:r>
    </w:p>
    <w:p w:rsidR="00E41137" w:rsidRPr="00951942" w:rsidRDefault="00E41137" w:rsidP="00951942">
      <w:pPr>
        <w:pStyle w:val="SingleTxtG"/>
        <w:keepNext/>
      </w:pPr>
      <w:r w:rsidRPr="00951942">
        <w:rPr>
          <w:i/>
          <w:lang w:val="fr-FR"/>
        </w:rPr>
        <w:t>Paragraphe 6.3.6</w:t>
      </w:r>
      <w:r w:rsidRPr="00951942">
        <w:rPr>
          <w:lang w:val="fr-FR"/>
        </w:rPr>
        <w:t>, lire</w:t>
      </w:r>
      <w:r w:rsidR="00951942">
        <w:rPr>
          <w:lang w:val="fr-FR"/>
        </w:rPr>
        <w:t> </w:t>
      </w:r>
      <w:r w:rsidRPr="00951942">
        <w:rPr>
          <w:lang w:val="fr-FR"/>
        </w:rPr>
        <w:t>:</w:t>
      </w:r>
    </w:p>
    <w:p w:rsidR="00E41137" w:rsidRPr="00951942" w:rsidRDefault="00951942" w:rsidP="00951942">
      <w:pPr>
        <w:pStyle w:val="SingleTxtG"/>
        <w:keepNext/>
        <w:tabs>
          <w:tab w:val="left" w:pos="2268"/>
        </w:tabs>
        <w:rPr>
          <w:color w:val="000000"/>
          <w:sz w:val="22"/>
        </w:rPr>
      </w:pPr>
      <w:r>
        <w:rPr>
          <w:lang w:val="fr-FR"/>
        </w:rPr>
        <w:t>« 6.3.6</w:t>
      </w:r>
      <w:r>
        <w:rPr>
          <w:lang w:val="fr-FR"/>
        </w:rPr>
        <w:tab/>
      </w:r>
      <w:r w:rsidR="00E41137" w:rsidRPr="00951942">
        <w:rPr>
          <w:lang w:val="fr-FR"/>
        </w:rPr>
        <w:t>Branchements électriques</w:t>
      </w:r>
    </w:p>
    <w:p w:rsidR="00E41137" w:rsidRPr="00951942" w:rsidRDefault="00E41137" w:rsidP="00951942">
      <w:pPr>
        <w:pStyle w:val="SingleTxtG"/>
        <w:tabs>
          <w:tab w:val="left" w:pos="2268"/>
        </w:tabs>
        <w:ind w:left="2268" w:hanging="1134"/>
        <w:rPr>
          <w:color w:val="000000"/>
          <w:sz w:val="22"/>
        </w:rPr>
      </w:pPr>
      <w:r w:rsidRPr="00951942">
        <w:rPr>
          <w:b/>
          <w:lang w:val="fr-FR"/>
        </w:rPr>
        <w:t>6.3.6.1</w:t>
      </w:r>
      <w:r w:rsidRPr="00951942">
        <w:rPr>
          <w:lang w:val="fr-FR"/>
        </w:rPr>
        <w:tab/>
      </w:r>
      <w:r w:rsidRPr="00951942">
        <w:rPr>
          <w:lang w:val="fr-FR"/>
        </w:rPr>
        <w:tab/>
        <w:t>L’allumage des feux indicateurs de direction est indépendant de celui des autres feux. Tous les indicateurs de direction situés sur un même côté du véhicule sont allumés et éteints par la même commande.</w:t>
      </w:r>
    </w:p>
    <w:p w:rsidR="00E41137" w:rsidRPr="00951942" w:rsidRDefault="00951942" w:rsidP="00951942">
      <w:pPr>
        <w:pStyle w:val="SingleTxtG"/>
        <w:tabs>
          <w:tab w:val="left" w:pos="2268"/>
        </w:tabs>
        <w:ind w:left="2268" w:hanging="1134"/>
        <w:rPr>
          <w:b/>
          <w:color w:val="000000"/>
          <w:sz w:val="22"/>
        </w:rPr>
      </w:pPr>
      <w:r>
        <w:rPr>
          <w:b/>
          <w:lang w:val="fr-FR"/>
        </w:rPr>
        <w:t>6.3.6.2</w:t>
      </w:r>
      <w:r w:rsidR="00E41137" w:rsidRPr="00951942">
        <w:rPr>
          <w:b/>
          <w:lang w:val="fr-FR"/>
        </w:rPr>
        <w:tab/>
      </w:r>
      <w:r w:rsidR="00E41137" w:rsidRPr="00951942">
        <w:rPr>
          <w:b/>
          <w:bCs/>
          <w:lang w:val="fr-FR"/>
        </w:rPr>
        <w:t>Les feux indicateurs de direction peuvent être allumés pour indiquer l’état du dispositif de protection du véhicule contre une utilisation non autorisée.</w:t>
      </w:r>
    </w:p>
    <w:p w:rsidR="00E41137" w:rsidRPr="00951942" w:rsidRDefault="00951942" w:rsidP="00951942">
      <w:pPr>
        <w:pStyle w:val="SingleTxtG"/>
        <w:keepNext/>
        <w:tabs>
          <w:tab w:val="left" w:pos="2268"/>
        </w:tabs>
        <w:ind w:left="2268" w:hanging="1134"/>
        <w:rPr>
          <w:b/>
          <w:color w:val="000000"/>
          <w:sz w:val="22"/>
        </w:rPr>
      </w:pPr>
      <w:r>
        <w:rPr>
          <w:b/>
          <w:lang w:val="fr-FR"/>
        </w:rPr>
        <w:t>6.3.6.3</w:t>
      </w:r>
      <w:r w:rsidR="00E41137" w:rsidRPr="00951942">
        <w:rPr>
          <w:b/>
          <w:lang w:val="fr-FR"/>
        </w:rPr>
        <w:tab/>
      </w:r>
      <w:r w:rsidR="00E41137" w:rsidRPr="00951942">
        <w:rPr>
          <w:b/>
          <w:bCs/>
          <w:lang w:val="fr-FR"/>
        </w:rPr>
        <w:t>L’indication décrite au paragraphe</w:t>
      </w:r>
      <w:r>
        <w:rPr>
          <w:b/>
          <w:bCs/>
          <w:lang w:val="fr-FR"/>
        </w:rPr>
        <w:t> </w:t>
      </w:r>
      <w:r w:rsidR="00E41137" w:rsidRPr="00951942">
        <w:rPr>
          <w:b/>
          <w:bCs/>
          <w:lang w:val="fr-FR"/>
        </w:rPr>
        <w:t>6.3.6.2 doit être produite par</w:t>
      </w:r>
      <w:r w:rsidR="000700B7">
        <w:rPr>
          <w:b/>
          <w:bCs/>
          <w:lang w:val="fr-FR"/>
        </w:rPr>
        <w:t xml:space="preserve"> </w:t>
      </w:r>
      <w:r w:rsidR="00E41137" w:rsidRPr="00951942">
        <w:rPr>
          <w:b/>
          <w:bCs/>
          <w:lang w:val="fr-FR"/>
        </w:rPr>
        <w:t>le fonctionnement simultané des feux indicateurs de direction et doit remplir les conditions suivantes :</w:t>
      </w:r>
    </w:p>
    <w:p w:rsidR="00E41137" w:rsidRPr="00951942" w:rsidRDefault="00E41137" w:rsidP="00951942">
      <w:pPr>
        <w:pStyle w:val="SingleTxtG"/>
        <w:tabs>
          <w:tab w:val="left" w:pos="4820"/>
        </w:tabs>
        <w:ind w:left="2268"/>
        <w:rPr>
          <w:b/>
          <w:color w:val="000000"/>
          <w:sz w:val="22"/>
        </w:rPr>
      </w:pPr>
      <w:r w:rsidRPr="00951942">
        <w:rPr>
          <w:b/>
          <w:lang w:val="fr-FR"/>
        </w:rPr>
        <w:t>En cas d’indication unique :</w:t>
      </w:r>
      <w:r w:rsidRPr="00951942">
        <w:rPr>
          <w:b/>
          <w:lang w:val="fr-FR"/>
        </w:rPr>
        <w:tab/>
        <w:t>3 secondes au maximum</w:t>
      </w:r>
    </w:p>
    <w:p w:rsidR="00E41137" w:rsidRPr="00951942" w:rsidRDefault="00E41137" w:rsidP="00951942">
      <w:pPr>
        <w:pStyle w:val="SingleTxtG"/>
        <w:keepNext/>
        <w:tabs>
          <w:tab w:val="left" w:pos="4820"/>
        </w:tabs>
        <w:ind w:left="2268"/>
        <w:rPr>
          <w:b/>
          <w:color w:val="000000"/>
          <w:sz w:val="22"/>
        </w:rPr>
      </w:pPr>
      <w:r w:rsidRPr="00951942">
        <w:rPr>
          <w:b/>
          <w:bCs/>
          <w:lang w:val="fr-FR"/>
        </w:rPr>
        <w:t>En cas d’indication continue :</w:t>
      </w:r>
    </w:p>
    <w:p w:rsidR="00E41137" w:rsidRPr="00951942" w:rsidRDefault="00E41137" w:rsidP="00951942">
      <w:pPr>
        <w:pStyle w:val="SingleTxtG"/>
        <w:tabs>
          <w:tab w:val="left" w:pos="4592"/>
        </w:tabs>
        <w:ind w:left="2835"/>
        <w:rPr>
          <w:b/>
          <w:color w:val="000000"/>
          <w:sz w:val="22"/>
        </w:rPr>
      </w:pPr>
      <w:r w:rsidRPr="00951942">
        <w:rPr>
          <w:b/>
          <w:bCs/>
          <w:lang w:val="fr-FR"/>
        </w:rPr>
        <w:t>Durée</w:t>
      </w:r>
      <w:r w:rsidR="00951942">
        <w:rPr>
          <w:b/>
          <w:bCs/>
          <w:lang w:val="fr-FR"/>
        </w:rPr>
        <w:t> </w:t>
      </w:r>
      <w:r w:rsidRPr="00951942">
        <w:rPr>
          <w:b/>
          <w:bCs/>
          <w:lang w:val="fr-FR"/>
        </w:rPr>
        <w:t>:</w:t>
      </w:r>
      <w:r w:rsidRPr="00951942">
        <w:rPr>
          <w:lang w:val="fr-FR"/>
        </w:rPr>
        <w:tab/>
      </w:r>
      <w:r w:rsidRPr="00951942">
        <w:rPr>
          <w:b/>
          <w:bCs/>
          <w:lang w:val="fr-FR"/>
        </w:rPr>
        <w:t>5 minutes au maximum</w:t>
      </w:r>
    </w:p>
    <w:p w:rsidR="00E41137" w:rsidRPr="00951942" w:rsidRDefault="00E41137" w:rsidP="00951942">
      <w:pPr>
        <w:pStyle w:val="SingleTxtG"/>
        <w:tabs>
          <w:tab w:val="left" w:pos="4592"/>
        </w:tabs>
        <w:ind w:left="2835"/>
        <w:rPr>
          <w:b/>
          <w:color w:val="000000"/>
          <w:sz w:val="22"/>
        </w:rPr>
      </w:pPr>
      <w:r w:rsidRPr="00951942">
        <w:rPr>
          <w:b/>
          <w:bCs/>
          <w:lang w:val="fr-FR"/>
        </w:rPr>
        <w:t>Fréquence :</w:t>
      </w:r>
      <w:r w:rsidRPr="00951942">
        <w:rPr>
          <w:lang w:val="fr-FR"/>
        </w:rPr>
        <w:tab/>
      </w:r>
      <w:r w:rsidRPr="00951942">
        <w:rPr>
          <w:b/>
          <w:bCs/>
          <w:lang w:val="fr-FR"/>
        </w:rPr>
        <w:t>(2 ± 1) Hz</w:t>
      </w:r>
    </w:p>
    <w:p w:rsidR="00E41137" w:rsidRPr="00951942" w:rsidRDefault="00951942" w:rsidP="00951942">
      <w:pPr>
        <w:pStyle w:val="SingleTxtG"/>
        <w:tabs>
          <w:tab w:val="left" w:pos="4592"/>
        </w:tabs>
        <w:ind w:left="2835"/>
        <w:rPr>
          <w:b/>
          <w:color w:val="000000"/>
          <w:sz w:val="22"/>
        </w:rPr>
      </w:pPr>
      <w:r>
        <w:rPr>
          <w:b/>
          <w:bCs/>
          <w:lang w:val="fr-FR"/>
        </w:rPr>
        <w:t>Durée de marche :</w:t>
      </w:r>
      <w:r>
        <w:rPr>
          <w:b/>
          <w:bCs/>
          <w:lang w:val="fr-FR"/>
        </w:rPr>
        <w:tab/>
      </w:r>
      <w:r w:rsidR="00E41137" w:rsidRPr="00951942">
        <w:rPr>
          <w:b/>
          <w:bCs/>
          <w:lang w:val="fr-FR"/>
        </w:rPr>
        <w:t>durée d’arrêt ± 10</w:t>
      </w:r>
      <w:r>
        <w:rPr>
          <w:b/>
          <w:bCs/>
          <w:lang w:val="fr-FR"/>
        </w:rPr>
        <w:t> </w:t>
      </w:r>
      <w:r w:rsidR="00E41137" w:rsidRPr="00951942">
        <w:rPr>
          <w:b/>
          <w:bCs/>
          <w:lang w:val="fr-FR"/>
        </w:rPr>
        <w:t>%</w:t>
      </w:r>
    </w:p>
    <w:p w:rsidR="00E41137" w:rsidRPr="00951942" w:rsidRDefault="00E41137" w:rsidP="00951942">
      <w:pPr>
        <w:pStyle w:val="SingleTxtG"/>
        <w:tabs>
          <w:tab w:val="left" w:pos="4820"/>
        </w:tabs>
        <w:ind w:left="2268"/>
        <w:rPr>
          <w:b/>
          <w:color w:val="000000"/>
          <w:sz w:val="22"/>
        </w:rPr>
      </w:pPr>
      <w:r w:rsidRPr="00951942">
        <w:rPr>
          <w:b/>
          <w:bCs/>
          <w:lang w:val="fr-FR"/>
        </w:rPr>
        <w:t>Cette indication n’est autorisée que lorsque le dispositif qui commande le démarrage et/ou l’arrêt du moteur (système de propulsion) est placé dans une position dans laquelle le moteur (système de propulsion) ne peut fonctionner.</w:t>
      </w:r>
      <w:r w:rsidRPr="00951942">
        <w:rPr>
          <w:lang w:val="fr-FR"/>
        </w:rPr>
        <w:t> ».</w:t>
      </w:r>
    </w:p>
    <w:p w:rsidR="00E41137" w:rsidRPr="00951942" w:rsidRDefault="004524C8" w:rsidP="004524C8">
      <w:pPr>
        <w:pStyle w:val="HChG"/>
      </w:pPr>
      <w:r>
        <w:rPr>
          <w:lang w:val="fr-FR"/>
        </w:rPr>
        <w:tab/>
      </w:r>
      <w:r w:rsidR="00E41137" w:rsidRPr="00951942">
        <w:rPr>
          <w:lang w:val="fr-FR"/>
        </w:rPr>
        <w:t>II.</w:t>
      </w:r>
      <w:r w:rsidR="00E41137" w:rsidRPr="00951942">
        <w:rPr>
          <w:lang w:val="fr-FR"/>
        </w:rPr>
        <w:tab/>
      </w:r>
      <w:r>
        <w:rPr>
          <w:lang w:val="fr-FR"/>
        </w:rPr>
        <w:t>J</w:t>
      </w:r>
      <w:r w:rsidR="00E41137" w:rsidRPr="00951942">
        <w:rPr>
          <w:lang w:val="fr-FR"/>
        </w:rPr>
        <w:t>ustification</w:t>
      </w:r>
    </w:p>
    <w:p w:rsidR="00E41137" w:rsidRPr="00951942" w:rsidRDefault="007E4150" w:rsidP="007E4150">
      <w:pPr>
        <w:pStyle w:val="SingleTxtG"/>
      </w:pPr>
      <w:bookmarkStart w:id="1" w:name="_Hlk504739624"/>
      <w:r>
        <w:rPr>
          <w:lang w:val="fr-FR"/>
        </w:rPr>
        <w:t>1.</w:t>
      </w:r>
      <w:r>
        <w:rPr>
          <w:lang w:val="fr-FR"/>
        </w:rPr>
        <w:tab/>
      </w:r>
      <w:r w:rsidR="00E41137" w:rsidRPr="00951942">
        <w:rPr>
          <w:lang w:val="fr-FR"/>
        </w:rPr>
        <w:t>Cette proposition vise à spécifier que les feux indicateurs de direction peuvent être</w:t>
      </w:r>
      <w:r w:rsidR="000700B7">
        <w:rPr>
          <w:lang w:val="fr-FR"/>
        </w:rPr>
        <w:t xml:space="preserve"> </w:t>
      </w:r>
      <w:r w:rsidR="00E41137" w:rsidRPr="00951942">
        <w:rPr>
          <w:lang w:val="fr-FR"/>
        </w:rPr>
        <w:t xml:space="preserve">allumés pour indiquer l’état du dispositif de protection contre une utilisation non autorisée. </w:t>
      </w:r>
    </w:p>
    <w:p w:rsidR="00E41137" w:rsidRPr="00951942" w:rsidRDefault="007E4150" w:rsidP="007E4150">
      <w:pPr>
        <w:pStyle w:val="SingleTxtG"/>
      </w:pPr>
      <w:bookmarkStart w:id="2" w:name="_Hlk504739728"/>
      <w:bookmarkEnd w:id="1"/>
      <w:r>
        <w:rPr>
          <w:lang w:val="fr-FR"/>
        </w:rPr>
        <w:t>2.</w:t>
      </w:r>
      <w:r>
        <w:rPr>
          <w:lang w:val="fr-FR"/>
        </w:rPr>
        <w:tab/>
      </w:r>
      <w:r w:rsidR="00E41137" w:rsidRPr="00951942">
        <w:rPr>
          <w:lang w:val="fr-FR"/>
        </w:rPr>
        <w:t>Une telle utilisation des feux indicateurs de direction est déjà permise par les Règlements ONU n</w:t>
      </w:r>
      <w:r w:rsidR="00E41137" w:rsidRPr="00951942">
        <w:rPr>
          <w:vertAlign w:val="superscript"/>
          <w:lang w:val="fr-FR"/>
        </w:rPr>
        <w:t>os</w:t>
      </w:r>
      <w:r w:rsidR="00E41137" w:rsidRPr="00951942">
        <w:rPr>
          <w:lang w:val="fr-FR"/>
        </w:rPr>
        <w:t xml:space="preserve"> 53 et 97 (pour les systèmes d’alarme et les dispositifs d’immobilisation) :</w:t>
      </w:r>
    </w:p>
    <w:p w:rsidR="00E41137" w:rsidRPr="00951942" w:rsidRDefault="007E4150" w:rsidP="007E4150">
      <w:pPr>
        <w:pStyle w:val="SingleTxtG"/>
        <w:tabs>
          <w:tab w:val="left" w:pos="2268"/>
        </w:tabs>
      </w:pPr>
      <w:r>
        <w:rPr>
          <w:lang w:val="fr-FR"/>
        </w:rPr>
        <w:t>« 2.5.8</w:t>
      </w:r>
      <w:r>
        <w:rPr>
          <w:lang w:val="fr-FR"/>
        </w:rPr>
        <w:tab/>
      </w:r>
      <w:r w:rsidRPr="007E4150">
        <w:t>“</w:t>
      </w:r>
      <w:r w:rsidR="00E41137" w:rsidRPr="00951942">
        <w:rPr>
          <w:i/>
          <w:iCs/>
          <w:lang w:val="fr-FR"/>
        </w:rPr>
        <w:t xml:space="preserve">Feu indicateur </w:t>
      </w:r>
      <w:r w:rsidR="00515847">
        <w:rPr>
          <w:i/>
          <w:iCs/>
          <w:lang w:val="fr-FR"/>
        </w:rPr>
        <w:t>d</w:t>
      </w:r>
      <w:r w:rsidR="00E41137" w:rsidRPr="00951942">
        <w:rPr>
          <w:i/>
          <w:iCs/>
          <w:lang w:val="fr-FR"/>
        </w:rPr>
        <w:t>e direction</w:t>
      </w:r>
      <w:r w:rsidRPr="007E4150">
        <w:t>”</w:t>
      </w:r>
      <w:r w:rsidRPr="00951942">
        <w:rPr>
          <w:lang w:val="fr-FR"/>
        </w:rPr>
        <w:t xml:space="preserve"> </w:t>
      </w:r>
      <w:r w:rsidR="00E41137" w:rsidRPr="00951942">
        <w:rPr>
          <w:lang w:val="fr-FR"/>
        </w:rPr>
        <w:t>[...]</w:t>
      </w:r>
    </w:p>
    <w:p w:rsidR="00E41137" w:rsidRPr="00951942" w:rsidRDefault="00E41137" w:rsidP="007E4150">
      <w:pPr>
        <w:pStyle w:val="SingleTxtG"/>
        <w:ind w:left="2268"/>
      </w:pPr>
      <w:r w:rsidRPr="00951942">
        <w:rPr>
          <w:lang w:val="fr-FR"/>
        </w:rPr>
        <w:t xml:space="preserve">le ou les feux indicateurs de direction peuvent aussi être utilisés selon les dispositions du Règlement </w:t>
      </w:r>
      <w:r w:rsidR="00515847">
        <w:rPr>
          <w:lang w:val="fr-FR"/>
        </w:rPr>
        <w:t xml:space="preserve">ONU </w:t>
      </w:r>
      <w:r w:rsidRPr="00951942">
        <w:rPr>
          <w:lang w:val="fr-FR"/>
        </w:rPr>
        <w:t>n</w:t>
      </w:r>
      <w:r w:rsidRPr="00951942">
        <w:rPr>
          <w:vertAlign w:val="superscript"/>
          <w:lang w:val="fr-FR"/>
        </w:rPr>
        <w:t>o</w:t>
      </w:r>
      <w:r w:rsidR="007E4150">
        <w:rPr>
          <w:lang w:val="fr-FR"/>
        </w:rPr>
        <w:t> </w:t>
      </w:r>
      <w:r w:rsidRPr="00951942">
        <w:rPr>
          <w:lang w:val="fr-FR"/>
        </w:rPr>
        <w:t>97. ».</w:t>
      </w:r>
    </w:p>
    <w:p w:rsidR="00E41137" w:rsidRPr="00951942" w:rsidRDefault="007E4150" w:rsidP="007E4150">
      <w:pPr>
        <w:pStyle w:val="SingleTxtG"/>
        <w:keepNext/>
      </w:pPr>
      <w:r>
        <w:rPr>
          <w:lang w:val="fr-FR"/>
        </w:rPr>
        <w:t>3.</w:t>
      </w:r>
      <w:r>
        <w:rPr>
          <w:lang w:val="fr-FR"/>
        </w:rPr>
        <w:tab/>
      </w:r>
      <w:r w:rsidR="00E41137" w:rsidRPr="00951942">
        <w:rPr>
          <w:lang w:val="fr-FR"/>
        </w:rPr>
        <w:t>Cela rejoint la définition figurant dans le Règlement ONU n</w:t>
      </w:r>
      <w:r w:rsidR="00E41137" w:rsidRPr="00951942">
        <w:rPr>
          <w:vertAlign w:val="superscript"/>
          <w:lang w:val="fr-FR"/>
        </w:rPr>
        <w:t>o</w:t>
      </w:r>
      <w:r w:rsidR="00E41137" w:rsidRPr="00951942">
        <w:rPr>
          <w:lang w:val="fr-FR"/>
        </w:rPr>
        <w:t xml:space="preserve"> 48, qui fait référence au Règlement ONU n</w:t>
      </w:r>
      <w:r w:rsidR="00E41137" w:rsidRPr="00951942">
        <w:rPr>
          <w:vertAlign w:val="superscript"/>
          <w:lang w:val="fr-FR"/>
        </w:rPr>
        <w:t>o</w:t>
      </w:r>
      <w:r>
        <w:rPr>
          <w:lang w:val="fr-FR"/>
        </w:rPr>
        <w:t> </w:t>
      </w:r>
      <w:r w:rsidR="00E41137" w:rsidRPr="00951942">
        <w:rPr>
          <w:lang w:val="fr-FR"/>
        </w:rPr>
        <w:t>116 (pour les dispositifs de protection des véhicules contre une utilisation non autorisée, y compris les systèmes d’alarme et les dispositifs d’immobilisation) :</w:t>
      </w:r>
    </w:p>
    <w:p w:rsidR="00E41137" w:rsidRPr="00951942" w:rsidRDefault="00E41137" w:rsidP="007E4150">
      <w:pPr>
        <w:pStyle w:val="SingleTxtG"/>
        <w:tabs>
          <w:tab w:val="left" w:pos="2268"/>
        </w:tabs>
      </w:pPr>
      <w:r w:rsidRPr="00951942">
        <w:rPr>
          <w:lang w:val="fr-FR"/>
        </w:rPr>
        <w:t>« 2.7.11</w:t>
      </w:r>
      <w:r w:rsidRPr="00951942">
        <w:rPr>
          <w:lang w:val="fr-FR"/>
        </w:rPr>
        <w:tab/>
      </w:r>
      <w:r w:rsidR="007E4150" w:rsidRPr="007E4150">
        <w:t>“</w:t>
      </w:r>
      <w:r w:rsidRPr="00951942">
        <w:rPr>
          <w:i/>
          <w:iCs/>
          <w:lang w:val="fr-FR"/>
        </w:rPr>
        <w:t>Feu indicateur de direction</w:t>
      </w:r>
      <w:r w:rsidR="007E4150" w:rsidRPr="007E4150">
        <w:t>”</w:t>
      </w:r>
      <w:r w:rsidRPr="00951942">
        <w:rPr>
          <w:lang w:val="fr-FR"/>
        </w:rPr>
        <w:t xml:space="preserve"> [...]</w:t>
      </w:r>
    </w:p>
    <w:p w:rsidR="00E41137" w:rsidRPr="00951942" w:rsidRDefault="00E41137" w:rsidP="007E4150">
      <w:pPr>
        <w:pStyle w:val="SingleTxtG"/>
        <w:ind w:left="2268"/>
      </w:pPr>
      <w:r w:rsidRPr="00951942">
        <w:rPr>
          <w:lang w:val="fr-FR"/>
        </w:rPr>
        <w:t>Le(s) feu(x) indicateur(s) de direction peut (peuvent) aussi être utilisé(s) conformément aux prescriptions du Règlement</w:t>
      </w:r>
      <w:r w:rsidR="00515847">
        <w:rPr>
          <w:lang w:val="fr-FR"/>
        </w:rPr>
        <w:t xml:space="preserve"> ONU</w:t>
      </w:r>
      <w:r w:rsidRPr="00951942">
        <w:rPr>
          <w:lang w:val="fr-FR"/>
        </w:rPr>
        <w:t xml:space="preserve"> n</w:t>
      </w:r>
      <w:r w:rsidRPr="00951942">
        <w:rPr>
          <w:vertAlign w:val="superscript"/>
          <w:lang w:val="fr-FR"/>
        </w:rPr>
        <w:t>o</w:t>
      </w:r>
      <w:r w:rsidR="007E4150">
        <w:rPr>
          <w:lang w:val="fr-FR"/>
        </w:rPr>
        <w:t> </w:t>
      </w:r>
      <w:r w:rsidRPr="00951942">
        <w:rPr>
          <w:lang w:val="fr-FR"/>
        </w:rPr>
        <w:t>97 ou n</w:t>
      </w:r>
      <w:r w:rsidRPr="00951942">
        <w:rPr>
          <w:vertAlign w:val="superscript"/>
          <w:lang w:val="fr-FR"/>
        </w:rPr>
        <w:t>o</w:t>
      </w:r>
      <w:r w:rsidR="007E4150">
        <w:rPr>
          <w:lang w:val="fr-FR"/>
        </w:rPr>
        <w:t> </w:t>
      </w:r>
      <w:r w:rsidRPr="00951942">
        <w:rPr>
          <w:lang w:val="fr-FR"/>
        </w:rPr>
        <w:t>116. ».</w:t>
      </w:r>
    </w:p>
    <w:p w:rsidR="00E41137" w:rsidRPr="00951942" w:rsidRDefault="007E4150" w:rsidP="007E4150">
      <w:pPr>
        <w:pStyle w:val="SingleTxtG"/>
        <w:rPr>
          <w:color w:val="000000" w:themeColor="text1"/>
        </w:rPr>
      </w:pPr>
      <w:r>
        <w:rPr>
          <w:lang w:val="fr-FR"/>
        </w:rPr>
        <w:t>4.</w:t>
      </w:r>
      <w:r>
        <w:rPr>
          <w:lang w:val="fr-FR"/>
        </w:rPr>
        <w:tab/>
      </w:r>
      <w:r w:rsidR="00E41137" w:rsidRPr="00951942">
        <w:rPr>
          <w:lang w:val="fr-FR"/>
        </w:rPr>
        <w:t>Le recours aux feux indicateurs de direction pour indiquer l’état du dispositif de protection contre une utilisation non autorisée est largement accepté dans la pratique et n’aura aucun effet sur la sécurité routière.</w:t>
      </w:r>
      <w:bookmarkEnd w:id="2"/>
    </w:p>
    <w:p w:rsidR="00E41137" w:rsidRPr="00951942" w:rsidRDefault="007E4150" w:rsidP="007E4150">
      <w:pPr>
        <w:pStyle w:val="SingleTxtG"/>
        <w:keepNext/>
        <w:rPr>
          <w:color w:val="000000" w:themeColor="text1"/>
        </w:rPr>
      </w:pPr>
      <w:r>
        <w:rPr>
          <w:lang w:val="fr-FR"/>
        </w:rPr>
        <w:t>5.</w:t>
      </w:r>
      <w:r>
        <w:rPr>
          <w:lang w:val="fr-FR"/>
        </w:rPr>
        <w:tab/>
      </w:r>
      <w:r w:rsidR="00E41137" w:rsidRPr="00951942">
        <w:rPr>
          <w:lang w:val="fr-FR"/>
        </w:rPr>
        <w:t>Toutefois, il n’est pas totalement adéquat d’appliquer directement les Règlements ONU n</w:t>
      </w:r>
      <w:r w:rsidR="00E41137" w:rsidRPr="00951942">
        <w:rPr>
          <w:vertAlign w:val="superscript"/>
          <w:lang w:val="fr-FR"/>
        </w:rPr>
        <w:t>os</w:t>
      </w:r>
      <w:r>
        <w:rPr>
          <w:lang w:val="fr-FR"/>
        </w:rPr>
        <w:t> </w:t>
      </w:r>
      <w:r w:rsidR="00E41137" w:rsidRPr="00951942">
        <w:rPr>
          <w:lang w:val="fr-FR"/>
        </w:rPr>
        <w:t>97 et 116 aux véhicules de la catégorie L</w:t>
      </w:r>
      <w:r w:rsidR="00E41137" w:rsidRPr="00951942">
        <w:rPr>
          <w:vertAlign w:val="subscript"/>
          <w:lang w:val="fr-FR"/>
        </w:rPr>
        <w:t>3</w:t>
      </w:r>
      <w:r w:rsidR="00E41137" w:rsidRPr="00951942">
        <w:rPr>
          <w:lang w:val="fr-FR"/>
        </w:rPr>
        <w:t>, et ce pour les raisons suivantes :</w:t>
      </w:r>
    </w:p>
    <w:p w:rsidR="00E41137" w:rsidRPr="00951942" w:rsidRDefault="007E4150" w:rsidP="007E4150">
      <w:pPr>
        <w:pStyle w:val="SingleTxtG"/>
        <w:ind w:firstLine="567"/>
        <w:rPr>
          <w:color w:val="000000" w:themeColor="text1"/>
        </w:rPr>
      </w:pPr>
      <w:r>
        <w:rPr>
          <w:lang w:val="fr-FR"/>
        </w:rPr>
        <w:t>a)</w:t>
      </w:r>
      <w:r>
        <w:rPr>
          <w:lang w:val="fr-FR"/>
        </w:rPr>
        <w:tab/>
      </w:r>
      <w:r w:rsidR="00E41137" w:rsidRPr="00951942">
        <w:rPr>
          <w:lang w:val="fr-FR"/>
        </w:rPr>
        <w:t xml:space="preserve">Ces Règlements </w:t>
      </w:r>
      <w:r w:rsidR="00515847">
        <w:rPr>
          <w:lang w:val="fr-FR"/>
        </w:rPr>
        <w:t xml:space="preserve">ONU </w:t>
      </w:r>
      <w:r w:rsidR="00E41137" w:rsidRPr="00951942">
        <w:rPr>
          <w:lang w:val="fr-FR"/>
        </w:rPr>
        <w:t>ont pour domaine d’application les véhicules des catégories M</w:t>
      </w:r>
      <w:r w:rsidR="00E41137" w:rsidRPr="00951942">
        <w:rPr>
          <w:vertAlign w:val="subscript"/>
          <w:lang w:val="fr-FR"/>
        </w:rPr>
        <w:t>1</w:t>
      </w:r>
      <w:r w:rsidR="00E41137" w:rsidRPr="00951942">
        <w:rPr>
          <w:lang w:val="fr-FR"/>
        </w:rPr>
        <w:t xml:space="preserve"> et</w:t>
      </w:r>
      <w:r>
        <w:rPr>
          <w:lang w:val="fr-FR"/>
        </w:rPr>
        <w:t xml:space="preserve"> </w:t>
      </w:r>
      <w:r w:rsidR="00E41137" w:rsidRPr="00951942">
        <w:rPr>
          <w:lang w:val="fr-FR"/>
        </w:rPr>
        <w:t>N</w:t>
      </w:r>
      <w:r w:rsidR="00E41137" w:rsidRPr="00951942">
        <w:rPr>
          <w:vertAlign w:val="subscript"/>
          <w:lang w:val="fr-FR"/>
        </w:rPr>
        <w:t>1 </w:t>
      </w:r>
      <w:r w:rsidR="00E41137" w:rsidRPr="00951942">
        <w:rPr>
          <w:lang w:val="fr-FR"/>
        </w:rPr>
        <w:t>;</w:t>
      </w:r>
    </w:p>
    <w:p w:rsidR="00E41137" w:rsidRPr="00951942" w:rsidRDefault="007E4150" w:rsidP="007E4150">
      <w:pPr>
        <w:pStyle w:val="SingleTxtG"/>
        <w:keepNext/>
        <w:ind w:firstLine="567"/>
        <w:rPr>
          <w:color w:val="000000" w:themeColor="text1"/>
        </w:rPr>
      </w:pPr>
      <w:r>
        <w:rPr>
          <w:lang w:val="fr-FR"/>
        </w:rPr>
        <w:lastRenderedPageBreak/>
        <w:t>b)</w:t>
      </w:r>
      <w:r>
        <w:rPr>
          <w:lang w:val="fr-FR"/>
        </w:rPr>
        <w:tab/>
      </w:r>
      <w:r w:rsidR="00E41137" w:rsidRPr="00951942">
        <w:rPr>
          <w:lang w:val="fr-FR"/>
        </w:rPr>
        <w:t>Ils contiennent des dispositions spécifiques qui ne s’appliquent pas aux véhicules de la catégorie L</w:t>
      </w:r>
      <w:r w:rsidR="00E41137" w:rsidRPr="00951942">
        <w:rPr>
          <w:vertAlign w:val="subscript"/>
          <w:lang w:val="fr-FR"/>
        </w:rPr>
        <w:t>3</w:t>
      </w:r>
      <w:r w:rsidR="00E41137" w:rsidRPr="00951942">
        <w:rPr>
          <w:lang w:val="fr-FR"/>
        </w:rPr>
        <w:t>. Ils prévoient par exemple une prescription minimale concernant la détection des portes et du capot du moteur, alors que, dans la plupart des cas, les véhicules de la catégorie L</w:t>
      </w:r>
      <w:r w:rsidR="00E41137" w:rsidRPr="00951942">
        <w:rPr>
          <w:vertAlign w:val="subscript"/>
          <w:lang w:val="fr-FR"/>
        </w:rPr>
        <w:t>3</w:t>
      </w:r>
      <w:r w:rsidR="00E41137" w:rsidRPr="00951942">
        <w:rPr>
          <w:lang w:val="fr-FR"/>
        </w:rPr>
        <w:t xml:space="preserve"> ne disposent pas de ces équipements</w:t>
      </w:r>
      <w:r>
        <w:rPr>
          <w:lang w:val="fr-FR"/>
        </w:rPr>
        <w:t> </w:t>
      </w:r>
      <w:r w:rsidR="00E41137" w:rsidRPr="00951942">
        <w:rPr>
          <w:lang w:val="fr-FR"/>
        </w:rPr>
        <w:t>:</w:t>
      </w:r>
    </w:p>
    <w:p w:rsidR="00E41137" w:rsidRPr="00951942" w:rsidRDefault="00E41137" w:rsidP="007E4150">
      <w:pPr>
        <w:pStyle w:val="SingleTxtG"/>
        <w:tabs>
          <w:tab w:val="left" w:pos="2268"/>
        </w:tabs>
      </w:pPr>
      <w:r w:rsidRPr="00951942">
        <w:rPr>
          <w:lang w:val="fr-FR"/>
        </w:rPr>
        <w:t>« 18.1.1</w:t>
      </w:r>
      <w:r w:rsidRPr="00951942">
        <w:rPr>
          <w:lang w:val="fr-FR"/>
        </w:rPr>
        <w:tab/>
        <w:t>Prescriptions spécifiques</w:t>
      </w:r>
    </w:p>
    <w:p w:rsidR="00E41137" w:rsidRPr="00951942" w:rsidRDefault="00E41137" w:rsidP="007E4150">
      <w:pPr>
        <w:pStyle w:val="SingleTxtG"/>
        <w:ind w:left="2268"/>
      </w:pPr>
      <w:r w:rsidRPr="00951942">
        <w:rPr>
          <w:lang w:val="fr-FR"/>
        </w:rPr>
        <w:t>Le SA doit au moins détecter et signaler l’ouverture d’une des portes du véhicule, du capot du moteur et du coffre à bagages. [...] ».</w:t>
      </w:r>
    </w:p>
    <w:p w:rsidR="00E41137" w:rsidRPr="00951942" w:rsidRDefault="00E41137" w:rsidP="007E4150">
      <w:pPr>
        <w:pStyle w:val="SingleTxtG"/>
      </w:pPr>
      <w:r w:rsidRPr="00951942">
        <w:rPr>
          <w:lang w:val="fr-FR"/>
        </w:rPr>
        <w:t>Ainsi, il serait utile d’ajouter une mention supplémentaire afin d’exprimer clairement l’idée ressortant du paragraphe</w:t>
      </w:r>
      <w:r w:rsidR="007E4150">
        <w:rPr>
          <w:lang w:val="fr-FR"/>
        </w:rPr>
        <w:t> </w:t>
      </w:r>
      <w:r w:rsidRPr="00951942">
        <w:rPr>
          <w:lang w:val="fr-FR"/>
        </w:rPr>
        <w:t>2.5.8 du Règlement ONU n</w:t>
      </w:r>
      <w:r w:rsidRPr="00951942">
        <w:rPr>
          <w:vertAlign w:val="superscript"/>
          <w:lang w:val="fr-FR"/>
        </w:rPr>
        <w:t>o</w:t>
      </w:r>
      <w:r w:rsidR="007E4150">
        <w:rPr>
          <w:lang w:val="fr-FR"/>
        </w:rPr>
        <w:t> </w:t>
      </w:r>
      <w:r w:rsidRPr="00951942">
        <w:rPr>
          <w:lang w:val="fr-FR"/>
        </w:rPr>
        <w:t>53.</w:t>
      </w:r>
    </w:p>
    <w:p w:rsidR="00E41137" w:rsidRPr="00951942" w:rsidRDefault="007E4150" w:rsidP="007E4150">
      <w:pPr>
        <w:pStyle w:val="SingleTxtG"/>
        <w:keepNext/>
        <w:rPr>
          <w:color w:val="000000" w:themeColor="text1"/>
        </w:rPr>
      </w:pPr>
      <w:r>
        <w:t>6.</w:t>
      </w:r>
      <w:r>
        <w:tab/>
      </w:r>
      <w:r w:rsidR="00E41137" w:rsidRPr="00951942">
        <w:rPr>
          <w:lang w:val="fr-FR"/>
        </w:rPr>
        <w:t>De son côté, le Règlement ONU n</w:t>
      </w:r>
      <w:r w:rsidR="00E41137" w:rsidRPr="00951942">
        <w:rPr>
          <w:vertAlign w:val="superscript"/>
          <w:lang w:val="fr-FR"/>
        </w:rPr>
        <w:t>o</w:t>
      </w:r>
      <w:r>
        <w:rPr>
          <w:lang w:val="fr-FR"/>
        </w:rPr>
        <w:t> </w:t>
      </w:r>
      <w:r w:rsidR="00E41137" w:rsidRPr="00951942">
        <w:rPr>
          <w:lang w:val="fr-FR"/>
        </w:rPr>
        <w:t>62 (pour les dispositifs destinés à prévenir une utilisation non autorisée) a pour domaine d’application les véhicules de la catégorie L. Cependant, il n’est là encore pas forcément adéquat de l’appliquer dans le contexte visé, et ce pour les raisons suivantes :</w:t>
      </w:r>
    </w:p>
    <w:p w:rsidR="00E41137" w:rsidRPr="00951942" w:rsidRDefault="007E4150" w:rsidP="007E4150">
      <w:pPr>
        <w:pStyle w:val="SingleTxtG"/>
        <w:ind w:firstLine="567"/>
        <w:rPr>
          <w:color w:val="000000" w:themeColor="text1"/>
        </w:rPr>
      </w:pPr>
      <w:r>
        <w:rPr>
          <w:lang w:val="fr-FR"/>
        </w:rPr>
        <w:t>a)</w:t>
      </w:r>
      <w:r>
        <w:rPr>
          <w:lang w:val="fr-FR"/>
        </w:rPr>
        <w:tab/>
      </w:r>
      <w:r w:rsidR="00E41137" w:rsidRPr="00951942">
        <w:rPr>
          <w:lang w:val="fr-FR"/>
        </w:rPr>
        <w:t>Les dispositions du Règlement</w:t>
      </w:r>
      <w:r w:rsidR="008B0806">
        <w:rPr>
          <w:lang w:val="fr-FR"/>
        </w:rPr>
        <w:t xml:space="preserve"> ONU</w:t>
      </w:r>
      <w:r w:rsidR="00E41137" w:rsidRPr="00951942">
        <w:rPr>
          <w:lang w:val="fr-FR"/>
        </w:rPr>
        <w:t xml:space="preserve"> n</w:t>
      </w:r>
      <w:r w:rsidR="00E41137" w:rsidRPr="00951942">
        <w:rPr>
          <w:vertAlign w:val="superscript"/>
          <w:lang w:val="fr-FR"/>
        </w:rPr>
        <w:t>o</w:t>
      </w:r>
      <w:r>
        <w:rPr>
          <w:lang w:val="fr-FR"/>
        </w:rPr>
        <w:t> </w:t>
      </w:r>
      <w:r w:rsidR="00E41137" w:rsidRPr="00951942">
        <w:rPr>
          <w:lang w:val="fr-FR"/>
        </w:rPr>
        <w:t>62 ne portent que sur les systèmes de verrouillage mécaniques et ne couvrent donc pas les dispositifs électroniques tels que les systèmes d’alarme et les dispositifs d’immobilisation, qui sont, eux, visés par les Règlements ONU n</w:t>
      </w:r>
      <w:r w:rsidR="00E41137" w:rsidRPr="00951942">
        <w:rPr>
          <w:vertAlign w:val="superscript"/>
          <w:lang w:val="fr-FR"/>
        </w:rPr>
        <w:t>os</w:t>
      </w:r>
      <w:r>
        <w:rPr>
          <w:lang w:val="fr-FR"/>
        </w:rPr>
        <w:t> </w:t>
      </w:r>
      <w:r w:rsidR="00E41137" w:rsidRPr="00951942">
        <w:rPr>
          <w:lang w:val="fr-FR"/>
        </w:rPr>
        <w:t>97 et 116 ;</w:t>
      </w:r>
    </w:p>
    <w:p w:rsidR="00E41137" w:rsidRPr="00951942" w:rsidRDefault="007E4150" w:rsidP="007E4150">
      <w:pPr>
        <w:pStyle w:val="SingleTxtG"/>
        <w:ind w:firstLine="567"/>
        <w:rPr>
          <w:color w:val="000000" w:themeColor="text1"/>
        </w:rPr>
      </w:pPr>
      <w:r>
        <w:rPr>
          <w:lang w:val="fr-FR"/>
        </w:rPr>
        <w:t>b)</w:t>
      </w:r>
      <w:r>
        <w:rPr>
          <w:lang w:val="fr-FR"/>
        </w:rPr>
        <w:tab/>
      </w:r>
      <w:r w:rsidR="00E41137" w:rsidRPr="00951942">
        <w:rPr>
          <w:lang w:val="fr-FR"/>
        </w:rPr>
        <w:t xml:space="preserve">Une proposition visant à intégrer les dispositifs électromécaniques et électroniques dans le Règlement </w:t>
      </w:r>
      <w:r w:rsidR="005C5B4C">
        <w:rPr>
          <w:lang w:val="fr-FR"/>
        </w:rPr>
        <w:t xml:space="preserve">ONU </w:t>
      </w:r>
      <w:r w:rsidR="00E41137" w:rsidRPr="00951942">
        <w:rPr>
          <w:lang w:val="fr-FR"/>
        </w:rPr>
        <w:t>n</w:t>
      </w:r>
      <w:r w:rsidR="00E41137" w:rsidRPr="00951942">
        <w:rPr>
          <w:vertAlign w:val="superscript"/>
          <w:lang w:val="fr-FR"/>
        </w:rPr>
        <w:t>o</w:t>
      </w:r>
      <w:r>
        <w:rPr>
          <w:lang w:val="fr-FR"/>
        </w:rPr>
        <w:t> </w:t>
      </w:r>
      <w:r w:rsidR="00E41137" w:rsidRPr="00951942">
        <w:rPr>
          <w:lang w:val="fr-FR"/>
        </w:rPr>
        <w:t>62 a été présentée à la 114</w:t>
      </w:r>
      <w:r w:rsidR="00E41137" w:rsidRPr="00951942">
        <w:rPr>
          <w:vertAlign w:val="superscript"/>
          <w:lang w:val="fr-FR"/>
        </w:rPr>
        <w:t>e</w:t>
      </w:r>
      <w:r>
        <w:rPr>
          <w:lang w:val="fr-FR"/>
        </w:rPr>
        <w:t> </w:t>
      </w:r>
      <w:r w:rsidR="00E41137" w:rsidRPr="00951942">
        <w:rPr>
          <w:lang w:val="fr-FR"/>
        </w:rPr>
        <w:t>session</w:t>
      </w:r>
      <w:r w:rsidR="00E41137" w:rsidRPr="00951942">
        <w:t xml:space="preserve"> du</w:t>
      </w:r>
      <w:r w:rsidR="00E41137" w:rsidRPr="00951942">
        <w:rPr>
          <w:lang w:val="fr-FR"/>
        </w:rPr>
        <w:t xml:space="preserve"> Groupe de travail des dispositions générales de sécurité, en avril 2018 (document informel GRSG</w:t>
      </w:r>
      <w:r w:rsidR="008B0806">
        <w:rPr>
          <w:lang w:val="fr-FR"/>
        </w:rPr>
        <w:noBreakHyphen/>
      </w:r>
      <w:r w:rsidR="00E41137" w:rsidRPr="00951942">
        <w:rPr>
          <w:lang w:val="fr-FR"/>
        </w:rPr>
        <w:t>114</w:t>
      </w:r>
      <w:r w:rsidR="008B0806">
        <w:rPr>
          <w:lang w:val="fr-FR"/>
        </w:rPr>
        <w:noBreakHyphen/>
      </w:r>
      <w:r w:rsidR="00E41137" w:rsidRPr="00951942">
        <w:rPr>
          <w:lang w:val="fr-FR"/>
        </w:rPr>
        <w:t xml:space="preserve">02). Cependant, elle est toujours à l’examen et n’a pas encore </w:t>
      </w:r>
      <w:r>
        <w:rPr>
          <w:lang w:val="fr-FR"/>
        </w:rPr>
        <w:t>été</w:t>
      </w:r>
      <w:r w:rsidR="00E41137" w:rsidRPr="00951942">
        <w:rPr>
          <w:lang w:val="fr-FR"/>
        </w:rPr>
        <w:t xml:space="preserve"> introduite </w:t>
      </w:r>
      <w:r>
        <w:rPr>
          <w:lang w:val="fr-FR"/>
        </w:rPr>
        <w:t>dans</w:t>
      </w:r>
      <w:r w:rsidR="00E41137" w:rsidRPr="00951942">
        <w:rPr>
          <w:lang w:val="fr-FR"/>
        </w:rPr>
        <w:t xml:space="preserve"> ledit Règlement</w:t>
      </w:r>
      <w:r w:rsidR="00525201">
        <w:rPr>
          <w:lang w:val="fr-FR"/>
        </w:rPr>
        <w:t xml:space="preserve"> ONU</w:t>
      </w:r>
      <w:r w:rsidR="00E41137" w:rsidRPr="00951942">
        <w:rPr>
          <w:lang w:val="fr-FR"/>
        </w:rPr>
        <w:t> ; de plus, elle ne couvre pas les systèmes d’alarme et les dispositifs d’immobilisation.</w:t>
      </w:r>
    </w:p>
    <w:p w:rsidR="00E41137" w:rsidRPr="00951942" w:rsidRDefault="00E41137" w:rsidP="007E4150">
      <w:pPr>
        <w:pStyle w:val="SingleTxtG"/>
        <w:rPr>
          <w:color w:val="000000" w:themeColor="text1"/>
        </w:rPr>
      </w:pPr>
      <w:r w:rsidRPr="00951942">
        <w:rPr>
          <w:lang w:val="fr-FR"/>
        </w:rPr>
        <w:t>Par conséquent, le simple fait d’ajouter une référence au Règlement ONU n</w:t>
      </w:r>
      <w:r w:rsidRPr="00951942">
        <w:rPr>
          <w:vertAlign w:val="superscript"/>
          <w:lang w:val="fr-FR"/>
        </w:rPr>
        <w:t>o</w:t>
      </w:r>
      <w:r w:rsidR="007E4150">
        <w:rPr>
          <w:lang w:val="fr-FR"/>
        </w:rPr>
        <w:t> </w:t>
      </w:r>
      <w:r w:rsidRPr="00951942">
        <w:rPr>
          <w:lang w:val="fr-FR"/>
        </w:rPr>
        <w:t>62 dans le Règlement ONU n</w:t>
      </w:r>
      <w:r w:rsidRPr="00951942">
        <w:rPr>
          <w:vertAlign w:val="superscript"/>
          <w:lang w:val="fr-FR"/>
        </w:rPr>
        <w:t>o</w:t>
      </w:r>
      <w:r w:rsidR="007E4150">
        <w:rPr>
          <w:lang w:val="fr-FR"/>
        </w:rPr>
        <w:t> </w:t>
      </w:r>
      <w:r w:rsidRPr="00951942">
        <w:rPr>
          <w:lang w:val="fr-FR"/>
        </w:rPr>
        <w:t>53 n’est pas suffisant.</w:t>
      </w:r>
    </w:p>
    <w:p w:rsidR="00E41137" w:rsidRPr="00951942" w:rsidRDefault="006B75A5" w:rsidP="007E4150">
      <w:pPr>
        <w:pStyle w:val="SingleTxtG"/>
        <w:rPr>
          <w:color w:val="000000" w:themeColor="text1"/>
        </w:rPr>
      </w:pPr>
      <w:r>
        <w:t>7</w:t>
      </w:r>
      <w:r w:rsidR="007E4150">
        <w:t>.</w:t>
      </w:r>
      <w:r w:rsidR="007E4150">
        <w:tab/>
      </w:r>
      <w:r w:rsidR="00E41137" w:rsidRPr="00951942">
        <w:rPr>
          <w:lang w:val="fr-FR"/>
        </w:rPr>
        <w:t>Au vu de cela, la présente proposition suggère que le Règlement ONU n</w:t>
      </w:r>
      <w:r w:rsidR="00E41137" w:rsidRPr="00951942">
        <w:rPr>
          <w:vertAlign w:val="superscript"/>
          <w:lang w:val="fr-FR"/>
        </w:rPr>
        <w:t>o</w:t>
      </w:r>
      <w:r>
        <w:rPr>
          <w:lang w:val="fr-FR"/>
        </w:rPr>
        <w:t> </w:t>
      </w:r>
      <w:r w:rsidR="00E41137" w:rsidRPr="00951942">
        <w:rPr>
          <w:lang w:val="fr-FR"/>
        </w:rPr>
        <w:t>53 fasse expressément mention de l’utilisation des feux indicateurs de direction comme moyen d’indiquer l’état du dispositif destiné à prévenir une utilisation non autorisée. Cette mention permettrait d’indiquer clairement que ce type de dispositif, applicable aux véhicules de la catégorie L</w:t>
      </w:r>
      <w:r w:rsidR="00E41137" w:rsidRPr="00951942">
        <w:rPr>
          <w:vertAlign w:val="subscript"/>
          <w:lang w:val="fr-FR"/>
        </w:rPr>
        <w:t>3</w:t>
      </w:r>
      <w:r w:rsidR="00E41137" w:rsidRPr="00951942">
        <w:rPr>
          <w:lang w:val="fr-FR"/>
        </w:rPr>
        <w:t>, est entièrement pris en compte dans ledit Règlement</w:t>
      </w:r>
      <w:r w:rsidR="00525201">
        <w:rPr>
          <w:lang w:val="fr-FR"/>
        </w:rPr>
        <w:t xml:space="preserve"> ONU</w:t>
      </w:r>
      <w:r w:rsidR="00E41137" w:rsidRPr="00951942">
        <w:rPr>
          <w:lang w:val="fr-FR"/>
        </w:rPr>
        <w:t>.</w:t>
      </w:r>
    </w:p>
    <w:p w:rsidR="00E41137" w:rsidRDefault="006B75A5" w:rsidP="006B75A5">
      <w:pPr>
        <w:pStyle w:val="SingleTxtG"/>
        <w:rPr>
          <w:lang w:val="fr-FR"/>
        </w:rPr>
      </w:pPr>
      <w:r>
        <w:rPr>
          <w:lang w:val="fr-FR"/>
        </w:rPr>
        <w:t>8.</w:t>
      </w:r>
      <w:r>
        <w:rPr>
          <w:lang w:val="fr-FR"/>
        </w:rPr>
        <w:tab/>
      </w:r>
      <w:r w:rsidR="00E41137" w:rsidRPr="00951942">
        <w:rPr>
          <w:lang w:val="fr-FR"/>
        </w:rPr>
        <w:t>La présente proposition contient en outre les dispositions concernant les conditions d’indication par les feux indicateurs de direction de l’état du dispositif (durée, fréquence et rapport marche/arrêt), lesquelles sont conformes aux dispositions des Règlements ONU n</w:t>
      </w:r>
      <w:r w:rsidR="00E41137" w:rsidRPr="00951942">
        <w:rPr>
          <w:vertAlign w:val="superscript"/>
          <w:lang w:val="fr-FR"/>
        </w:rPr>
        <w:t>os</w:t>
      </w:r>
      <w:r>
        <w:rPr>
          <w:lang w:val="fr-FR"/>
        </w:rPr>
        <w:t> </w:t>
      </w:r>
      <w:r w:rsidR="00E41137" w:rsidRPr="00951942">
        <w:rPr>
          <w:lang w:val="fr-FR"/>
        </w:rPr>
        <w:t xml:space="preserve">97 et 116, prévoyant une indication de courte durée et un signal optique, afin que les indications respectent les règles actuelles. </w:t>
      </w:r>
    </w:p>
    <w:p w:rsidR="006B75A5" w:rsidRPr="006B75A5" w:rsidRDefault="006B75A5" w:rsidP="006B75A5">
      <w:pPr>
        <w:pStyle w:val="SingleTxtG"/>
        <w:spacing w:before="240" w:after="0"/>
        <w:jc w:val="center"/>
        <w:rPr>
          <w:u w:val="single"/>
        </w:rPr>
      </w:pPr>
      <w:r>
        <w:rPr>
          <w:u w:val="single"/>
        </w:rPr>
        <w:tab/>
      </w:r>
      <w:r>
        <w:rPr>
          <w:u w:val="single"/>
        </w:rPr>
        <w:tab/>
      </w:r>
      <w:r>
        <w:rPr>
          <w:u w:val="single"/>
        </w:rPr>
        <w:tab/>
      </w:r>
    </w:p>
    <w:sectPr w:rsidR="006B75A5" w:rsidRPr="006B75A5" w:rsidSect="008970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C3B" w:rsidRDefault="00427C3B" w:rsidP="00F95C08">
      <w:pPr>
        <w:spacing w:line="240" w:lineRule="auto"/>
      </w:pPr>
    </w:p>
  </w:endnote>
  <w:endnote w:type="continuationSeparator" w:id="0">
    <w:p w:rsidR="00427C3B" w:rsidRPr="00AC3823" w:rsidRDefault="00427C3B" w:rsidP="00AC3823">
      <w:pPr>
        <w:pStyle w:val="Footer"/>
      </w:pPr>
    </w:p>
  </w:endnote>
  <w:endnote w:type="continuationNotice" w:id="1">
    <w:p w:rsidR="00427C3B" w:rsidRDefault="00427C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C" w:rsidRPr="0089703C" w:rsidRDefault="0089703C" w:rsidP="0089703C">
    <w:pPr>
      <w:pStyle w:val="Footer"/>
      <w:tabs>
        <w:tab w:val="right" w:pos="9638"/>
      </w:tabs>
    </w:pPr>
    <w:r w:rsidRPr="0089703C">
      <w:rPr>
        <w:b/>
        <w:sz w:val="18"/>
      </w:rPr>
      <w:fldChar w:fldCharType="begin"/>
    </w:r>
    <w:r w:rsidRPr="0089703C">
      <w:rPr>
        <w:b/>
        <w:sz w:val="18"/>
      </w:rPr>
      <w:instrText xml:space="preserve"> PAGE  \* MERGEFORMAT </w:instrText>
    </w:r>
    <w:r w:rsidRPr="0089703C">
      <w:rPr>
        <w:b/>
        <w:sz w:val="18"/>
      </w:rPr>
      <w:fldChar w:fldCharType="separate"/>
    </w:r>
    <w:r w:rsidR="007B458A">
      <w:rPr>
        <w:b/>
        <w:noProof/>
        <w:sz w:val="18"/>
      </w:rPr>
      <w:t>2</w:t>
    </w:r>
    <w:r w:rsidRPr="0089703C">
      <w:rPr>
        <w:b/>
        <w:sz w:val="18"/>
      </w:rPr>
      <w:fldChar w:fldCharType="end"/>
    </w:r>
    <w:r>
      <w:rPr>
        <w:b/>
        <w:sz w:val="18"/>
      </w:rPr>
      <w:tab/>
    </w:r>
    <w:r>
      <w:t>GE.18-13167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C" w:rsidRPr="0089703C" w:rsidRDefault="0089703C" w:rsidP="0089703C">
    <w:pPr>
      <w:pStyle w:val="Footer"/>
      <w:tabs>
        <w:tab w:val="right" w:pos="9638"/>
      </w:tabs>
      <w:rPr>
        <w:b/>
        <w:sz w:val="18"/>
      </w:rPr>
    </w:pPr>
    <w:r>
      <w:t>GE.18-13167</w:t>
    </w:r>
    <w:r>
      <w:tab/>
    </w:r>
    <w:r w:rsidRPr="0089703C">
      <w:rPr>
        <w:b/>
        <w:sz w:val="18"/>
      </w:rPr>
      <w:fldChar w:fldCharType="begin"/>
    </w:r>
    <w:r w:rsidRPr="0089703C">
      <w:rPr>
        <w:b/>
        <w:sz w:val="18"/>
      </w:rPr>
      <w:instrText xml:space="preserve"> PAGE  \* MERGEFORMAT </w:instrText>
    </w:r>
    <w:r w:rsidRPr="0089703C">
      <w:rPr>
        <w:b/>
        <w:sz w:val="18"/>
      </w:rPr>
      <w:fldChar w:fldCharType="separate"/>
    </w:r>
    <w:r w:rsidR="00525201">
      <w:rPr>
        <w:b/>
        <w:noProof/>
        <w:sz w:val="18"/>
      </w:rPr>
      <w:t>3</w:t>
    </w:r>
    <w:r w:rsidRPr="008970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9703C" w:rsidRDefault="0089703C" w:rsidP="0089703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18-13167  (F)    050918    070918</w:t>
    </w:r>
    <w:r>
      <w:rPr>
        <w:sz w:val="20"/>
      </w:rPr>
      <w:br/>
    </w:r>
    <w:r w:rsidRPr="0089703C">
      <w:rPr>
        <w:rFonts w:ascii="C39T30Lfz" w:hAnsi="C39T30Lfz"/>
        <w:sz w:val="56"/>
      </w:rPr>
      <w:t></w:t>
    </w:r>
    <w:r w:rsidRPr="0089703C">
      <w:rPr>
        <w:rFonts w:ascii="C39T30Lfz" w:hAnsi="C39T30Lfz"/>
        <w:sz w:val="56"/>
      </w:rPr>
      <w:t></w:t>
    </w:r>
    <w:r w:rsidRPr="0089703C">
      <w:rPr>
        <w:rFonts w:ascii="C39T30Lfz" w:hAnsi="C39T30Lfz"/>
        <w:sz w:val="56"/>
      </w:rPr>
      <w:t></w:t>
    </w:r>
    <w:r w:rsidRPr="0089703C">
      <w:rPr>
        <w:rFonts w:ascii="C39T30Lfz" w:hAnsi="C39T30Lfz"/>
        <w:sz w:val="56"/>
      </w:rPr>
      <w:t></w:t>
    </w:r>
    <w:r w:rsidRPr="0089703C">
      <w:rPr>
        <w:rFonts w:ascii="C39T30Lfz" w:hAnsi="C39T30Lfz"/>
        <w:sz w:val="56"/>
      </w:rPr>
      <w:t></w:t>
    </w:r>
    <w:r w:rsidRPr="0089703C">
      <w:rPr>
        <w:rFonts w:ascii="C39T30Lfz" w:hAnsi="C39T30Lfz"/>
        <w:sz w:val="56"/>
      </w:rPr>
      <w:t></w:t>
    </w:r>
    <w:r w:rsidRPr="0089703C">
      <w:rPr>
        <w:rFonts w:ascii="C39T30Lfz" w:hAnsi="C39T30Lfz"/>
        <w:sz w:val="56"/>
      </w:rPr>
      <w:t></w:t>
    </w:r>
    <w:r w:rsidRPr="0089703C">
      <w:rPr>
        <w:rFonts w:ascii="C39T30Lfz" w:hAnsi="C39T30Lfz"/>
        <w:sz w:val="56"/>
      </w:rPr>
      <w:t></w:t>
    </w:r>
    <w:r w:rsidRPr="0089703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C3B" w:rsidRPr="00AC3823" w:rsidRDefault="00427C3B" w:rsidP="00AC3823">
      <w:pPr>
        <w:pStyle w:val="Footer"/>
        <w:tabs>
          <w:tab w:val="right" w:pos="2155"/>
        </w:tabs>
        <w:spacing w:after="80" w:line="240" w:lineRule="atLeast"/>
        <w:ind w:left="680"/>
        <w:rPr>
          <w:u w:val="single"/>
        </w:rPr>
      </w:pPr>
      <w:r>
        <w:rPr>
          <w:u w:val="single"/>
        </w:rPr>
        <w:tab/>
      </w:r>
    </w:p>
  </w:footnote>
  <w:footnote w:type="continuationSeparator" w:id="0">
    <w:p w:rsidR="00427C3B" w:rsidRPr="00AC3823" w:rsidRDefault="00427C3B" w:rsidP="00AC3823">
      <w:pPr>
        <w:pStyle w:val="Footer"/>
        <w:tabs>
          <w:tab w:val="right" w:pos="2155"/>
        </w:tabs>
        <w:spacing w:after="80" w:line="240" w:lineRule="atLeast"/>
        <w:ind w:left="680"/>
        <w:rPr>
          <w:u w:val="single"/>
        </w:rPr>
      </w:pPr>
      <w:r>
        <w:rPr>
          <w:u w:val="single"/>
        </w:rPr>
        <w:tab/>
      </w:r>
    </w:p>
  </w:footnote>
  <w:footnote w:type="continuationNotice" w:id="1">
    <w:p w:rsidR="00427C3B" w:rsidRPr="00AC3823" w:rsidRDefault="00427C3B">
      <w:pPr>
        <w:spacing w:line="240" w:lineRule="auto"/>
        <w:rPr>
          <w:sz w:val="2"/>
          <w:szCs w:val="2"/>
        </w:rPr>
      </w:pPr>
    </w:p>
  </w:footnote>
  <w:footnote w:id="2">
    <w:p w:rsidR="00951942" w:rsidRPr="00951942" w:rsidRDefault="00951942">
      <w:pPr>
        <w:pStyle w:val="FootnoteText"/>
      </w:pPr>
      <w:r>
        <w:rPr>
          <w:rStyle w:val="FootnoteReference"/>
        </w:rPr>
        <w:tab/>
      </w:r>
      <w:r w:rsidRPr="0095194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C" w:rsidRPr="0089703C" w:rsidRDefault="00E043A6">
    <w:pPr>
      <w:pStyle w:val="Header"/>
    </w:pPr>
    <w:r>
      <w:fldChar w:fldCharType="begin"/>
    </w:r>
    <w:r>
      <w:instrText xml:space="preserve"> TITLE  \* MERGEFORMAT </w:instrText>
    </w:r>
    <w:r>
      <w:fldChar w:fldCharType="separate"/>
    </w:r>
    <w:r w:rsidR="0006321F">
      <w:t>ECE/TRANS/WP.29/GRE/2018/45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3C" w:rsidRPr="0089703C" w:rsidRDefault="00E043A6" w:rsidP="0089703C">
    <w:pPr>
      <w:pStyle w:val="Header"/>
      <w:jc w:val="right"/>
    </w:pPr>
    <w:r>
      <w:fldChar w:fldCharType="begin"/>
    </w:r>
    <w:r>
      <w:instrText xml:space="preserve"> TITLE  \* MERGEFORMAT </w:instrText>
    </w:r>
    <w:r>
      <w:fldChar w:fldCharType="separate"/>
    </w:r>
    <w:r w:rsidR="0006321F">
      <w:t>ECE/TRANS/WP.29/GRE/2018/45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3B"/>
    <w:rsid w:val="00017F94"/>
    <w:rsid w:val="00023842"/>
    <w:rsid w:val="000334F9"/>
    <w:rsid w:val="00045FEB"/>
    <w:rsid w:val="0006321F"/>
    <w:rsid w:val="000700B7"/>
    <w:rsid w:val="0007796D"/>
    <w:rsid w:val="000B7790"/>
    <w:rsid w:val="00111F2F"/>
    <w:rsid w:val="0014365E"/>
    <w:rsid w:val="00143C66"/>
    <w:rsid w:val="00176178"/>
    <w:rsid w:val="001C7DA6"/>
    <w:rsid w:val="001F525A"/>
    <w:rsid w:val="00223272"/>
    <w:rsid w:val="0024779E"/>
    <w:rsid w:val="00257168"/>
    <w:rsid w:val="002744B8"/>
    <w:rsid w:val="002832AC"/>
    <w:rsid w:val="002D7C93"/>
    <w:rsid w:val="00305801"/>
    <w:rsid w:val="003916DE"/>
    <w:rsid w:val="00421996"/>
    <w:rsid w:val="00427C3B"/>
    <w:rsid w:val="00441C3B"/>
    <w:rsid w:val="00446FE5"/>
    <w:rsid w:val="00452396"/>
    <w:rsid w:val="004524C8"/>
    <w:rsid w:val="004837D8"/>
    <w:rsid w:val="004E2EED"/>
    <w:rsid w:val="004E468C"/>
    <w:rsid w:val="00515847"/>
    <w:rsid w:val="00525201"/>
    <w:rsid w:val="005505B7"/>
    <w:rsid w:val="00573BE5"/>
    <w:rsid w:val="00586ED3"/>
    <w:rsid w:val="00596AA9"/>
    <w:rsid w:val="005C5B4C"/>
    <w:rsid w:val="006B75A5"/>
    <w:rsid w:val="00714177"/>
    <w:rsid w:val="0071601D"/>
    <w:rsid w:val="007A62E6"/>
    <w:rsid w:val="007B458A"/>
    <w:rsid w:val="007E4150"/>
    <w:rsid w:val="007F20FA"/>
    <w:rsid w:val="007F6EB9"/>
    <w:rsid w:val="0080684C"/>
    <w:rsid w:val="00871C75"/>
    <w:rsid w:val="008776DC"/>
    <w:rsid w:val="0089703C"/>
    <w:rsid w:val="008B0806"/>
    <w:rsid w:val="009446C0"/>
    <w:rsid w:val="00951942"/>
    <w:rsid w:val="009705C8"/>
    <w:rsid w:val="009C1CF4"/>
    <w:rsid w:val="009F6B74"/>
    <w:rsid w:val="00A3029F"/>
    <w:rsid w:val="00A30353"/>
    <w:rsid w:val="00AC3823"/>
    <w:rsid w:val="00AE323C"/>
    <w:rsid w:val="00AF0CB5"/>
    <w:rsid w:val="00B00181"/>
    <w:rsid w:val="00B00B0D"/>
    <w:rsid w:val="00B45F2E"/>
    <w:rsid w:val="00B765F7"/>
    <w:rsid w:val="00BA0CA9"/>
    <w:rsid w:val="00BC7B44"/>
    <w:rsid w:val="00C02897"/>
    <w:rsid w:val="00C97039"/>
    <w:rsid w:val="00D3439C"/>
    <w:rsid w:val="00DB1831"/>
    <w:rsid w:val="00DD3BFD"/>
    <w:rsid w:val="00DE15F3"/>
    <w:rsid w:val="00DF6678"/>
    <w:rsid w:val="00E0299A"/>
    <w:rsid w:val="00E043A6"/>
    <w:rsid w:val="00E4113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B5FF0C-2DA3-468F-B7D9-C443C81D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ECE/TRANS/WP.29/GRE/2018/45</vt:lpstr>
      <vt:lpstr>ECE/TRANS/WP.29/GRE/2018/45</vt:lpstr>
    </vt:vector>
  </TitlesOfParts>
  <Company>DCM</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ECE/TRANS/WP.29/GRE/2018/45</dc:title>
  <dc:subject/>
  <dc:creator>Christine  CHAUTAGNAT</dc:creator>
  <cp:keywords/>
  <cp:lastModifiedBy>Benedicte Boudol</cp:lastModifiedBy>
  <cp:revision>2</cp:revision>
  <cp:lastPrinted>2018-09-07T13:31:00Z</cp:lastPrinted>
  <dcterms:created xsi:type="dcterms:W3CDTF">2018-09-11T12:10:00Z</dcterms:created>
  <dcterms:modified xsi:type="dcterms:W3CDTF">2018-09-11T12:10:00Z</dcterms:modified>
</cp:coreProperties>
</file>