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36E8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36E87" w:rsidP="00536E87">
            <w:pPr>
              <w:jc w:val="right"/>
            </w:pPr>
            <w:r w:rsidRPr="00536E87">
              <w:rPr>
                <w:sz w:val="40"/>
              </w:rPr>
              <w:t>ECE</w:t>
            </w:r>
            <w:r>
              <w:t>/TRANS/WP.29/GRE/2018/42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36E87" w:rsidRDefault="00536E87" w:rsidP="00536E87">
            <w:pPr>
              <w:spacing w:before="240"/>
            </w:pPr>
            <w:r>
              <w:t>Distr générale</w:t>
            </w:r>
          </w:p>
          <w:p w:rsidR="00536E87" w:rsidRDefault="00536E87" w:rsidP="00536E87">
            <w:r>
              <w:t>9 août 2018</w:t>
            </w:r>
          </w:p>
          <w:p w:rsidR="00536E87" w:rsidRDefault="00536E87" w:rsidP="00536E87">
            <w:pPr>
              <w:spacing w:line="240" w:lineRule="exact"/>
            </w:pPr>
            <w:r>
              <w:t>Français</w:t>
            </w:r>
          </w:p>
          <w:p w:rsidR="00536E87" w:rsidRPr="00DB58B5" w:rsidRDefault="00536E87" w:rsidP="00536E87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36E87" w:rsidRDefault="00536E8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536E87" w:rsidRDefault="00536E87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:rsidR="00536E87" w:rsidRDefault="00536E87" w:rsidP="00257168">
      <w:pPr>
        <w:spacing w:before="120" w:line="240" w:lineRule="exact"/>
        <w:rPr>
          <w:b/>
        </w:rPr>
      </w:pPr>
      <w:r>
        <w:rPr>
          <w:b/>
        </w:rPr>
        <w:t>Quatre-vingtième session</w:t>
      </w:r>
    </w:p>
    <w:p w:rsidR="00536E87" w:rsidRDefault="00536E87" w:rsidP="00257168">
      <w:pPr>
        <w:spacing w:line="240" w:lineRule="exact"/>
      </w:pPr>
      <w:r>
        <w:t>Genève, 23-26 octobre 2018</w:t>
      </w:r>
    </w:p>
    <w:p w:rsidR="00536E87" w:rsidRDefault="00536E87" w:rsidP="00257168">
      <w:pPr>
        <w:spacing w:line="240" w:lineRule="exact"/>
      </w:pPr>
      <w:r>
        <w:t>Point 4 de l’ordre du jour provisoire</w:t>
      </w:r>
    </w:p>
    <w:p w:rsidR="00536E87" w:rsidRPr="000D3FE4" w:rsidRDefault="00536E87" w:rsidP="00536E87">
      <w:pPr>
        <w:rPr>
          <w:bCs/>
        </w:rPr>
      </w:pPr>
      <w:r w:rsidRPr="000D3FE4">
        <w:rPr>
          <w:b/>
          <w:bCs/>
        </w:rPr>
        <w:t xml:space="preserve">Simplification des Règlements </w:t>
      </w:r>
      <w:r>
        <w:rPr>
          <w:b/>
          <w:bCs/>
        </w:rPr>
        <w:t xml:space="preserve">ONU </w:t>
      </w:r>
      <w:r w:rsidRPr="000D3FE4">
        <w:rPr>
          <w:b/>
          <w:bCs/>
        </w:rPr>
        <w:t>concernant l</w:t>
      </w:r>
      <w:r>
        <w:rPr>
          <w:b/>
          <w:bCs/>
        </w:rPr>
        <w:t>’</w:t>
      </w:r>
      <w:r w:rsidRPr="000D3FE4">
        <w:rPr>
          <w:b/>
          <w:bCs/>
        </w:rPr>
        <w:t>éclairag</w:t>
      </w:r>
      <w:r>
        <w:rPr>
          <w:b/>
          <w:bCs/>
        </w:rPr>
        <w:t xml:space="preserve">e </w:t>
      </w:r>
      <w:r>
        <w:rPr>
          <w:b/>
          <w:bCs/>
        </w:rPr>
        <w:br/>
        <w:t>et la signalisation lumineuse</w:t>
      </w:r>
    </w:p>
    <w:p w:rsidR="00536E87" w:rsidRPr="000D3FE4" w:rsidRDefault="00536E87" w:rsidP="00536E87">
      <w:pPr>
        <w:pStyle w:val="HChG"/>
      </w:pPr>
      <w:r>
        <w:tab/>
      </w:r>
      <w:r>
        <w:tab/>
      </w:r>
      <w:r w:rsidRPr="000D3FE4">
        <w:t>Propos</w:t>
      </w:r>
      <w:r w:rsidRPr="00DB1CD2">
        <w:t>ition d</w:t>
      </w:r>
      <w:r>
        <w:t>’</w:t>
      </w:r>
      <w:r w:rsidRPr="00DB1CD2">
        <w:t>introdu</w:t>
      </w:r>
      <w:r>
        <w:t xml:space="preserve">ction de prescriptions applicables </w:t>
      </w:r>
      <w:r w:rsidRPr="00DB1CD2">
        <w:t>à l</w:t>
      </w:r>
      <w:r>
        <w:t>’</w:t>
      </w:r>
      <w:r w:rsidRPr="00DB1CD2">
        <w:t xml:space="preserve">utilisation </w:t>
      </w:r>
      <w:r>
        <w:t xml:space="preserve">de sources lumineuses à DEL </w:t>
      </w:r>
      <w:r w:rsidRPr="00DB1CD2">
        <w:t xml:space="preserve">de substitution </w:t>
      </w:r>
      <w:r>
        <w:t xml:space="preserve">dans le </w:t>
      </w:r>
      <w:r w:rsidRPr="00DB1CD2">
        <w:t>nouveau</w:t>
      </w:r>
      <w:r>
        <w:t xml:space="preserve"> </w:t>
      </w:r>
      <w:r w:rsidRPr="00DB1CD2">
        <w:t>Règlement</w:t>
      </w:r>
      <w:r>
        <w:t xml:space="preserve"> ONU </w:t>
      </w:r>
      <w:r w:rsidRPr="00DB1CD2">
        <w:t>sur les dispositifs de signalisation lumineuse</w:t>
      </w:r>
    </w:p>
    <w:p w:rsidR="00536E87" w:rsidRPr="000D3FE4" w:rsidRDefault="00536E87" w:rsidP="00536E87">
      <w:pPr>
        <w:pStyle w:val="H1G"/>
      </w:pPr>
      <w:r>
        <w:tab/>
      </w:r>
      <w:r>
        <w:tab/>
      </w:r>
      <w:r w:rsidRPr="00DB1CD2">
        <w:t xml:space="preserve">Communication </w:t>
      </w:r>
      <w:r>
        <w:t>de l’</w:t>
      </w:r>
      <w:bookmarkStart w:id="1" w:name="_Hlk521909094"/>
      <w:r>
        <w:t xml:space="preserve">Équipe spéciale des lampes de substitution </w:t>
      </w:r>
      <w:r>
        <w:br/>
        <w:t>ou de remplacement</w:t>
      </w:r>
      <w:bookmarkEnd w:id="1"/>
      <w:r w:rsidRPr="00536E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536E87" w:rsidP="00536E87">
      <w:pPr>
        <w:pStyle w:val="SingleTxtG"/>
        <w:ind w:firstLine="567"/>
      </w:pPr>
      <w:r w:rsidRPr="00DB1CD2">
        <w:t xml:space="preserve">Le texte ci-après, établi par </w:t>
      </w:r>
      <w:r>
        <w:t>l’Équipe spéciale des lampes de substitution ou de remplacement</w:t>
      </w:r>
      <w:r w:rsidRPr="00DB1CD2">
        <w:t xml:space="preserve">, </w:t>
      </w:r>
      <w:r>
        <w:t xml:space="preserve">constitue une révision de la proposition de l’expert du Groupe de travail « Bruxelles 1952 » (GTB) </w:t>
      </w:r>
      <w:r w:rsidRPr="00DB1CD2">
        <w:t>vis</w:t>
      </w:r>
      <w:r>
        <w:t>ant</w:t>
      </w:r>
      <w:r w:rsidRPr="00DB1CD2">
        <w:t xml:space="preserve"> à introduire des prescriptions applicables à l</w:t>
      </w:r>
      <w:r>
        <w:t>’</w:t>
      </w:r>
      <w:r w:rsidRPr="00DB1CD2">
        <w:t xml:space="preserve">utilisation de sources lumineuses à </w:t>
      </w:r>
      <w:r w:rsidRPr="0084659C">
        <w:t xml:space="preserve">diodes électroluminescentes </w:t>
      </w:r>
      <w:r>
        <w:t>(</w:t>
      </w:r>
      <w:r w:rsidRPr="00DB1CD2">
        <w:t>DEL</w:t>
      </w:r>
      <w:r>
        <w:t>)</w:t>
      </w:r>
      <w:r w:rsidRPr="00DB1CD2">
        <w:t xml:space="preserve"> de substitution dans le </w:t>
      </w:r>
      <w:r>
        <w:t xml:space="preserve">projet de </w:t>
      </w:r>
      <w:r w:rsidRPr="00DB1CD2">
        <w:t xml:space="preserve">nouveau Règlement </w:t>
      </w:r>
      <w:r>
        <w:t xml:space="preserve">ONU </w:t>
      </w:r>
      <w:r w:rsidRPr="00DB1CD2">
        <w:t>sur les dispositifs de signalisation lumineuse</w:t>
      </w:r>
      <w:r>
        <w:t xml:space="preserve"> (DSL). La proposition initiale a déjà été présentée au Groupe de travail </w:t>
      </w:r>
      <w:r w:rsidRPr="0084659C">
        <w:t>de l</w:t>
      </w:r>
      <w:r>
        <w:t>’</w:t>
      </w:r>
      <w:r w:rsidRPr="0084659C">
        <w:t>éclairage et de la signalisation lumineuse</w:t>
      </w:r>
      <w:r>
        <w:t xml:space="preserve"> (GRE) à sa soixante-dix-septième session, en tant que</w:t>
      </w:r>
      <w:r w:rsidRPr="0084659C">
        <w:t xml:space="preserve"> document informel </w:t>
      </w:r>
      <w:r>
        <w:t>GRE</w:t>
      </w:r>
      <w:r>
        <w:noBreakHyphen/>
        <w:t>77</w:t>
      </w:r>
      <w:r>
        <w:noBreakHyphen/>
      </w:r>
      <w:r w:rsidRPr="0084659C">
        <w:t>15</w:t>
      </w:r>
      <w:r>
        <w:t xml:space="preserve">, et adoptée en principe, dans l’attente d’un examen formel du GRE, conjointement avec le texte final du projet de nouveau Règlement. Elle a ensuite été </w:t>
      </w:r>
      <w:proofErr w:type="gramStart"/>
      <w:r>
        <w:t>présentée</w:t>
      </w:r>
      <w:proofErr w:type="gramEnd"/>
      <w:r>
        <w:t xml:space="preserve"> dans le document ECE/TRANS/WP.29/GRE/2017/14, corrigé par le document GRE-78-04. Le document ECE/TRANS/WP.29/GRE/2018/2 et les observations formulées pendant les soixante-dix-huitième et </w:t>
      </w:r>
      <w:proofErr w:type="gramStart"/>
      <w:r>
        <w:t>soixante-dix-neuvième sessions</w:t>
      </w:r>
      <w:proofErr w:type="gramEnd"/>
      <w:r>
        <w:t xml:space="preserve"> du GRE ont été prises en considération. Les </w:t>
      </w:r>
      <w:r w:rsidRPr="00DB1CD2">
        <w:t>modifications qu</w:t>
      </w:r>
      <w:r>
        <w:t>’</w:t>
      </w:r>
      <w:r w:rsidRPr="00DB1CD2">
        <w:t>il est proposé d</w:t>
      </w:r>
      <w:r>
        <w:t>’</w:t>
      </w:r>
      <w:r w:rsidRPr="00DB1CD2">
        <w:t>apporter au</w:t>
      </w:r>
      <w:r w:rsidR="003013BA">
        <w:t xml:space="preserve"> </w:t>
      </w:r>
      <w:r>
        <w:t>projet de</w:t>
      </w:r>
      <w:r w:rsidRPr="00DB1CD2">
        <w:t xml:space="preserve"> </w:t>
      </w:r>
      <w:r>
        <w:t xml:space="preserve">nouveau </w:t>
      </w:r>
      <w:r w:rsidRPr="00DB1CD2">
        <w:t>Règlement</w:t>
      </w:r>
      <w:r>
        <w:t xml:space="preserve"> ONU </w:t>
      </w:r>
      <w:r w:rsidRPr="00DB1CD2">
        <w:t xml:space="preserve">sont signalées </w:t>
      </w:r>
      <w:r>
        <w:t>au moyen de</w:t>
      </w:r>
      <w:r w:rsidRPr="00DB1CD2">
        <w:t xml:space="preserve"> caractères gras</w:t>
      </w:r>
      <w:r>
        <w:t>,</w:t>
      </w:r>
      <w:r w:rsidRPr="00DB1CD2">
        <w:t xml:space="preserve"> pour les ajouts</w:t>
      </w:r>
      <w:r>
        <w:t>,</w:t>
      </w:r>
      <w:r w:rsidRPr="00DB1CD2">
        <w:t xml:space="preserve"> </w:t>
      </w:r>
      <w:r>
        <w:t>et de</w:t>
      </w:r>
      <w:r w:rsidRPr="00DB1CD2">
        <w:t xml:space="preserve"> caractères biffés</w:t>
      </w:r>
      <w:r>
        <w:t>,</w:t>
      </w:r>
      <w:r w:rsidRPr="00DB1CD2">
        <w:t xml:space="preserve"> pour les suppressions.</w:t>
      </w:r>
    </w:p>
    <w:p w:rsidR="00536E87" w:rsidRPr="000D3FE4" w:rsidRDefault="00536E87" w:rsidP="00536E87">
      <w:pPr>
        <w:pStyle w:val="HChG"/>
      </w:pPr>
      <w:r>
        <w:br w:type="page"/>
      </w:r>
      <w:r>
        <w:lastRenderedPageBreak/>
        <w:tab/>
      </w:r>
      <w:r w:rsidRPr="000D3FE4">
        <w:t>I.</w:t>
      </w:r>
      <w:r w:rsidRPr="000D3FE4">
        <w:tab/>
        <w:t>Propos</w:t>
      </w:r>
      <w:r w:rsidRPr="0084659C">
        <w:t>ition</w:t>
      </w:r>
    </w:p>
    <w:p w:rsidR="00536E87" w:rsidRPr="000D3FE4" w:rsidRDefault="00536E87" w:rsidP="00536E87">
      <w:pPr>
        <w:pStyle w:val="SingleTxtG"/>
      </w:pPr>
      <w:r>
        <w:rPr>
          <w:i/>
        </w:rPr>
        <w:t>Paragraphe</w:t>
      </w:r>
      <w:r w:rsidRPr="000D3FE4">
        <w:rPr>
          <w:i/>
        </w:rPr>
        <w:t xml:space="preserve"> 2.</w:t>
      </w:r>
      <w:r>
        <w:rPr>
          <w:i/>
        </w:rPr>
        <w:t>2</w:t>
      </w:r>
      <w:r w:rsidRPr="007E2710">
        <w:t>,</w:t>
      </w:r>
      <w:r w:rsidRPr="000D3FE4">
        <w:t xml:space="preserve"> </w:t>
      </w:r>
      <w:r w:rsidRPr="0084659C">
        <w:t>modifier comme suit</w:t>
      </w:r>
      <w:r>
        <w:t> :</w:t>
      </w:r>
    </w:p>
    <w:p w:rsidR="00536E87" w:rsidRDefault="00536E87" w:rsidP="00536E87">
      <w:pPr>
        <w:pStyle w:val="SingleTxtG"/>
        <w:ind w:left="2268" w:hanging="1134"/>
      </w:pPr>
      <w:bookmarkStart w:id="2" w:name="_Toc473483452"/>
      <w:r>
        <w:rPr>
          <w:bCs/>
        </w:rPr>
        <w:t>« </w:t>
      </w:r>
      <w:r w:rsidRPr="004D4C66">
        <w:rPr>
          <w:bCs/>
        </w:rPr>
        <w:t>2</w:t>
      </w:r>
      <w:r>
        <w:t>.2</w:t>
      </w:r>
      <w:r>
        <w:tab/>
      </w:r>
      <w:r w:rsidRPr="004D4C66">
        <w:t>Par “</w:t>
      </w:r>
      <w:r w:rsidRPr="004D4C66">
        <w:rPr>
          <w:i/>
        </w:rPr>
        <w:t>feux de types différents</w:t>
      </w:r>
      <w:r w:rsidRPr="004D4C66">
        <w:t>”</w:t>
      </w:r>
      <w:r w:rsidR="00586BCA">
        <w:t>…</w:t>
      </w:r>
    </w:p>
    <w:p w:rsidR="00536E87" w:rsidRDefault="00536E87" w:rsidP="00536E87">
      <w:pPr>
        <w:pStyle w:val="SingleTxtG"/>
        <w:ind w:left="2268"/>
      </w:pPr>
      <w:r>
        <w:t>…</w:t>
      </w:r>
    </w:p>
    <w:p w:rsidR="00536E87" w:rsidRDefault="00536E87" w:rsidP="00536E87">
      <w:pPr>
        <w:pStyle w:val="SingleTxtG"/>
        <w:ind w:left="2268"/>
        <w:rPr>
          <w:bCs/>
        </w:rPr>
      </w:pPr>
      <w:r w:rsidRPr="001C1324">
        <w:rPr>
          <w:bCs/>
        </w:rPr>
        <w:t>Une modification de la couleur d</w:t>
      </w:r>
      <w:r>
        <w:rPr>
          <w:bCs/>
        </w:rPr>
        <w:t>’</w:t>
      </w:r>
      <w:r w:rsidRPr="001C1324">
        <w:rPr>
          <w:bCs/>
        </w:rPr>
        <w:t>une source lumineuse ou de la couleur d</w:t>
      </w:r>
      <w:r>
        <w:rPr>
          <w:bCs/>
        </w:rPr>
        <w:t>’</w:t>
      </w:r>
      <w:r w:rsidRPr="001C1324">
        <w:rPr>
          <w:bCs/>
        </w:rPr>
        <w:t>un filtre ne constitue pas une modification du type</w:t>
      </w:r>
      <w:bookmarkEnd w:id="2"/>
      <w:r>
        <w:rPr>
          <w:bCs/>
        </w:rPr>
        <w:t>.</w:t>
      </w:r>
    </w:p>
    <w:p w:rsidR="00536E87" w:rsidRPr="001C1324" w:rsidRDefault="00536E87" w:rsidP="00536E87">
      <w:pPr>
        <w:pStyle w:val="SingleTxtG"/>
        <w:ind w:left="2268"/>
      </w:pPr>
      <w:r w:rsidRPr="00672BA6">
        <w:rPr>
          <w:rFonts w:eastAsia="Times New Roman"/>
          <w:b/>
        </w:rPr>
        <w:t>L</w:t>
      </w:r>
      <w:r>
        <w:rPr>
          <w:rFonts w:eastAsia="Times New Roman"/>
          <w:b/>
        </w:rPr>
        <w:t>’</w:t>
      </w:r>
      <w:r w:rsidRPr="00672BA6">
        <w:rPr>
          <w:rFonts w:eastAsia="Times New Roman"/>
          <w:b/>
        </w:rPr>
        <w:t xml:space="preserve">utilisation </w:t>
      </w:r>
      <w:r>
        <w:rPr>
          <w:rFonts w:eastAsia="Times New Roman"/>
          <w:b/>
        </w:rPr>
        <w:t xml:space="preserve">de </w:t>
      </w:r>
      <w:r w:rsidRPr="00672BA6">
        <w:rPr>
          <w:rFonts w:eastAsia="Times New Roman"/>
          <w:b/>
        </w:rPr>
        <w:t>sources lumineuses à DEL de substitution</w:t>
      </w:r>
      <w:r w:rsidRPr="00FC2813">
        <w:t xml:space="preserve"> </w:t>
      </w:r>
      <w:r>
        <w:rPr>
          <w:rFonts w:eastAsia="Times New Roman"/>
          <w:b/>
        </w:rPr>
        <w:t>ne constitue </w:t>
      </w:r>
      <w:r w:rsidRPr="00FC2813">
        <w:rPr>
          <w:rFonts w:eastAsia="Times New Roman"/>
          <w:b/>
        </w:rPr>
        <w:t>pas une modification du type</w:t>
      </w:r>
      <w:r>
        <w:rPr>
          <w:rFonts w:eastAsia="Times New Roman"/>
          <w:b/>
        </w:rPr>
        <w:t xml:space="preserve">. Toutefois, les dispositions du paragraphe </w:t>
      </w:r>
      <w:r w:rsidRPr="001734BA">
        <w:rPr>
          <w:rFonts w:eastAsia="Times New Roman"/>
          <w:b/>
        </w:rPr>
        <w:t>4.7.7 s</w:t>
      </w:r>
      <w:r>
        <w:rPr>
          <w:rFonts w:eastAsia="Times New Roman"/>
          <w:b/>
        </w:rPr>
        <w:t>’</w:t>
      </w:r>
      <w:r w:rsidRPr="001734BA">
        <w:rPr>
          <w:rFonts w:eastAsia="Times New Roman"/>
          <w:b/>
        </w:rPr>
        <w:t>applique</w:t>
      </w:r>
      <w:r>
        <w:rPr>
          <w:rFonts w:eastAsia="Times New Roman"/>
          <w:b/>
        </w:rPr>
        <w:t>nt</w:t>
      </w:r>
      <w:r w:rsidRPr="001734BA">
        <w:rPr>
          <w:rFonts w:eastAsia="Times New Roman"/>
          <w:b/>
        </w:rPr>
        <w:t>.</w:t>
      </w:r>
      <w:r>
        <w:t> »</w:t>
      </w:r>
      <w:r w:rsidRPr="001734BA">
        <w:t>.</w:t>
      </w:r>
    </w:p>
    <w:p w:rsidR="00536E87" w:rsidRPr="00703FB2" w:rsidRDefault="00536E87" w:rsidP="00536E87">
      <w:pPr>
        <w:pStyle w:val="SingleTxtG"/>
      </w:pPr>
      <w:r w:rsidRPr="001C1324">
        <w:rPr>
          <w:i/>
        </w:rPr>
        <w:t>Paragraphe 3.1.2.2</w:t>
      </w:r>
      <w:r w:rsidRPr="00703FB2">
        <w:t>, modifier comme suit</w:t>
      </w:r>
      <w:r>
        <w:t> :</w:t>
      </w:r>
    </w:p>
    <w:p w:rsidR="00536E87" w:rsidRPr="00FC2813" w:rsidRDefault="00536E87" w:rsidP="00536E87">
      <w:pPr>
        <w:pStyle w:val="SingleTxtG"/>
        <w:ind w:left="2268" w:hanging="1134"/>
      </w:pPr>
      <w:r>
        <w:t>« </w:t>
      </w:r>
      <w:r w:rsidRPr="00FC2813">
        <w:t>3.1.2.2</w:t>
      </w:r>
      <w:r w:rsidRPr="00FC2813">
        <w:tab/>
        <w:t>D</w:t>
      </w:r>
      <w:r>
        <w:t>’</w:t>
      </w:r>
      <w:r w:rsidRPr="00FC2813">
        <w:t>une description technique succincte indiquant notamment, à l</w:t>
      </w:r>
      <w:r>
        <w:t>’</w:t>
      </w:r>
      <w:r w:rsidRPr="00FC2813">
        <w:t>exception des feux équipés de sources lumineuses non remplaçables</w:t>
      </w:r>
      <w:r>
        <w:t> :</w:t>
      </w:r>
    </w:p>
    <w:p w:rsidR="00536E87" w:rsidRDefault="00536E87" w:rsidP="00536E87">
      <w:pPr>
        <w:pStyle w:val="SingleTxtG"/>
        <w:ind w:left="2835" w:hanging="567"/>
        <w:rPr>
          <w:bCs/>
        </w:rPr>
      </w:pPr>
      <w:r w:rsidRPr="00FC2813">
        <w:rPr>
          <w:bCs/>
        </w:rPr>
        <w:t>a)</w:t>
      </w:r>
      <w:r w:rsidRPr="00FC2813">
        <w:rPr>
          <w:bCs/>
        </w:rPr>
        <w:tab/>
        <w:t xml:space="preserve">La </w:t>
      </w:r>
      <w:r w:rsidRPr="001734BA">
        <w:rPr>
          <w:bCs/>
        </w:rPr>
        <w:t>catégorie</w:t>
      </w:r>
      <w:r>
        <w:rPr>
          <w:bCs/>
        </w:rPr>
        <w:t xml:space="preserve"> </w:t>
      </w:r>
      <w:r w:rsidRPr="00FC2813">
        <w:rPr>
          <w:bCs/>
        </w:rPr>
        <w:t>ou les catégories de lampe</w:t>
      </w:r>
      <w:r>
        <w:rPr>
          <w:bCs/>
        </w:rPr>
        <w:t>s</w:t>
      </w:r>
      <w:r w:rsidRPr="00FC2813">
        <w:rPr>
          <w:bCs/>
        </w:rPr>
        <w:t xml:space="preserve"> à incandescence prescrites</w:t>
      </w:r>
      <w:r w:rsidR="003013BA">
        <w:rPr>
          <w:bCs/>
        </w:rPr>
        <w:t> </w:t>
      </w:r>
      <w:r>
        <w:rPr>
          <w:bCs/>
        </w:rPr>
        <w:t>;</w:t>
      </w:r>
      <w:r w:rsidRPr="00FC2813">
        <w:rPr>
          <w:bCs/>
        </w:rPr>
        <w:t xml:space="preserve"> cette catégorie de lampe</w:t>
      </w:r>
      <w:r>
        <w:rPr>
          <w:bCs/>
        </w:rPr>
        <w:t>s</w:t>
      </w:r>
      <w:r w:rsidRPr="00FC2813">
        <w:rPr>
          <w:bCs/>
        </w:rPr>
        <w:t xml:space="preserve"> à incandescence doit être l</w:t>
      </w:r>
      <w:r>
        <w:rPr>
          <w:bCs/>
        </w:rPr>
        <w:t>’</w:t>
      </w:r>
      <w:r w:rsidRPr="00FC2813">
        <w:rPr>
          <w:bCs/>
        </w:rPr>
        <w:t xml:space="preserve">une de celles </w:t>
      </w:r>
      <w:r>
        <w:rPr>
          <w:bCs/>
        </w:rPr>
        <w:t xml:space="preserve">qui sont </w:t>
      </w:r>
      <w:r w:rsidRPr="00FC2813">
        <w:rPr>
          <w:bCs/>
        </w:rPr>
        <w:t xml:space="preserve">visées dans le Règlement </w:t>
      </w:r>
      <w:r w:rsidRPr="001C1324">
        <w:rPr>
          <w:rFonts w:eastAsia="MS Mincho"/>
          <w:bCs/>
        </w:rPr>
        <w:t>n</w:t>
      </w:r>
      <w:r w:rsidRPr="001C1324">
        <w:rPr>
          <w:rFonts w:eastAsia="MS Mincho"/>
          <w:bCs/>
          <w:vertAlign w:val="superscript"/>
        </w:rPr>
        <w:t>o</w:t>
      </w:r>
      <w:r w:rsidRPr="001C1324">
        <w:rPr>
          <w:rFonts w:eastAsia="MS Mincho"/>
          <w:bCs/>
        </w:rPr>
        <w:t> </w:t>
      </w:r>
      <w:r w:rsidRPr="00FC2813">
        <w:rPr>
          <w:bCs/>
        </w:rPr>
        <w:t>37</w:t>
      </w:r>
      <w:r>
        <w:rPr>
          <w:bCs/>
        </w:rPr>
        <w:t> ;</w:t>
      </w:r>
    </w:p>
    <w:p w:rsidR="00536E87" w:rsidRDefault="00536E87" w:rsidP="00536E87">
      <w:pPr>
        <w:pStyle w:val="SingleTxtG"/>
        <w:ind w:left="2835" w:hanging="567"/>
        <w:rPr>
          <w:bCs/>
        </w:rPr>
      </w:pPr>
      <w:r w:rsidRPr="00FC2813">
        <w:rPr>
          <w:bCs/>
        </w:rPr>
        <w:t>b)</w:t>
      </w:r>
      <w:r w:rsidRPr="00FC2813">
        <w:rPr>
          <w:bCs/>
        </w:rPr>
        <w:tab/>
        <w:t>La ou les catégories de sources lumineuses à DEL prescrites</w:t>
      </w:r>
      <w:r>
        <w:rPr>
          <w:bCs/>
        </w:rPr>
        <w:t> ;</w:t>
      </w:r>
      <w:r w:rsidRPr="00FC2813">
        <w:rPr>
          <w:bCs/>
        </w:rPr>
        <w:t xml:space="preserve"> cette catégorie de sources lumineuses à DEL doit être l</w:t>
      </w:r>
      <w:r>
        <w:rPr>
          <w:bCs/>
        </w:rPr>
        <w:t>’</w:t>
      </w:r>
      <w:r w:rsidRPr="00FC2813">
        <w:rPr>
          <w:bCs/>
        </w:rPr>
        <w:t xml:space="preserve">une de celles </w:t>
      </w:r>
      <w:r>
        <w:rPr>
          <w:bCs/>
        </w:rPr>
        <w:t xml:space="preserve">qui sont </w:t>
      </w:r>
      <w:r w:rsidRPr="00FC2813">
        <w:rPr>
          <w:bCs/>
        </w:rPr>
        <w:t xml:space="preserve">mentionnées dans le Règlement </w:t>
      </w:r>
      <w:r w:rsidRPr="008D10CB">
        <w:rPr>
          <w:rFonts w:eastAsia="MS Mincho"/>
          <w:bCs/>
        </w:rPr>
        <w:t>n</w:t>
      </w:r>
      <w:r w:rsidRPr="008D10CB">
        <w:rPr>
          <w:rFonts w:eastAsia="MS Mincho"/>
          <w:bCs/>
          <w:vertAlign w:val="superscript"/>
        </w:rPr>
        <w:t>o</w:t>
      </w:r>
      <w:r>
        <w:rPr>
          <w:bCs/>
        </w:rPr>
        <w:t> </w:t>
      </w:r>
      <w:r w:rsidRPr="00FC2813">
        <w:rPr>
          <w:bCs/>
        </w:rPr>
        <w:t>128</w:t>
      </w:r>
      <w:r>
        <w:rPr>
          <w:bCs/>
        </w:rPr>
        <w:t> ;</w:t>
      </w:r>
    </w:p>
    <w:p w:rsidR="00536E87" w:rsidRDefault="00536E87" w:rsidP="00536E87">
      <w:pPr>
        <w:pStyle w:val="SingleTxtG"/>
        <w:ind w:left="2835" w:hanging="567"/>
      </w:pPr>
      <w:r w:rsidRPr="00FC2813">
        <w:rPr>
          <w:bCs/>
        </w:rPr>
        <w:t>c)</w:t>
      </w:r>
      <w:r w:rsidRPr="00FC2813">
        <w:rPr>
          <w:bCs/>
        </w:rPr>
        <w:tab/>
        <w:t>Le code d</w:t>
      </w:r>
      <w:r>
        <w:rPr>
          <w:bCs/>
        </w:rPr>
        <w:t>’</w:t>
      </w:r>
      <w:r w:rsidRPr="00FC2813">
        <w:rPr>
          <w:bCs/>
        </w:rPr>
        <w:t>identification propre au module d</w:t>
      </w:r>
      <w:r>
        <w:rPr>
          <w:bCs/>
        </w:rPr>
        <w:t>’</w:t>
      </w:r>
      <w:r w:rsidRPr="00FC2813">
        <w:rPr>
          <w:bCs/>
        </w:rPr>
        <w:t>éclairage</w:t>
      </w:r>
      <w:r>
        <w:rPr>
          <w:bCs/>
        </w:rPr>
        <w:t> </w:t>
      </w:r>
      <w:r>
        <w:t>;</w:t>
      </w:r>
    </w:p>
    <w:p w:rsidR="00536E87" w:rsidRDefault="00536E87" w:rsidP="00536E87">
      <w:pPr>
        <w:pStyle w:val="SingleTxtG"/>
        <w:ind w:left="2835" w:hanging="567"/>
        <w:rPr>
          <w:bCs/>
        </w:rPr>
      </w:pPr>
      <w:r w:rsidRPr="00FC2813">
        <w:rPr>
          <w:b/>
        </w:rPr>
        <w:t>d)</w:t>
      </w:r>
      <w:r w:rsidRPr="00FC2813">
        <w:rPr>
          <w:b/>
        </w:rPr>
        <w:tab/>
        <w:t xml:space="preserve">Dans le cas où, à la discrétion du demandeur, </w:t>
      </w:r>
      <w:r>
        <w:rPr>
          <w:b/>
        </w:rPr>
        <w:t>le feu doit également être homologué avec la</w:t>
      </w:r>
      <w:r w:rsidRPr="006A6BD8">
        <w:rPr>
          <w:b/>
        </w:rPr>
        <w:t xml:space="preserve"> </w:t>
      </w:r>
      <w:r>
        <w:rPr>
          <w:b/>
        </w:rPr>
        <w:t xml:space="preserve">ou les </w:t>
      </w:r>
      <w:r w:rsidRPr="006A6BD8">
        <w:rPr>
          <w:b/>
        </w:rPr>
        <w:t>source</w:t>
      </w:r>
      <w:r>
        <w:rPr>
          <w:b/>
        </w:rPr>
        <w:t>s</w:t>
      </w:r>
      <w:r w:rsidRPr="006A6BD8">
        <w:rPr>
          <w:b/>
        </w:rPr>
        <w:t xml:space="preserve"> lumineuse</w:t>
      </w:r>
      <w:r>
        <w:rPr>
          <w:b/>
        </w:rPr>
        <w:t>s</w:t>
      </w:r>
      <w:r w:rsidRPr="006A6BD8">
        <w:rPr>
          <w:b/>
        </w:rPr>
        <w:t xml:space="preserve"> à DEL de substitution</w:t>
      </w:r>
      <w:r>
        <w:rPr>
          <w:b/>
        </w:rPr>
        <w:t xml:space="preserve">, conformément au Règlement </w:t>
      </w:r>
      <w:r w:rsidRPr="001C1324">
        <w:rPr>
          <w:rFonts w:eastAsia="MS Mincho"/>
          <w:b/>
        </w:rPr>
        <w:t>n</w:t>
      </w:r>
      <w:r w:rsidRPr="001C1324">
        <w:rPr>
          <w:rFonts w:eastAsia="MS Mincho"/>
          <w:b/>
          <w:vertAlign w:val="superscript"/>
        </w:rPr>
        <w:t>o</w:t>
      </w:r>
      <w:r>
        <w:rPr>
          <w:b/>
        </w:rPr>
        <w:t> </w:t>
      </w:r>
      <w:r w:rsidRPr="006A6BD8">
        <w:rPr>
          <w:b/>
          <w:bCs/>
        </w:rPr>
        <w:t xml:space="preserve">128, </w:t>
      </w:r>
      <w:r>
        <w:rPr>
          <w:b/>
          <w:bCs/>
        </w:rPr>
        <w:t>il faut le préciser dans la description </w:t>
      </w:r>
      <w:r>
        <w:rPr>
          <w:bCs/>
        </w:rPr>
        <w:t>;</w:t>
      </w:r>
    </w:p>
    <w:p w:rsidR="00536E87" w:rsidRPr="006A6BD8" w:rsidRDefault="00536E87" w:rsidP="00536E87">
      <w:pPr>
        <w:pStyle w:val="SingleTxtG"/>
        <w:ind w:left="2835" w:hanging="567"/>
      </w:pPr>
      <w:r w:rsidRPr="006A6BD8">
        <w:rPr>
          <w:b/>
          <w:bCs/>
        </w:rPr>
        <w:t>e)</w:t>
      </w:r>
      <w:r w:rsidRPr="006A6BD8">
        <w:rPr>
          <w:b/>
          <w:bCs/>
        </w:rPr>
        <w:tab/>
      </w:r>
      <w:r w:rsidRPr="006A6BD8">
        <w:rPr>
          <w:bCs/>
        </w:rPr>
        <w:t>Dans le cas d</w:t>
      </w:r>
      <w:r>
        <w:rPr>
          <w:bCs/>
        </w:rPr>
        <w:t>’</w:t>
      </w:r>
      <w:r w:rsidRPr="006A6BD8">
        <w:rPr>
          <w:bCs/>
        </w:rPr>
        <w:t>un feu-stop de la catégorie S3 ou S4 conçu pour être monté à l</w:t>
      </w:r>
      <w:r>
        <w:rPr>
          <w:bCs/>
        </w:rPr>
        <w:t>’</w:t>
      </w:r>
      <w:r w:rsidRPr="006A6BD8">
        <w:rPr>
          <w:bCs/>
        </w:rPr>
        <w:t>intérieur du véhicule, la fiche technique doit indiquer les propriétés optiques (transmission, couleur, inclinaison, etc.) de la ou des lunettes arrière.</w:t>
      </w:r>
      <w:r>
        <w:t> »</w:t>
      </w:r>
      <w:r w:rsidRPr="006A6BD8">
        <w:t>.</w:t>
      </w:r>
    </w:p>
    <w:p w:rsidR="00536E87" w:rsidRDefault="00536E87" w:rsidP="00536E87">
      <w:pPr>
        <w:pStyle w:val="SingleTxtG"/>
      </w:pPr>
      <w:r w:rsidRPr="00EC3F4B">
        <w:rPr>
          <w:i/>
        </w:rPr>
        <w:t>Paragraphe 3.3.4.1.1</w:t>
      </w:r>
      <w:r w:rsidRPr="00703FB2">
        <w:t>, modifier comme suit</w:t>
      </w:r>
      <w:r>
        <w:t> :</w:t>
      </w:r>
    </w:p>
    <w:p w:rsidR="00536E87" w:rsidRPr="008807BD" w:rsidRDefault="00536E87" w:rsidP="00536E87">
      <w:pPr>
        <w:pStyle w:val="SingleTxtG"/>
        <w:ind w:left="2268" w:hanging="1134"/>
      </w:pPr>
      <w:r>
        <w:t>« </w:t>
      </w:r>
      <w:r w:rsidRPr="008807BD">
        <w:t>3.3.4.1.1</w:t>
      </w:r>
      <w:r w:rsidRPr="008807BD">
        <w:tab/>
        <w:t>Dans tous les cas</w:t>
      </w:r>
      <w:r>
        <w:t>,</w:t>
      </w:r>
      <w:r w:rsidRPr="008807BD">
        <w:t xml:space="preserve"> la marque d</w:t>
      </w:r>
      <w:r>
        <w:t>’</w:t>
      </w:r>
      <w:r w:rsidRPr="008807BD">
        <w:t xml:space="preserve">homologation </w:t>
      </w:r>
      <w:r>
        <w:t>ou l’</w:t>
      </w:r>
      <w:r w:rsidRPr="008807BD">
        <w:t>identifiant unique</w:t>
      </w:r>
      <w:r>
        <w:t xml:space="preserve">, </w:t>
      </w:r>
      <w:r w:rsidRPr="008807BD">
        <w:rPr>
          <w:b/>
        </w:rPr>
        <w:t xml:space="preserve">ainsi que </w:t>
      </w:r>
      <w:r>
        <w:rPr>
          <w:b/>
        </w:rPr>
        <w:t xml:space="preserve">la ou les catégories </w:t>
      </w:r>
      <w:r w:rsidRPr="008807BD">
        <w:rPr>
          <w:b/>
        </w:rPr>
        <w:t>de sources lumineuses</w:t>
      </w:r>
      <w:r>
        <w:rPr>
          <w:b/>
        </w:rPr>
        <w:t xml:space="preserve"> à DEL de substitution prescrites, le cas échéant, </w:t>
      </w:r>
      <w:r>
        <w:t xml:space="preserve">doivent être visibles </w:t>
      </w:r>
      <w:r w:rsidRPr="008807BD">
        <w:t xml:space="preserve">lorsque le feu </w:t>
      </w:r>
      <w:r>
        <w:t xml:space="preserve">est </w:t>
      </w:r>
      <w:r w:rsidRPr="008807BD">
        <w:t>monté sur le véhicule ou lorsqu</w:t>
      </w:r>
      <w:r>
        <w:t>’</w:t>
      </w:r>
      <w:r w:rsidRPr="008807BD">
        <w:t>une partie mobile, comme le capot, le hayon du coffre ou une porte, est ouverte</w:t>
      </w:r>
      <w:r>
        <w:t>. »</w:t>
      </w:r>
      <w:r w:rsidRPr="008807BD">
        <w:t>.</w:t>
      </w:r>
    </w:p>
    <w:p w:rsidR="00536E87" w:rsidRPr="00703FB2" w:rsidRDefault="00536E87" w:rsidP="00536E87">
      <w:pPr>
        <w:pStyle w:val="SingleTxtG"/>
      </w:pPr>
      <w:r w:rsidRPr="00703FB2">
        <w:rPr>
          <w:i/>
        </w:rPr>
        <w:t>Paragraphe 3.3.4.3</w:t>
      </w:r>
      <w:r w:rsidRPr="007E2710">
        <w:t>,</w:t>
      </w:r>
      <w:r w:rsidRPr="00703FB2">
        <w:rPr>
          <w:i/>
        </w:rPr>
        <w:t xml:space="preserve"> </w:t>
      </w:r>
      <w:r w:rsidRPr="00703FB2">
        <w:t>modifier comme suit</w:t>
      </w:r>
      <w:r>
        <w:t> :</w:t>
      </w:r>
    </w:p>
    <w:p w:rsidR="00536E87" w:rsidRPr="009A151B" w:rsidRDefault="00536E87" w:rsidP="00536E87">
      <w:pPr>
        <w:pStyle w:val="SingleTxtG"/>
        <w:ind w:left="2268" w:hanging="1134"/>
        <w:rPr>
          <w:rFonts w:eastAsia="Times New Roman"/>
        </w:rPr>
      </w:pPr>
      <w:r>
        <w:rPr>
          <w:rFonts w:eastAsia="Times New Roman"/>
        </w:rPr>
        <w:t>« </w:t>
      </w:r>
      <w:r w:rsidRPr="009A151B">
        <w:rPr>
          <w:rFonts w:eastAsia="Times New Roman"/>
        </w:rPr>
        <w:t>3.3.4.3</w:t>
      </w:r>
      <w:r w:rsidRPr="009A151B">
        <w:rPr>
          <w:rFonts w:eastAsia="Times New Roman"/>
        </w:rPr>
        <w:tab/>
        <w:t>À l</w:t>
      </w:r>
      <w:r>
        <w:rPr>
          <w:rFonts w:eastAsia="Times New Roman"/>
        </w:rPr>
        <w:t>’</w:t>
      </w:r>
      <w:r w:rsidRPr="009A151B">
        <w:rPr>
          <w:rFonts w:eastAsia="Times New Roman"/>
        </w:rPr>
        <w:t>exception des dispositifs d</w:t>
      </w:r>
      <w:r>
        <w:rPr>
          <w:rFonts w:eastAsia="Times New Roman"/>
        </w:rPr>
        <w:t>’</w:t>
      </w:r>
      <w:r w:rsidRPr="009A151B">
        <w:rPr>
          <w:rFonts w:eastAsia="Times New Roman"/>
        </w:rPr>
        <w:t>éclairage équipés de sources lumineuses non remplaçables, l</w:t>
      </w:r>
      <w:r>
        <w:rPr>
          <w:rFonts w:eastAsia="Times New Roman"/>
        </w:rPr>
        <w:t>’</w:t>
      </w:r>
      <w:r w:rsidRPr="009A151B">
        <w:rPr>
          <w:rFonts w:eastAsia="Times New Roman"/>
        </w:rPr>
        <w:t>indication, nettement lisible et indélébile</w:t>
      </w:r>
      <w:r>
        <w:rPr>
          <w:rFonts w:eastAsia="Times New Roman"/>
        </w:rPr>
        <w:t> :</w:t>
      </w:r>
    </w:p>
    <w:p w:rsidR="00536E87" w:rsidRDefault="00536E87" w:rsidP="00536E87">
      <w:pPr>
        <w:pStyle w:val="SingleTxtG"/>
        <w:ind w:left="2835" w:hanging="567"/>
        <w:rPr>
          <w:snapToGrid w:val="0"/>
        </w:rPr>
      </w:pPr>
      <w:r w:rsidRPr="009A151B">
        <w:rPr>
          <w:snapToGrid w:val="0"/>
        </w:rPr>
        <w:t>a)</w:t>
      </w:r>
      <w:r w:rsidRPr="009A151B">
        <w:rPr>
          <w:snapToGrid w:val="0"/>
        </w:rPr>
        <w:tab/>
        <w:t>De la ou des catégories de sources lumineuses prescrites</w:t>
      </w:r>
      <w:r w:rsidR="003013BA">
        <w:rPr>
          <w:snapToGrid w:val="0"/>
        </w:rPr>
        <w:t> </w:t>
      </w:r>
      <w:r>
        <w:rPr>
          <w:snapToGrid w:val="0"/>
        </w:rPr>
        <w:t>;</w:t>
      </w:r>
      <w:r w:rsidRPr="009A151B">
        <w:rPr>
          <w:snapToGrid w:val="0"/>
        </w:rPr>
        <w:t xml:space="preserve"> </w:t>
      </w:r>
      <w:r w:rsidRPr="009A151B">
        <w:rPr>
          <w:b/>
          <w:snapToGrid w:val="0"/>
        </w:rPr>
        <w:t xml:space="preserve">pour les </w:t>
      </w:r>
      <w:r>
        <w:rPr>
          <w:b/>
          <w:snapToGrid w:val="0"/>
        </w:rPr>
        <w:t xml:space="preserve">feux homologués avec une ou des </w:t>
      </w:r>
      <w:r w:rsidRPr="00337BC6">
        <w:rPr>
          <w:b/>
          <w:snapToGrid w:val="0"/>
        </w:rPr>
        <w:t>sources lumineuses à DEL de substitution</w:t>
      </w:r>
      <w:r>
        <w:rPr>
          <w:b/>
          <w:snapToGrid w:val="0"/>
        </w:rPr>
        <w:t xml:space="preserve">, également l’indication de la ou des catégories </w:t>
      </w:r>
      <w:r w:rsidRPr="00337BC6">
        <w:rPr>
          <w:b/>
          <w:snapToGrid w:val="0"/>
        </w:rPr>
        <w:t>de sources lumineuses à DEL</w:t>
      </w:r>
      <w:r>
        <w:rPr>
          <w:b/>
          <w:snapToGrid w:val="0"/>
        </w:rPr>
        <w:t xml:space="preserve"> de substitution </w:t>
      </w:r>
      <w:r>
        <w:rPr>
          <w:bCs/>
        </w:rPr>
        <w:t>;</w:t>
      </w:r>
    </w:p>
    <w:p w:rsidR="00536E87" w:rsidRPr="00337BC6" w:rsidRDefault="00536E87" w:rsidP="00536E87">
      <w:pPr>
        <w:pStyle w:val="SingleTxtG"/>
        <w:ind w:left="2835" w:hanging="567"/>
        <w:rPr>
          <w:b/>
        </w:rPr>
      </w:pPr>
      <w:r w:rsidRPr="00337BC6">
        <w:rPr>
          <w:snapToGrid w:val="0"/>
        </w:rPr>
        <w:t>b)</w:t>
      </w:r>
      <w:r w:rsidRPr="00337BC6">
        <w:rPr>
          <w:snapToGrid w:val="0"/>
        </w:rPr>
        <w:tab/>
        <w:t>Du code d</w:t>
      </w:r>
      <w:r>
        <w:rPr>
          <w:snapToGrid w:val="0"/>
        </w:rPr>
        <w:t>’</w:t>
      </w:r>
      <w:r w:rsidRPr="00337BC6">
        <w:rPr>
          <w:snapToGrid w:val="0"/>
        </w:rPr>
        <w:t>identification propre au module d</w:t>
      </w:r>
      <w:r>
        <w:rPr>
          <w:snapToGrid w:val="0"/>
        </w:rPr>
        <w:t>’</w:t>
      </w:r>
      <w:r w:rsidRPr="00337BC6">
        <w:rPr>
          <w:snapToGrid w:val="0"/>
        </w:rPr>
        <w:t>éclairage.</w:t>
      </w:r>
      <w:r>
        <w:t> ».</w:t>
      </w:r>
    </w:p>
    <w:p w:rsidR="00536E87" w:rsidRPr="000D3FE4" w:rsidRDefault="00536E87" w:rsidP="00536E87">
      <w:pPr>
        <w:pStyle w:val="SingleTxtG"/>
      </w:pPr>
      <w:r w:rsidRPr="0084659C">
        <w:rPr>
          <w:i/>
        </w:rPr>
        <w:t xml:space="preserve">Ajouter </w:t>
      </w:r>
      <w:r>
        <w:rPr>
          <w:i/>
        </w:rPr>
        <w:t xml:space="preserve">le nouveau </w:t>
      </w:r>
      <w:r w:rsidRPr="0084659C">
        <w:rPr>
          <w:i/>
        </w:rPr>
        <w:t>paragraphe</w:t>
      </w:r>
      <w:r w:rsidRPr="000D3FE4">
        <w:rPr>
          <w:i/>
        </w:rPr>
        <w:t xml:space="preserve"> 3.5.4</w:t>
      </w:r>
      <w:r w:rsidRPr="007E2710">
        <w:t>,</w:t>
      </w:r>
      <w:r w:rsidRPr="000D3FE4">
        <w:t xml:space="preserve"> </w:t>
      </w:r>
      <w:r>
        <w:t>libellé comme suit :</w:t>
      </w:r>
    </w:p>
    <w:p w:rsidR="00536E87" w:rsidRPr="00A73ADB" w:rsidRDefault="00536E87" w:rsidP="00536E87">
      <w:pPr>
        <w:pStyle w:val="SingleTxtG"/>
        <w:ind w:left="2268" w:hanging="1134"/>
        <w:rPr>
          <w:b/>
        </w:rPr>
      </w:pPr>
      <w:r>
        <w:t>« </w:t>
      </w:r>
      <w:r w:rsidRPr="00A73ADB">
        <w:rPr>
          <w:b/>
        </w:rPr>
        <w:t>3.5.4</w:t>
      </w:r>
      <w:r w:rsidRPr="00A73ADB">
        <w:rPr>
          <w:b/>
        </w:rPr>
        <w:tab/>
        <w:t xml:space="preserve">Les essais </w:t>
      </w:r>
      <w:r>
        <w:rPr>
          <w:b/>
        </w:rPr>
        <w:t xml:space="preserve">menés </w:t>
      </w:r>
      <w:r w:rsidRPr="00A73ADB">
        <w:rPr>
          <w:b/>
        </w:rPr>
        <w:t>avec de</w:t>
      </w:r>
      <w:r>
        <w:rPr>
          <w:b/>
        </w:rPr>
        <w:t>s</w:t>
      </w:r>
      <w:r w:rsidRPr="00A73ADB">
        <w:rPr>
          <w:b/>
        </w:rPr>
        <w:t xml:space="preserve"> sources lumineuses à DEL de substitution</w:t>
      </w:r>
      <w:r w:rsidR="003013BA">
        <w:rPr>
          <w:b/>
        </w:rPr>
        <w:t xml:space="preserve"> </w:t>
      </w:r>
      <w:r>
        <w:rPr>
          <w:b/>
        </w:rPr>
        <w:t>ne font pas partie</w:t>
      </w:r>
      <w:r w:rsidR="003013BA">
        <w:rPr>
          <w:b/>
        </w:rPr>
        <w:t xml:space="preserve"> </w:t>
      </w:r>
      <w:r>
        <w:rPr>
          <w:b/>
        </w:rPr>
        <w:t xml:space="preserve">de la procédure de </w:t>
      </w:r>
      <w:r w:rsidRPr="00A73ADB">
        <w:rPr>
          <w:b/>
        </w:rPr>
        <w:t>contrôle de</w:t>
      </w:r>
      <w:r w:rsidR="003013BA">
        <w:rPr>
          <w:b/>
        </w:rPr>
        <w:t xml:space="preserve"> </w:t>
      </w:r>
      <w:r w:rsidRPr="00A73ADB">
        <w:rPr>
          <w:b/>
        </w:rPr>
        <w:t>conformité de la production</w:t>
      </w:r>
      <w:r>
        <w:t>. »</w:t>
      </w:r>
      <w:r w:rsidRPr="00A73ADB">
        <w:t>.</w:t>
      </w:r>
    </w:p>
    <w:p w:rsidR="00536E87" w:rsidRDefault="00536E87" w:rsidP="00536E87">
      <w:pPr>
        <w:pStyle w:val="SingleTxtG"/>
        <w:keepNext/>
        <w:keepLines/>
      </w:pPr>
      <w:r>
        <w:rPr>
          <w:i/>
        </w:rPr>
        <w:lastRenderedPageBreak/>
        <w:t>Paragraphe 4.3.1.4</w:t>
      </w:r>
      <w:r>
        <w:t>, modifier comme suit :</w:t>
      </w:r>
    </w:p>
    <w:p w:rsidR="00536E87" w:rsidRDefault="00536E87" w:rsidP="00536E87">
      <w:pPr>
        <w:pStyle w:val="SingleTxtG"/>
        <w:ind w:left="2268" w:hanging="1134"/>
      </w:pPr>
      <w:r>
        <w:t>« 4.3.1.4</w:t>
      </w:r>
      <w:r>
        <w:tab/>
        <w:t xml:space="preserve">La douille doit être conforme aux caractéristiques de la publication CEI 60061 ; la feuille de caractéristiques de la douille correspondant à la catégorie de sources lumineuses </w:t>
      </w:r>
      <w:r w:rsidRPr="00BD51B1">
        <w:rPr>
          <w:b/>
        </w:rPr>
        <w:t>prescrite</w:t>
      </w:r>
      <w:r>
        <w:t xml:space="preserve"> est applicable.</w:t>
      </w:r>
    </w:p>
    <w:p w:rsidR="00536E87" w:rsidRPr="00A16372" w:rsidRDefault="00536E87" w:rsidP="00536E87">
      <w:pPr>
        <w:pStyle w:val="SingleTxtG"/>
        <w:ind w:left="2268"/>
        <w:rPr>
          <w:b/>
        </w:rPr>
      </w:pPr>
      <w:r>
        <w:tab/>
      </w:r>
      <w:r>
        <w:rPr>
          <w:b/>
        </w:rPr>
        <w:t>À défaut, lorsqu’une catégorie de sources lumineuses à DEL de substitution est aussi prescrite, la feuille de caractéristiques de la douille correspondant à cette catégorie est applicable. </w:t>
      </w:r>
      <w:r w:rsidRPr="00536E87">
        <w:t>».</w:t>
      </w:r>
    </w:p>
    <w:p w:rsidR="00536E87" w:rsidRPr="000D3FE4" w:rsidRDefault="00536E87" w:rsidP="00536E87">
      <w:pPr>
        <w:pStyle w:val="SingleTxtG"/>
      </w:pPr>
      <w:r w:rsidRPr="0084659C">
        <w:rPr>
          <w:i/>
        </w:rPr>
        <w:t xml:space="preserve">Ajouter </w:t>
      </w:r>
      <w:r>
        <w:rPr>
          <w:i/>
        </w:rPr>
        <w:t xml:space="preserve">le nouveau </w:t>
      </w:r>
      <w:r w:rsidRPr="0084659C">
        <w:rPr>
          <w:i/>
        </w:rPr>
        <w:t>paragraphe</w:t>
      </w:r>
      <w:r w:rsidRPr="000D3FE4">
        <w:rPr>
          <w:i/>
        </w:rPr>
        <w:t xml:space="preserve"> 4.7.7</w:t>
      </w:r>
      <w:r w:rsidRPr="007E2710">
        <w:t>,</w:t>
      </w:r>
      <w:r w:rsidRPr="000D3FE4">
        <w:t xml:space="preserve"> </w:t>
      </w:r>
      <w:r>
        <w:t>libellé comme suit :</w:t>
      </w:r>
    </w:p>
    <w:p w:rsidR="00536E87" w:rsidRPr="001007CE" w:rsidRDefault="00536E87" w:rsidP="00536E87">
      <w:pPr>
        <w:pStyle w:val="SingleTxtG"/>
        <w:ind w:left="2268" w:hanging="1134"/>
        <w:rPr>
          <w:b/>
        </w:rPr>
      </w:pPr>
      <w:r w:rsidRPr="00004BA3">
        <w:t>«</w:t>
      </w:r>
      <w:r>
        <w:rPr>
          <w:b/>
        </w:rPr>
        <w:t> </w:t>
      </w:r>
      <w:r w:rsidRPr="00337BC6">
        <w:rPr>
          <w:b/>
        </w:rPr>
        <w:t>4.7.7</w:t>
      </w:r>
      <w:r w:rsidRPr="00337BC6">
        <w:rPr>
          <w:b/>
        </w:rPr>
        <w:tab/>
      </w:r>
      <w:r w:rsidRPr="00EC0551">
        <w:rPr>
          <w:b/>
        </w:rPr>
        <w:t>Dans</w:t>
      </w:r>
      <w:r w:rsidRPr="00337BC6">
        <w:rPr>
          <w:b/>
        </w:rPr>
        <w:t xml:space="preserve"> le cas où, à la discrétion du demandeur, le feu doit également être homologué avec</w:t>
      </w:r>
      <w:r w:rsidR="003013BA">
        <w:rPr>
          <w:b/>
        </w:rPr>
        <w:t xml:space="preserve"> </w:t>
      </w:r>
      <w:r>
        <w:rPr>
          <w:b/>
        </w:rPr>
        <w:t xml:space="preserve">une ou plusieurs </w:t>
      </w:r>
      <w:r w:rsidRPr="00337BC6">
        <w:rPr>
          <w:b/>
        </w:rPr>
        <w:t>sources lumineuses à DEL de substitution, toutes les mesures photométriques et colorimétriques</w:t>
      </w:r>
      <w:r>
        <w:rPr>
          <w:b/>
        </w:rPr>
        <w:t xml:space="preserve"> doivent être répétées sur les </w:t>
      </w:r>
      <w:r w:rsidRPr="001007CE">
        <w:rPr>
          <w:b/>
        </w:rPr>
        <w:t>sources</w:t>
      </w:r>
      <w:r w:rsidR="0015579B">
        <w:rPr>
          <w:b/>
        </w:rPr>
        <w:t xml:space="preserve"> </w:t>
      </w:r>
      <w:r>
        <w:rPr>
          <w:b/>
        </w:rPr>
        <w:t>prescrites</w:t>
      </w:r>
      <w:r w:rsidRPr="001007CE">
        <w:t>.</w:t>
      </w:r>
      <w:r>
        <w:t> ».</w:t>
      </w:r>
    </w:p>
    <w:p w:rsidR="00536E87" w:rsidRPr="000D3FE4" w:rsidRDefault="00536E87" w:rsidP="00536E87">
      <w:pPr>
        <w:pStyle w:val="SingleTxtG"/>
      </w:pPr>
      <w:r w:rsidRPr="000D3FE4">
        <w:rPr>
          <w:i/>
        </w:rPr>
        <w:t>Annex</w:t>
      </w:r>
      <w:r>
        <w:rPr>
          <w:i/>
        </w:rPr>
        <w:t>e</w:t>
      </w:r>
      <w:r w:rsidRPr="000D3FE4">
        <w:rPr>
          <w:i/>
        </w:rPr>
        <w:t xml:space="preserve"> 1, </w:t>
      </w:r>
      <w:r>
        <w:rPr>
          <w:i/>
        </w:rPr>
        <w:t xml:space="preserve">point </w:t>
      </w:r>
      <w:r w:rsidRPr="000D3FE4">
        <w:rPr>
          <w:i/>
        </w:rPr>
        <w:t>9.2</w:t>
      </w:r>
      <w:r w:rsidRPr="007E2710">
        <w:t>,</w:t>
      </w:r>
      <w:r w:rsidRPr="000D3FE4">
        <w:rPr>
          <w:i/>
        </w:rPr>
        <w:t xml:space="preserve"> </w:t>
      </w:r>
      <w:r w:rsidRPr="0084659C">
        <w:t>modifier comme suit</w:t>
      </w:r>
      <w:r>
        <w:t> :</w:t>
      </w:r>
    </w:p>
    <w:p w:rsidR="00536E87" w:rsidRPr="009F4C98" w:rsidRDefault="00536E87" w:rsidP="00536E87">
      <w:pPr>
        <w:pStyle w:val="SingleTxtG"/>
        <w:ind w:left="2268" w:hanging="1134"/>
      </w:pPr>
      <w:r>
        <w:t>« </w:t>
      </w:r>
      <w:r w:rsidRPr="009F4C98">
        <w:t>9.2</w:t>
      </w:r>
      <w:r w:rsidRPr="009F4C98">
        <w:tab/>
        <w:t xml:space="preserve">Par </w:t>
      </w:r>
      <w:r>
        <w:t>f</w:t>
      </w:r>
      <w:r w:rsidRPr="009F4C98">
        <w:t>onction de signalisation lumineuse et catégorie</w:t>
      </w:r>
      <w:r>
        <w:t> :</w:t>
      </w:r>
    </w:p>
    <w:p w:rsidR="00536E87" w:rsidRPr="009F4C98" w:rsidRDefault="00536E87" w:rsidP="00536E87">
      <w:pPr>
        <w:pStyle w:val="SingleTxtG"/>
        <w:ind w:left="2268"/>
      </w:pPr>
      <w:r w:rsidRPr="009F4C98">
        <w:t>Pour montage à l</w:t>
      </w:r>
      <w:r>
        <w:t>’</w:t>
      </w:r>
      <w:r w:rsidRPr="009F4C98">
        <w:t>extérieur ou à l</w:t>
      </w:r>
      <w:r>
        <w:t>’</w:t>
      </w:r>
      <w:r w:rsidRPr="009F4C98">
        <w:t>intérieur, ou les deux</w:t>
      </w:r>
      <w:r w:rsidRPr="00EC0551">
        <w:rPr>
          <w:sz w:val="18"/>
          <w:vertAlign w:val="superscript"/>
        </w:rPr>
        <w:t>2</w:t>
      </w:r>
    </w:p>
    <w:p w:rsidR="00536E87" w:rsidRPr="009F4C98" w:rsidRDefault="00536E87" w:rsidP="00536E87">
      <w:pPr>
        <w:pStyle w:val="SingleTxtG"/>
        <w:ind w:left="2268"/>
      </w:pPr>
      <w:r w:rsidRPr="009F4C98">
        <w:t>Couleur de la lumière émise</w:t>
      </w:r>
      <w:r>
        <w:t xml:space="preserve"> :</w:t>
      </w:r>
      <w:r w:rsidRPr="009F4C98">
        <w:t xml:space="preserve"> rouge/blanc/ jaune-auto/</w:t>
      </w:r>
      <w:r>
        <w:t>incolore</w:t>
      </w:r>
      <w:r w:rsidRPr="00EC0551">
        <w:rPr>
          <w:sz w:val="18"/>
          <w:vertAlign w:val="superscript"/>
        </w:rPr>
        <w:t>2</w:t>
      </w:r>
    </w:p>
    <w:p w:rsidR="00536E87" w:rsidRPr="009F4C98" w:rsidRDefault="00536E87" w:rsidP="00536E87">
      <w:pPr>
        <w:pStyle w:val="SingleTxtG"/>
        <w:ind w:left="2268"/>
      </w:pPr>
      <w:r w:rsidRPr="009F4C98">
        <w:t xml:space="preserve">Nombre, catégorie </w:t>
      </w:r>
      <w:r w:rsidRPr="009F4C98">
        <w:rPr>
          <w:b/>
        </w:rPr>
        <w:t>ou catégories</w:t>
      </w:r>
      <w:r>
        <w:t xml:space="preserve"> </w:t>
      </w:r>
      <w:r w:rsidRPr="009F4C98">
        <w:t>et type de source(s) lumineuse(s)</w:t>
      </w:r>
      <w:r>
        <w:t> :</w:t>
      </w:r>
      <w:r w:rsidRPr="00DB5437">
        <w:rPr>
          <w:sz w:val="18"/>
          <w:vertAlign w:val="superscript"/>
        </w:rPr>
        <w:t xml:space="preserve"> </w:t>
      </w:r>
      <w:r w:rsidRPr="00EC0551">
        <w:rPr>
          <w:b/>
          <w:sz w:val="18"/>
          <w:u w:val="single"/>
          <w:vertAlign w:val="superscript"/>
        </w:rPr>
        <w:t>3</w:t>
      </w:r>
    </w:p>
    <w:p w:rsidR="00536E87" w:rsidRPr="00703FB2" w:rsidRDefault="00536E87" w:rsidP="00536E87">
      <w:pPr>
        <w:pStyle w:val="SingleTxtG"/>
        <w:ind w:left="2268"/>
      </w:pPr>
      <w:r w:rsidRPr="009F4C98">
        <w:tab/>
      </w:r>
      <w:r w:rsidRPr="00703FB2">
        <w:t>Tension et puissance</w:t>
      </w:r>
      <w:r>
        <w:t> :</w:t>
      </w:r>
    </w:p>
    <w:p w:rsidR="00536E87" w:rsidRDefault="00536E87" w:rsidP="00536E87">
      <w:pPr>
        <w:pStyle w:val="SingleTxtG"/>
        <w:ind w:left="2268"/>
      </w:pPr>
      <w:r>
        <w:tab/>
        <w:t>… »</w:t>
      </w:r>
      <w:r w:rsidRPr="00703FB2">
        <w:t>.</w:t>
      </w:r>
    </w:p>
    <w:p w:rsidR="00536E87" w:rsidRPr="00703FB2" w:rsidRDefault="00536E87" w:rsidP="00536E87">
      <w:pPr>
        <w:pStyle w:val="SingleTxtG"/>
        <w:rPr>
          <w:b/>
          <w:bCs/>
          <w:sz w:val="18"/>
        </w:rPr>
      </w:pPr>
      <w:r>
        <w:rPr>
          <w:b/>
          <w:sz w:val="18"/>
          <w:u w:val="single"/>
          <w:vertAlign w:val="superscript"/>
        </w:rPr>
        <w:t>« </w:t>
      </w:r>
      <w:r w:rsidRPr="00EC0551">
        <w:rPr>
          <w:b/>
          <w:sz w:val="18"/>
          <w:u w:val="single"/>
          <w:vertAlign w:val="superscript"/>
        </w:rPr>
        <w:t>3</w:t>
      </w:r>
      <w:r w:rsidRPr="007E2710">
        <w:rPr>
          <w:b/>
          <w:sz w:val="18"/>
          <w:vertAlign w:val="superscript"/>
        </w:rPr>
        <w:tab/>
      </w:r>
      <w:r w:rsidRPr="009F4C98">
        <w:rPr>
          <w:b/>
          <w:bCs/>
          <w:sz w:val="18"/>
        </w:rPr>
        <w:t>Préciser la ou les</w:t>
      </w:r>
      <w:r w:rsidRPr="009F4C98">
        <w:t xml:space="preserve"> </w:t>
      </w:r>
      <w:r w:rsidRPr="009F4C98">
        <w:rPr>
          <w:b/>
          <w:bCs/>
          <w:sz w:val="18"/>
        </w:rPr>
        <w:t>sources lumineuses à DEL de substitution, le cas échéant.</w:t>
      </w:r>
      <w:r>
        <w:rPr>
          <w:sz w:val="18"/>
        </w:rPr>
        <w:t> »</w:t>
      </w:r>
      <w:r w:rsidRPr="00703FB2">
        <w:rPr>
          <w:sz w:val="18"/>
        </w:rPr>
        <w:t>.</w:t>
      </w:r>
    </w:p>
    <w:p w:rsidR="00536E87" w:rsidRPr="00703FB2" w:rsidRDefault="00536E87" w:rsidP="00536E87">
      <w:pPr>
        <w:pStyle w:val="HChG"/>
      </w:pPr>
      <w:r>
        <w:tab/>
        <w:t>II.</w:t>
      </w:r>
      <w:r>
        <w:tab/>
      </w:r>
      <w:r w:rsidRPr="00703FB2">
        <w:t>Justification</w:t>
      </w:r>
    </w:p>
    <w:p w:rsidR="00536E87" w:rsidRPr="00536E87" w:rsidRDefault="00536E87" w:rsidP="00536E87">
      <w:pPr>
        <w:pStyle w:val="SingleTxtG"/>
      </w:pPr>
      <w:r>
        <w:t>1.</w:t>
      </w:r>
      <w:r>
        <w:tab/>
        <w:t xml:space="preserve">La présente proposition a été initialement établie et présentée par le GTB aux soixante-dix-septième et </w:t>
      </w:r>
      <w:proofErr w:type="gramStart"/>
      <w:r>
        <w:t>soixante-dix-huitième sessions</w:t>
      </w:r>
      <w:proofErr w:type="gramEnd"/>
      <w:r w:rsidRPr="00B87CB1">
        <w:t xml:space="preserve"> </w:t>
      </w:r>
      <w:r>
        <w:t>du GRE. Elle n’a pu être examinée qu’après qu’un projet de nouveau Règlement ONU sur les dispositifs de signalisation lumineuse avait été présenté</w:t>
      </w:r>
      <w:r w:rsidRPr="00536E87">
        <w:t>. Ledit projet a été examiné par l’Équipe spéciale des lampes de substitution ou de remplacement, qui a proposé diverses modifications. Les observations formulées aux réunions antérieures du GRE ont en outre été prises en considération.</w:t>
      </w:r>
    </w:p>
    <w:p w:rsidR="00536E87" w:rsidRPr="00536E87" w:rsidRDefault="00536E87" w:rsidP="00536E87">
      <w:pPr>
        <w:pStyle w:val="SingleTxtG"/>
      </w:pPr>
      <w:r w:rsidRPr="00536E87">
        <w:t>2.</w:t>
      </w:r>
      <w:r w:rsidRPr="00536E87">
        <w:tab/>
        <w:t>Les modifications proposées sont les suivantes :</w:t>
      </w:r>
    </w:p>
    <w:p w:rsidR="00536E87" w:rsidRPr="00536E87" w:rsidRDefault="00536E87" w:rsidP="00536E87">
      <w:pPr>
        <w:pStyle w:val="Bullet1G"/>
      </w:pPr>
      <w:r w:rsidRPr="00536E87">
        <w:t>Des corrections rédactionnelles, à la lumière du document GRE/2018/02 ;</w:t>
      </w:r>
    </w:p>
    <w:p w:rsidR="00536E87" w:rsidRPr="00536E87" w:rsidRDefault="00536E87" w:rsidP="00536E87">
      <w:pPr>
        <w:pStyle w:val="Bullet1G"/>
      </w:pPr>
      <w:r w:rsidRPr="00536E87">
        <w:t>La marque des feux approuvés pour</w:t>
      </w:r>
      <w:r w:rsidR="003013BA">
        <w:t xml:space="preserve"> </w:t>
      </w:r>
      <w:r w:rsidRPr="00536E87">
        <w:t>utilisation avec des sources lumineuses à DEL de substitution doit être visible ;</w:t>
      </w:r>
    </w:p>
    <w:p w:rsidR="00536E87" w:rsidRDefault="00536E87" w:rsidP="00536E87">
      <w:pPr>
        <w:pStyle w:val="Bullet1G"/>
      </w:pPr>
      <w:r w:rsidRPr="00536E87">
        <w:t>L’utilisation de la douille de la source lumineuse à DEL de substitution, acceptant également une source lumineuse à incandescence, est requise</w:t>
      </w:r>
      <w:r>
        <w:t xml:space="preserve"> si une source lumineuse à DEL de substitution est prescrite.</w:t>
      </w:r>
    </w:p>
    <w:p w:rsidR="00536E87" w:rsidRPr="00536E87" w:rsidRDefault="00536E87" w:rsidP="00536E8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36E87" w:rsidRPr="00536E87" w:rsidSect="00536E8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814" w:rsidRDefault="00F65814" w:rsidP="00F95C08">
      <w:pPr>
        <w:spacing w:line="240" w:lineRule="auto"/>
      </w:pPr>
    </w:p>
  </w:endnote>
  <w:endnote w:type="continuationSeparator" w:id="0">
    <w:p w:rsidR="00F65814" w:rsidRPr="00AC3823" w:rsidRDefault="00F65814" w:rsidP="00AC3823">
      <w:pPr>
        <w:pStyle w:val="Footer"/>
      </w:pPr>
    </w:p>
  </w:endnote>
  <w:endnote w:type="continuationNotice" w:id="1">
    <w:p w:rsidR="00F65814" w:rsidRDefault="00F658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E87" w:rsidRPr="00536E87" w:rsidRDefault="00536E87" w:rsidP="00536E87">
    <w:pPr>
      <w:pStyle w:val="Footer"/>
      <w:tabs>
        <w:tab w:val="right" w:pos="9638"/>
      </w:tabs>
    </w:pPr>
    <w:r w:rsidRPr="00536E87">
      <w:rPr>
        <w:b/>
        <w:sz w:val="18"/>
      </w:rPr>
      <w:fldChar w:fldCharType="begin"/>
    </w:r>
    <w:r w:rsidRPr="00536E87">
      <w:rPr>
        <w:b/>
        <w:sz w:val="18"/>
      </w:rPr>
      <w:instrText xml:space="preserve"> PAGE  \* MERGEFORMAT </w:instrText>
    </w:r>
    <w:r w:rsidRPr="00536E87">
      <w:rPr>
        <w:b/>
        <w:sz w:val="18"/>
      </w:rPr>
      <w:fldChar w:fldCharType="separate"/>
    </w:r>
    <w:r w:rsidR="00F74715">
      <w:rPr>
        <w:b/>
        <w:noProof/>
        <w:sz w:val="18"/>
      </w:rPr>
      <w:t>2</w:t>
    </w:r>
    <w:r w:rsidRPr="00536E87">
      <w:rPr>
        <w:b/>
        <w:sz w:val="18"/>
      </w:rPr>
      <w:fldChar w:fldCharType="end"/>
    </w:r>
    <w:r>
      <w:rPr>
        <w:b/>
        <w:sz w:val="18"/>
      </w:rPr>
      <w:tab/>
    </w:r>
    <w:r>
      <w:t>GE.18-13152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E87" w:rsidRPr="00536E87" w:rsidRDefault="00536E87" w:rsidP="00536E87">
    <w:pPr>
      <w:pStyle w:val="Footer"/>
      <w:tabs>
        <w:tab w:val="right" w:pos="9638"/>
      </w:tabs>
      <w:rPr>
        <w:b/>
        <w:sz w:val="18"/>
      </w:rPr>
    </w:pPr>
    <w:r>
      <w:t>GE.18-13152</w:t>
    </w:r>
    <w:r>
      <w:tab/>
    </w:r>
    <w:r w:rsidRPr="00536E87">
      <w:rPr>
        <w:b/>
        <w:sz w:val="18"/>
      </w:rPr>
      <w:fldChar w:fldCharType="begin"/>
    </w:r>
    <w:r w:rsidRPr="00536E87">
      <w:rPr>
        <w:b/>
        <w:sz w:val="18"/>
      </w:rPr>
      <w:instrText xml:space="preserve"> PAGE  \* MERGEFORMAT </w:instrText>
    </w:r>
    <w:r w:rsidRPr="00536E87">
      <w:rPr>
        <w:b/>
        <w:sz w:val="18"/>
      </w:rPr>
      <w:fldChar w:fldCharType="separate"/>
    </w:r>
    <w:r w:rsidR="00F74715">
      <w:rPr>
        <w:b/>
        <w:noProof/>
        <w:sz w:val="18"/>
      </w:rPr>
      <w:t>3</w:t>
    </w:r>
    <w:r w:rsidRPr="00536E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536E87" w:rsidRDefault="00536E87" w:rsidP="00536E8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13152  (</w:t>
    </w:r>
    <w:proofErr w:type="gramEnd"/>
    <w:r>
      <w:rPr>
        <w:sz w:val="20"/>
      </w:rPr>
      <w:t>F)    050918    070918</w:t>
    </w:r>
    <w:r>
      <w:rPr>
        <w:sz w:val="20"/>
      </w:rPr>
      <w:br/>
    </w:r>
    <w:r w:rsidRPr="00536E87">
      <w:rPr>
        <w:rFonts w:ascii="C39T30Lfz" w:hAnsi="C39T30Lfz"/>
        <w:sz w:val="56"/>
      </w:rPr>
      <w:t></w:t>
    </w:r>
    <w:r w:rsidRPr="00536E87">
      <w:rPr>
        <w:rFonts w:ascii="C39T30Lfz" w:hAnsi="C39T30Lfz"/>
        <w:sz w:val="56"/>
      </w:rPr>
      <w:t></w:t>
    </w:r>
    <w:r w:rsidRPr="00536E87">
      <w:rPr>
        <w:rFonts w:ascii="C39T30Lfz" w:hAnsi="C39T30Lfz"/>
        <w:sz w:val="56"/>
      </w:rPr>
      <w:t></w:t>
    </w:r>
    <w:r w:rsidRPr="00536E87">
      <w:rPr>
        <w:rFonts w:ascii="C39T30Lfz" w:hAnsi="C39T30Lfz"/>
        <w:sz w:val="56"/>
      </w:rPr>
      <w:t></w:t>
    </w:r>
    <w:r w:rsidRPr="00536E87">
      <w:rPr>
        <w:rFonts w:ascii="C39T30Lfz" w:hAnsi="C39T30Lfz"/>
        <w:sz w:val="56"/>
      </w:rPr>
      <w:t></w:t>
    </w:r>
    <w:r w:rsidRPr="00536E87">
      <w:rPr>
        <w:rFonts w:ascii="C39T30Lfz" w:hAnsi="C39T30Lfz"/>
        <w:sz w:val="56"/>
      </w:rPr>
      <w:t></w:t>
    </w:r>
    <w:r w:rsidRPr="00536E87">
      <w:rPr>
        <w:rFonts w:ascii="C39T30Lfz" w:hAnsi="C39T30Lfz"/>
        <w:sz w:val="56"/>
      </w:rPr>
      <w:t></w:t>
    </w:r>
    <w:r w:rsidRPr="00536E87">
      <w:rPr>
        <w:rFonts w:ascii="C39T30Lfz" w:hAnsi="C39T30Lfz"/>
        <w:sz w:val="56"/>
      </w:rPr>
      <w:t></w:t>
    </w:r>
    <w:r w:rsidRPr="00536E87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8/4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4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814" w:rsidRPr="00AC3823" w:rsidRDefault="00F6581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65814" w:rsidRPr="00AC3823" w:rsidRDefault="00F6581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65814" w:rsidRPr="00AC3823" w:rsidRDefault="00F65814">
      <w:pPr>
        <w:spacing w:line="240" w:lineRule="auto"/>
        <w:rPr>
          <w:sz w:val="2"/>
          <w:szCs w:val="2"/>
        </w:rPr>
      </w:pPr>
    </w:p>
  </w:footnote>
  <w:footnote w:id="2">
    <w:p w:rsidR="00536E87" w:rsidRPr="00536E87" w:rsidRDefault="00536E87">
      <w:pPr>
        <w:pStyle w:val="FootnoteText"/>
      </w:pPr>
      <w:r w:rsidRPr="00536E87">
        <w:rPr>
          <w:rStyle w:val="FootnoteReference"/>
          <w:spacing w:val="-1"/>
        </w:rPr>
        <w:tab/>
      </w:r>
      <w:r w:rsidRPr="00536E87">
        <w:rPr>
          <w:rStyle w:val="FootnoteReference"/>
          <w:spacing w:val="-1"/>
          <w:sz w:val="20"/>
          <w:vertAlign w:val="baseline"/>
        </w:rPr>
        <w:t>*</w:t>
      </w:r>
      <w:r w:rsidRPr="00536E87">
        <w:rPr>
          <w:rStyle w:val="FootnoteReference"/>
          <w:spacing w:val="-1"/>
          <w:sz w:val="20"/>
          <w:vertAlign w:val="baseline"/>
        </w:rPr>
        <w:tab/>
      </w:r>
      <w:r w:rsidRPr="00536E87">
        <w:rPr>
          <w:spacing w:val="-1"/>
        </w:rPr>
        <w:t>Conformément au programme de travail du Comité des transports intérieurs pour la période 2018-2019</w:t>
      </w:r>
      <w:r>
        <w:t xml:space="preserve"> (ECE/TRANS/274, par. 123,</w:t>
      </w:r>
      <w:r w:rsidRPr="00DB1CD2">
        <w:t xml:space="preserve"> et ECE/TRANS/</w:t>
      </w:r>
      <w:r>
        <w:t>2018</w:t>
      </w:r>
      <w:r w:rsidRPr="00DB1CD2">
        <w:t>/</w:t>
      </w:r>
      <w:r>
        <w:t>21</w:t>
      </w:r>
      <w:r w:rsidRPr="00DB1CD2">
        <w:t xml:space="preserve">/Add.1, module 3.1), le Forum mondial a pour mission d’élaborer, d’harmoniser et de mettre à jour les Règlements </w:t>
      </w:r>
      <w:r>
        <w:t xml:space="preserve">ONU </w:t>
      </w:r>
      <w:r w:rsidRPr="00DB1CD2">
        <w:t>en vue d’améliorer les caractéristiques fonctionnelles des véhicules. Le présent document est</w:t>
      </w:r>
      <w:r>
        <w:t xml:space="preserve">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E87" w:rsidRPr="00536E87" w:rsidRDefault="00C56B9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74715">
      <w:t>ECE/TRANS/WP.29/GRE/2018/42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E87" w:rsidRPr="00536E87" w:rsidRDefault="00C56B95" w:rsidP="00536E87">
    <w:pPr>
      <w:pStyle w:val="Header"/>
      <w:jc w:val="right"/>
    </w:pPr>
    <w:r>
      <w:fldChar w:fldCharType="begin"/>
    </w:r>
    <w:r>
      <w:instrText xml:space="preserve"> TITLE  \* ME</w:instrText>
    </w:r>
    <w:r>
      <w:instrText xml:space="preserve">RGEFORMAT </w:instrText>
    </w:r>
    <w:r>
      <w:fldChar w:fldCharType="separate"/>
    </w:r>
    <w:r w:rsidR="00F74715">
      <w:t>ECE/TRANS/WP.29/GRE/2018/42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1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5579B"/>
    <w:rsid w:val="00176178"/>
    <w:rsid w:val="001A58BB"/>
    <w:rsid w:val="001F525A"/>
    <w:rsid w:val="00223272"/>
    <w:rsid w:val="00237F0E"/>
    <w:rsid w:val="0024779E"/>
    <w:rsid w:val="00257168"/>
    <w:rsid w:val="002744B8"/>
    <w:rsid w:val="002832AC"/>
    <w:rsid w:val="002D7C93"/>
    <w:rsid w:val="003013BA"/>
    <w:rsid w:val="00305801"/>
    <w:rsid w:val="003916DE"/>
    <w:rsid w:val="00421996"/>
    <w:rsid w:val="00441C3B"/>
    <w:rsid w:val="00446FE5"/>
    <w:rsid w:val="00452396"/>
    <w:rsid w:val="00477BE6"/>
    <w:rsid w:val="004837D8"/>
    <w:rsid w:val="004E2EED"/>
    <w:rsid w:val="004E468C"/>
    <w:rsid w:val="00536E87"/>
    <w:rsid w:val="005505B7"/>
    <w:rsid w:val="00573BE5"/>
    <w:rsid w:val="00586BCA"/>
    <w:rsid w:val="00586ED3"/>
    <w:rsid w:val="00596AA9"/>
    <w:rsid w:val="00633C83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56B95"/>
    <w:rsid w:val="00C97039"/>
    <w:rsid w:val="00D3439C"/>
    <w:rsid w:val="00DB1831"/>
    <w:rsid w:val="00DD3BFD"/>
    <w:rsid w:val="00DF6678"/>
    <w:rsid w:val="00E0299A"/>
    <w:rsid w:val="00E85C74"/>
    <w:rsid w:val="00EA6547"/>
    <w:rsid w:val="00EC0551"/>
    <w:rsid w:val="00EF2E22"/>
    <w:rsid w:val="00F35BAF"/>
    <w:rsid w:val="00F65814"/>
    <w:rsid w:val="00F660DF"/>
    <w:rsid w:val="00F74715"/>
    <w:rsid w:val="00F94664"/>
    <w:rsid w:val="00F9573C"/>
    <w:rsid w:val="00F95C08"/>
    <w:rsid w:val="00FA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530987-6DB4-4DBE-B5C6-61B93AD2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D6039-E0A3-4F59-954D-70FBFEA9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ECE/TRANS/WP.29/GRE/2018/42</vt:lpstr>
      <vt:lpstr>ECE/TRANS/WP.29/GRE/2018/42</vt:lpstr>
    </vt:vector>
  </TitlesOfParts>
  <Company>DCM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ECE/TRANS/WP.29/GRE/2018/42</dc:title>
  <dc:subject/>
  <dc:creator>Marie DESCHAMPS</dc:creator>
  <cp:keywords/>
  <cp:lastModifiedBy>Benedicte Boudol</cp:lastModifiedBy>
  <cp:revision>2</cp:revision>
  <cp:lastPrinted>2018-09-07T10:59:00Z</cp:lastPrinted>
  <dcterms:created xsi:type="dcterms:W3CDTF">2018-09-11T13:15:00Z</dcterms:created>
  <dcterms:modified xsi:type="dcterms:W3CDTF">2018-09-11T13:15:00Z</dcterms:modified>
</cp:coreProperties>
</file>