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7DDD6B1D" w14:textId="77777777" w:rsidTr="00D5792F">
        <w:trPr>
          <w:cantSplit/>
          <w:trHeight w:hRule="exact" w:val="851"/>
        </w:trPr>
        <w:tc>
          <w:tcPr>
            <w:tcW w:w="1276" w:type="dxa"/>
            <w:tcBorders>
              <w:bottom w:val="single" w:sz="4" w:space="0" w:color="auto"/>
            </w:tcBorders>
            <w:shd w:val="clear" w:color="auto" w:fill="auto"/>
            <w:vAlign w:val="bottom"/>
          </w:tcPr>
          <w:p w14:paraId="7DDD6B1A" w14:textId="05706D9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7DDD6B1B" w14:textId="63289F68"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7DDD6B1C" w14:textId="63919C35" w:rsidR="00B56E9C" w:rsidRPr="008735E3" w:rsidRDefault="00803BF8" w:rsidP="0057535C">
            <w:pPr>
              <w:jc w:val="right"/>
            </w:pPr>
            <w:r w:rsidRPr="008735E3">
              <w:rPr>
                <w:sz w:val="40"/>
              </w:rPr>
              <w:t>ECE</w:t>
            </w:r>
            <w:r w:rsidRPr="008735E3">
              <w:t>/TRANS/WP.29/GR</w:t>
            </w:r>
            <w:r w:rsidR="009B385D" w:rsidRPr="00D6155A">
              <w:t>E</w:t>
            </w:r>
            <w:r w:rsidRPr="00D6155A">
              <w:t>/201</w:t>
            </w:r>
            <w:r w:rsidR="00646A33" w:rsidRPr="00D6155A">
              <w:t>8/</w:t>
            </w:r>
            <w:r w:rsidR="0057535C" w:rsidRPr="00D6155A">
              <w:t>42</w:t>
            </w:r>
          </w:p>
        </w:tc>
      </w:tr>
      <w:tr w:rsidR="00B56E9C" w:rsidRPr="00593753" w14:paraId="7DDD6B24"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7DDD6B1E" w14:textId="77777777" w:rsidR="00B56E9C" w:rsidRPr="00593753" w:rsidRDefault="006266D3" w:rsidP="00D5792F">
            <w:pPr>
              <w:spacing w:before="120"/>
            </w:pPr>
            <w:r>
              <w:rPr>
                <w:noProof/>
                <w:lang w:eastAsia="zh-CN"/>
              </w:rPr>
              <w:drawing>
                <wp:inline distT="0" distB="0" distL="0" distR="0" wp14:anchorId="7DDD6B65" wp14:editId="7DDD6B66">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DD6B1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7DDD6B20" w14:textId="0AFD328C" w:rsidR="00803BF8" w:rsidRPr="008735E3" w:rsidRDefault="00803BF8" w:rsidP="00D5792F">
            <w:pPr>
              <w:spacing w:before="240" w:line="240" w:lineRule="exact"/>
            </w:pPr>
            <w:r w:rsidRPr="008735E3">
              <w:t>Distr.: General</w:t>
            </w:r>
          </w:p>
          <w:p w14:paraId="7DDD6B21" w14:textId="0E8D3F79" w:rsidR="00803BF8" w:rsidRPr="008735E3" w:rsidRDefault="00D6155A" w:rsidP="00D5792F">
            <w:pPr>
              <w:spacing w:line="240" w:lineRule="exact"/>
            </w:pPr>
            <w:r w:rsidRPr="00D6155A">
              <w:t xml:space="preserve">9 August </w:t>
            </w:r>
            <w:r w:rsidR="0053001B" w:rsidRPr="00D6155A">
              <w:t>2018</w:t>
            </w:r>
          </w:p>
          <w:p w14:paraId="7DDD6B22" w14:textId="79155C7B" w:rsidR="00803BF8" w:rsidRPr="008735E3" w:rsidRDefault="00803BF8" w:rsidP="00D5792F">
            <w:pPr>
              <w:spacing w:line="240" w:lineRule="exact"/>
            </w:pPr>
          </w:p>
          <w:p w14:paraId="7DDD6B23" w14:textId="61B61998" w:rsidR="00EA2A77" w:rsidRPr="008735E3" w:rsidRDefault="00803BF8" w:rsidP="00932725">
            <w:pPr>
              <w:spacing w:line="240" w:lineRule="exact"/>
            </w:pPr>
            <w:r w:rsidRPr="008735E3">
              <w:t>Original: English</w:t>
            </w:r>
          </w:p>
        </w:tc>
      </w:tr>
    </w:tbl>
    <w:p w14:paraId="7DDD6B25" w14:textId="77777777" w:rsidR="00442A83" w:rsidRPr="00593753" w:rsidRDefault="00C96DF2" w:rsidP="00C96DF2">
      <w:pPr>
        <w:spacing w:before="120"/>
        <w:rPr>
          <w:b/>
          <w:sz w:val="28"/>
          <w:szCs w:val="28"/>
        </w:rPr>
      </w:pPr>
      <w:r w:rsidRPr="00593753">
        <w:rPr>
          <w:b/>
          <w:sz w:val="28"/>
          <w:szCs w:val="28"/>
        </w:rPr>
        <w:t>Economic Commission for Europe</w:t>
      </w:r>
    </w:p>
    <w:p w14:paraId="7DDD6B26" w14:textId="77777777" w:rsidR="00C96DF2" w:rsidRPr="00593753" w:rsidRDefault="008F31D2" w:rsidP="00C96DF2">
      <w:pPr>
        <w:spacing w:before="120"/>
        <w:rPr>
          <w:sz w:val="28"/>
          <w:szCs w:val="28"/>
        </w:rPr>
      </w:pPr>
      <w:r w:rsidRPr="00593753">
        <w:rPr>
          <w:sz w:val="28"/>
          <w:szCs w:val="28"/>
        </w:rPr>
        <w:t>Inland Transport Committee</w:t>
      </w:r>
    </w:p>
    <w:p w14:paraId="7DDD6B27"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DDD6B28" w14:textId="77777777" w:rsidR="003C17CC" w:rsidRPr="00C64574" w:rsidRDefault="003C17CC" w:rsidP="00EA2A77">
      <w:pPr>
        <w:spacing w:before="120"/>
        <w:rPr>
          <w:b/>
        </w:rPr>
      </w:pPr>
      <w:r w:rsidRPr="00C64574">
        <w:rPr>
          <w:b/>
        </w:rPr>
        <w:t xml:space="preserve">Working Party on </w:t>
      </w:r>
      <w:r w:rsidR="009B385D">
        <w:rPr>
          <w:b/>
        </w:rPr>
        <w:t>Lighting and Light-Signalling</w:t>
      </w:r>
    </w:p>
    <w:p w14:paraId="7DDD6B29" w14:textId="5525DA9B" w:rsidR="0054033E" w:rsidRPr="008735E3" w:rsidRDefault="001837B2" w:rsidP="0054033E">
      <w:pPr>
        <w:rPr>
          <w:b/>
        </w:rPr>
      </w:pPr>
      <w:r w:rsidRPr="008735E3">
        <w:rPr>
          <w:b/>
        </w:rPr>
        <w:t>Eightieth session</w:t>
      </w:r>
    </w:p>
    <w:p w14:paraId="7DDD6B2A" w14:textId="28404EC4" w:rsidR="0054033E" w:rsidRPr="00D6155A" w:rsidRDefault="0054033E" w:rsidP="0054033E">
      <w:pPr>
        <w:rPr>
          <w:bCs/>
        </w:rPr>
      </w:pPr>
      <w:r w:rsidRPr="00D6155A">
        <w:t>Geneva</w:t>
      </w:r>
      <w:r w:rsidRPr="00D6155A">
        <w:rPr>
          <w:bCs/>
        </w:rPr>
        <w:t xml:space="preserve">, </w:t>
      </w:r>
      <w:r w:rsidR="004410C4" w:rsidRPr="00D6155A">
        <w:t>23-26 October 2018</w:t>
      </w:r>
    </w:p>
    <w:p w14:paraId="7DDD6B2B" w14:textId="77777777" w:rsidR="00DE2082" w:rsidRPr="00D6155A" w:rsidRDefault="00DE2082" w:rsidP="00DE2082">
      <w:pPr>
        <w:ind w:right="1134"/>
        <w:rPr>
          <w:bCs/>
        </w:rPr>
      </w:pPr>
      <w:r w:rsidRPr="00D6155A">
        <w:rPr>
          <w:bCs/>
        </w:rPr>
        <w:t xml:space="preserve">Item </w:t>
      </w:r>
      <w:r w:rsidR="009D7631" w:rsidRPr="00D6155A">
        <w:rPr>
          <w:bCs/>
        </w:rPr>
        <w:t>4</w:t>
      </w:r>
      <w:r w:rsidRPr="00D6155A">
        <w:rPr>
          <w:bCs/>
        </w:rPr>
        <w:t xml:space="preserve"> of the provisional agenda</w:t>
      </w:r>
    </w:p>
    <w:p w14:paraId="7DDD6B2C" w14:textId="77777777" w:rsidR="00DE2082" w:rsidRPr="008735E3" w:rsidRDefault="009D7631" w:rsidP="00DE2082">
      <w:pPr>
        <w:ind w:right="1134"/>
        <w:rPr>
          <w:bCs/>
        </w:rPr>
      </w:pPr>
      <w:r w:rsidRPr="00D6155A">
        <w:rPr>
          <w:b/>
          <w:bCs/>
        </w:rPr>
        <w:t xml:space="preserve">Simplification of lighting and light-signalling </w:t>
      </w:r>
      <w:r w:rsidR="00DE2082" w:rsidRPr="00D6155A">
        <w:rPr>
          <w:b/>
          <w:bCs/>
        </w:rPr>
        <w:t>Regulations</w:t>
      </w:r>
      <w:r w:rsidR="00DE2082" w:rsidRPr="008735E3">
        <w:rPr>
          <w:b/>
          <w:bCs/>
        </w:rPr>
        <w:t xml:space="preserve"> </w:t>
      </w:r>
    </w:p>
    <w:p w14:paraId="7DDD6B2D" w14:textId="2BE7318D" w:rsidR="0054033E" w:rsidRPr="00190E1E" w:rsidRDefault="009D7631" w:rsidP="0054033E">
      <w:pPr>
        <w:pStyle w:val="HChG"/>
        <w:tabs>
          <w:tab w:val="clear" w:pos="851"/>
        </w:tabs>
        <w:ind w:firstLine="0"/>
        <w:rPr>
          <w:szCs w:val="28"/>
        </w:rPr>
      </w:pPr>
      <w:r w:rsidRPr="009D7631">
        <w:rPr>
          <w:szCs w:val="28"/>
        </w:rPr>
        <w:t xml:space="preserve">Proposal to introduce requirements for the use of </w:t>
      </w:r>
      <w:r>
        <w:rPr>
          <w:szCs w:val="28"/>
        </w:rPr>
        <w:t xml:space="preserve">light emitting diode </w:t>
      </w:r>
      <w:r w:rsidRPr="009D7631">
        <w:rPr>
          <w:szCs w:val="28"/>
        </w:rPr>
        <w:t xml:space="preserve">substitute light sources in the new </w:t>
      </w:r>
      <w:r w:rsidR="00D6155A">
        <w:rPr>
          <w:szCs w:val="28"/>
        </w:rPr>
        <w:t xml:space="preserve">UN </w:t>
      </w:r>
      <w:r w:rsidRPr="009D7631">
        <w:rPr>
          <w:szCs w:val="28"/>
        </w:rPr>
        <w:t xml:space="preserve">Regulation </w:t>
      </w:r>
      <w:r>
        <w:rPr>
          <w:szCs w:val="28"/>
        </w:rPr>
        <w:t>on L</w:t>
      </w:r>
      <w:r w:rsidRPr="009D7631">
        <w:rPr>
          <w:szCs w:val="28"/>
        </w:rPr>
        <w:t>ight</w:t>
      </w:r>
      <w:r w:rsidR="00CE4032">
        <w:rPr>
          <w:szCs w:val="28"/>
        </w:rPr>
        <w:t>-</w:t>
      </w:r>
      <w:r>
        <w:rPr>
          <w:szCs w:val="28"/>
        </w:rPr>
        <w:t>S</w:t>
      </w:r>
      <w:r w:rsidRPr="009D7631">
        <w:rPr>
          <w:szCs w:val="28"/>
        </w:rPr>
        <w:t xml:space="preserve">ignalling </w:t>
      </w:r>
      <w:r>
        <w:rPr>
          <w:szCs w:val="28"/>
        </w:rPr>
        <w:t>D</w:t>
      </w:r>
      <w:r w:rsidRPr="009D7631">
        <w:rPr>
          <w:szCs w:val="28"/>
        </w:rPr>
        <w:t>evices</w:t>
      </w:r>
      <w:r>
        <w:rPr>
          <w:szCs w:val="28"/>
        </w:rPr>
        <w:t xml:space="preserve"> </w:t>
      </w:r>
    </w:p>
    <w:p w14:paraId="7DDD6B2E" w14:textId="1101D050" w:rsidR="0054033E" w:rsidRPr="00D315CD" w:rsidRDefault="0054033E" w:rsidP="0054033E">
      <w:pPr>
        <w:pStyle w:val="H1G"/>
        <w:ind w:right="1467" w:firstLine="0"/>
        <w:jc w:val="both"/>
      </w:pPr>
      <w:r w:rsidRPr="00D315CD">
        <w:t xml:space="preserve">Submitted by </w:t>
      </w:r>
      <w:r w:rsidRPr="008735E3">
        <w:t xml:space="preserve">the </w:t>
      </w:r>
      <w:r w:rsidR="008A06FF" w:rsidRPr="008735E3">
        <w:rPr>
          <w:rFonts w:eastAsia="Calibri"/>
        </w:rPr>
        <w:t>Task Force on Substitutes</w:t>
      </w:r>
      <w:r w:rsidR="00D6155A">
        <w:rPr>
          <w:rFonts w:eastAsia="Calibri"/>
        </w:rPr>
        <w:t xml:space="preserve"> and R</w:t>
      </w:r>
      <w:r w:rsidR="008A06FF" w:rsidRPr="008735E3">
        <w:rPr>
          <w:rFonts w:eastAsia="Calibri"/>
        </w:rPr>
        <w:t>etrofits (TF SR)</w:t>
      </w:r>
      <w:r w:rsidR="00D6155A" w:rsidRPr="00A96F13">
        <w:rPr>
          <w:szCs w:val="24"/>
        </w:rPr>
        <w:footnoteReference w:customMarkFollows="1" w:id="2"/>
        <w:t>*</w:t>
      </w:r>
    </w:p>
    <w:p w14:paraId="7DDD6B2F" w14:textId="381122D9" w:rsidR="009D7631" w:rsidRDefault="009D7631" w:rsidP="00DE2082">
      <w:pPr>
        <w:spacing w:before="120"/>
        <w:ind w:left="1134" w:right="1134" w:firstLine="567"/>
        <w:jc w:val="both"/>
      </w:pPr>
      <w:r w:rsidRPr="00646A33">
        <w:t xml:space="preserve">The text reproduced below was prepared by the </w:t>
      </w:r>
      <w:r w:rsidR="008A06FF" w:rsidRPr="00646A33">
        <w:rPr>
          <w:rFonts w:eastAsia="Calibri"/>
        </w:rPr>
        <w:t xml:space="preserve">Task Force on Substitutes/Retrofits (TF S/R) as a revision of the original proposal prepared by the </w:t>
      </w:r>
      <w:r w:rsidRPr="00646A33">
        <w:t xml:space="preserve">expert from </w:t>
      </w:r>
      <w:r w:rsidR="00D6155A" w:rsidRPr="00D6155A">
        <w:t>the International Automotive Lighting and Light Signalling Expert Group (</w:t>
      </w:r>
      <w:r w:rsidRPr="00646A33">
        <w:t>GTB</w:t>
      </w:r>
      <w:r w:rsidR="00D6155A">
        <w:t xml:space="preserve">) that </w:t>
      </w:r>
      <w:r w:rsidRPr="00646A33">
        <w:t>introduce</w:t>
      </w:r>
      <w:r w:rsidR="00D6155A">
        <w:t>s</w:t>
      </w:r>
      <w:r w:rsidRPr="00646A33">
        <w:t xml:space="preserve"> requirements for light emitting diode (LED) substitute light sources into the draft new </w:t>
      </w:r>
      <w:r w:rsidR="00D6155A">
        <w:t xml:space="preserve">UN </w:t>
      </w:r>
      <w:r w:rsidRPr="00646A33">
        <w:t>Regulation on Light</w:t>
      </w:r>
      <w:r w:rsidR="00CE4032" w:rsidRPr="00646A33">
        <w:t>-</w:t>
      </w:r>
      <w:r w:rsidRPr="00646A33">
        <w:t xml:space="preserve">Signalling Devices (LSD). This text was already presented to the Working Party on Lighting and Light-Signalling (GRE) at its seventy-seventh session as informal document GRE-77-15 and adopted in principle, pending a formal examination of GRE in conjunction with the final text of the new draft Regulation. </w:t>
      </w:r>
      <w:r w:rsidR="00EC3778" w:rsidRPr="00646A33">
        <w:t>This text was</w:t>
      </w:r>
      <w:r w:rsidR="00EC3778" w:rsidRPr="00646A33">
        <w:rPr>
          <w:rFonts w:eastAsia="Calibri"/>
        </w:rPr>
        <w:t xml:space="preserve"> then </w:t>
      </w:r>
      <w:r w:rsidR="00E70559" w:rsidRPr="00646A33">
        <w:rPr>
          <w:rFonts w:eastAsia="Calibri"/>
        </w:rPr>
        <w:t>presented</w:t>
      </w:r>
      <w:r w:rsidR="00D25486" w:rsidRPr="00646A33">
        <w:rPr>
          <w:rFonts w:eastAsia="Calibri"/>
        </w:rPr>
        <w:t xml:space="preserve"> as document ECE/TRANS/WP.29/GRE/2017/14</w:t>
      </w:r>
      <w:r w:rsidR="00147C97" w:rsidRPr="00646A33">
        <w:rPr>
          <w:rFonts w:eastAsia="Calibri"/>
        </w:rPr>
        <w:t>, corrected by GRE-78-04.</w:t>
      </w:r>
      <w:r w:rsidR="00EC3778" w:rsidRPr="00646A33">
        <w:rPr>
          <w:rFonts w:eastAsia="Calibri"/>
        </w:rPr>
        <w:t xml:space="preserve"> </w:t>
      </w:r>
      <w:r w:rsidR="00147C97" w:rsidRPr="00646A33">
        <w:rPr>
          <w:rFonts w:eastAsia="Calibri"/>
        </w:rPr>
        <w:t xml:space="preserve"> </w:t>
      </w:r>
      <w:r w:rsidR="008A06FF" w:rsidRPr="00646A33">
        <w:rPr>
          <w:rFonts w:eastAsia="Calibri"/>
        </w:rPr>
        <w:t xml:space="preserve">The content of the document </w:t>
      </w:r>
      <w:r w:rsidR="00D6155A">
        <w:rPr>
          <w:rFonts w:eastAsia="Calibri"/>
        </w:rPr>
        <w:t>ECE/</w:t>
      </w:r>
      <w:r w:rsidR="00B316DF" w:rsidRPr="00646A33">
        <w:t>TRANS/WP.29/</w:t>
      </w:r>
      <w:r w:rsidR="00B316DF" w:rsidRPr="00646A33">
        <w:rPr>
          <w:rFonts w:cstheme="minorHAnsi"/>
        </w:rPr>
        <w:t>GRE</w:t>
      </w:r>
      <w:r w:rsidR="00D6155A">
        <w:rPr>
          <w:rFonts w:cstheme="minorHAnsi"/>
        </w:rPr>
        <w:t>/</w:t>
      </w:r>
      <w:r w:rsidR="00B316DF" w:rsidRPr="00646A33">
        <w:rPr>
          <w:rFonts w:cstheme="minorHAnsi"/>
        </w:rPr>
        <w:t>2018</w:t>
      </w:r>
      <w:r w:rsidR="00D6155A">
        <w:rPr>
          <w:rFonts w:cstheme="minorHAnsi"/>
        </w:rPr>
        <w:t>/</w:t>
      </w:r>
      <w:r w:rsidR="00B316DF" w:rsidRPr="00646A33">
        <w:rPr>
          <w:rFonts w:cstheme="minorHAnsi"/>
        </w:rPr>
        <w:t>2</w:t>
      </w:r>
      <w:r w:rsidR="00B316DF" w:rsidRPr="00646A33" w:rsidDel="00B316DF">
        <w:rPr>
          <w:rFonts w:eastAsia="Calibri"/>
        </w:rPr>
        <w:t xml:space="preserve"> </w:t>
      </w:r>
      <w:r w:rsidR="008A06FF" w:rsidRPr="00646A33">
        <w:rPr>
          <w:rFonts w:eastAsia="Calibri"/>
        </w:rPr>
        <w:t xml:space="preserve">as well as the comments made during the </w:t>
      </w:r>
      <w:r w:rsidR="00D6155A">
        <w:rPr>
          <w:rFonts w:eastAsia="Calibri"/>
        </w:rPr>
        <w:t>seventy-eighth and seventy-ninth s</w:t>
      </w:r>
      <w:r w:rsidR="008A06FF" w:rsidRPr="00646A33">
        <w:rPr>
          <w:rFonts w:eastAsia="Calibri"/>
        </w:rPr>
        <w:t>ession</w:t>
      </w:r>
      <w:r w:rsidR="00D6155A">
        <w:rPr>
          <w:rFonts w:eastAsia="Calibri"/>
        </w:rPr>
        <w:t>s</w:t>
      </w:r>
      <w:r w:rsidR="008A06FF" w:rsidRPr="00646A33">
        <w:rPr>
          <w:rFonts w:eastAsia="Calibri"/>
        </w:rPr>
        <w:t xml:space="preserve"> of GRE have been taken into account. </w:t>
      </w:r>
      <w:r w:rsidRPr="00646A33">
        <w:t xml:space="preserve">The modifications to the text of the new draft </w:t>
      </w:r>
      <w:r w:rsidR="00D6155A">
        <w:t xml:space="preserve">UN </w:t>
      </w:r>
      <w:r w:rsidRPr="00646A33">
        <w:t>Regulation are marked in bold for new or striket</w:t>
      </w:r>
      <w:r w:rsidR="00D37F8F" w:rsidRPr="00646A33">
        <w:t>hrough for deleted characters</w:t>
      </w:r>
      <w:r w:rsidR="00D37F8F">
        <w:t>.</w:t>
      </w:r>
    </w:p>
    <w:p w14:paraId="7DDD6B30" w14:textId="77777777" w:rsidR="00DF418A" w:rsidRPr="00DF418A" w:rsidRDefault="00757F2F" w:rsidP="00792D92">
      <w:pPr>
        <w:spacing w:before="360" w:after="240" w:line="300" w:lineRule="exact"/>
        <w:ind w:left="1134" w:right="1134" w:hanging="567"/>
        <w:rPr>
          <w:b/>
          <w:sz w:val="28"/>
        </w:rPr>
      </w:pPr>
      <w:r w:rsidRPr="00593753">
        <w:br w:type="page"/>
      </w:r>
      <w:r w:rsidR="00DF418A" w:rsidRPr="00DF418A">
        <w:rPr>
          <w:b/>
          <w:sz w:val="28"/>
        </w:rPr>
        <w:lastRenderedPageBreak/>
        <w:t>I.</w:t>
      </w:r>
      <w:r w:rsidR="00DF418A" w:rsidRPr="00DF418A">
        <w:rPr>
          <w:b/>
          <w:sz w:val="28"/>
        </w:rPr>
        <w:tab/>
        <w:t>Proposal</w:t>
      </w:r>
    </w:p>
    <w:p w14:paraId="7DDD6B31" w14:textId="0522AD07" w:rsidR="009D7631" w:rsidRPr="00646A33" w:rsidRDefault="009D7631" w:rsidP="009D7631">
      <w:pPr>
        <w:spacing w:after="120"/>
        <w:ind w:left="2268" w:right="1134" w:hanging="1134"/>
        <w:jc w:val="both"/>
      </w:pPr>
      <w:r w:rsidRPr="00646A33">
        <w:rPr>
          <w:i/>
        </w:rPr>
        <w:t>Paragraph 2.</w:t>
      </w:r>
      <w:r w:rsidR="00903621" w:rsidRPr="00646A33">
        <w:rPr>
          <w:i/>
        </w:rPr>
        <w:t>2</w:t>
      </w:r>
      <w:r w:rsidRPr="00646A33">
        <w:rPr>
          <w:i/>
        </w:rPr>
        <w:t>.,</w:t>
      </w:r>
      <w:r w:rsidRPr="00646A33">
        <w:t xml:space="preserve"> amend to read:</w:t>
      </w:r>
    </w:p>
    <w:p w14:paraId="7DDD6B3B" w14:textId="0A6A1953" w:rsidR="009D7631" w:rsidRPr="00646A33" w:rsidRDefault="00D37F8F" w:rsidP="00F9099D">
      <w:pPr>
        <w:pStyle w:val="SingleTxtG"/>
        <w:ind w:left="2268" w:hanging="1134"/>
      </w:pPr>
      <w:bookmarkStart w:id="1" w:name="_Toc473483452"/>
      <w:r w:rsidRPr="00646A33">
        <w:rPr>
          <w:rFonts w:eastAsia="MS Mincho"/>
        </w:rPr>
        <w:t>"</w:t>
      </w:r>
      <w:r w:rsidR="009D7631" w:rsidRPr="00646A33">
        <w:rPr>
          <w:bCs/>
        </w:rPr>
        <w:t>2</w:t>
      </w:r>
      <w:r w:rsidR="009D7631" w:rsidRPr="00646A33">
        <w:t>.</w:t>
      </w:r>
      <w:r w:rsidR="00903621" w:rsidRPr="00646A33">
        <w:t>2</w:t>
      </w:r>
      <w:r w:rsidR="009D7631" w:rsidRPr="00646A33">
        <w:t>.</w:t>
      </w:r>
      <w:r w:rsidR="009D7631" w:rsidRPr="00646A33">
        <w:tab/>
      </w:r>
      <w:r w:rsidR="009D7631" w:rsidRPr="00646A33">
        <w:rPr>
          <w:i/>
        </w:rPr>
        <w:t>"Lamps of different types"</w:t>
      </w:r>
      <w:r w:rsidR="009D7631" w:rsidRPr="00646A33">
        <w:t xml:space="preserve"> means </w:t>
      </w:r>
      <w:r w:rsidR="00F9099D" w:rsidRPr="00646A33">
        <w:t>….</w:t>
      </w:r>
    </w:p>
    <w:p w14:paraId="6B93FE52" w14:textId="372ADC4F" w:rsidR="00F9099D" w:rsidRPr="00571091" w:rsidRDefault="00F9099D" w:rsidP="008F7268">
      <w:pPr>
        <w:pStyle w:val="SingleTxtG"/>
        <w:ind w:left="2268"/>
      </w:pPr>
      <w:r>
        <w:t>….</w:t>
      </w:r>
    </w:p>
    <w:p w14:paraId="7DDD6B3C" w14:textId="77777777" w:rsidR="009D7631" w:rsidRPr="00571091" w:rsidRDefault="009D7631" w:rsidP="009D7631">
      <w:pPr>
        <w:pStyle w:val="SingleTxtG"/>
        <w:ind w:left="2268"/>
        <w:rPr>
          <w:bCs/>
        </w:rPr>
      </w:pPr>
      <w:r w:rsidRPr="00571091">
        <w:rPr>
          <w:bCs/>
        </w:rPr>
        <w:t>A change of the colour of the light source or the colour of any filter does n</w:t>
      </w:r>
      <w:r w:rsidR="00D37F8F">
        <w:rPr>
          <w:bCs/>
        </w:rPr>
        <w:t>ot constitute a change of type.</w:t>
      </w:r>
    </w:p>
    <w:bookmarkEnd w:id="1"/>
    <w:p w14:paraId="7DDD6B3D" w14:textId="77777777" w:rsidR="009D7631" w:rsidRPr="00571091" w:rsidRDefault="009D7631" w:rsidP="009D7631">
      <w:pPr>
        <w:pStyle w:val="para"/>
        <w:ind w:firstLine="0"/>
        <w:rPr>
          <w:b/>
          <w:lang w:val="en-GB"/>
        </w:rPr>
      </w:pPr>
      <w:r w:rsidRPr="00571091">
        <w:rPr>
          <w:b/>
          <w:lang w:val="en-GB"/>
        </w:rPr>
        <w:t>The use of LED substitute light source(s) does not constitute a chang</w:t>
      </w:r>
      <w:r w:rsidR="00D37F8F">
        <w:rPr>
          <w:b/>
          <w:lang w:val="en-GB"/>
        </w:rPr>
        <w:t xml:space="preserve">e of type. </w:t>
      </w:r>
      <w:r w:rsidRPr="00571091">
        <w:rPr>
          <w:b/>
          <w:lang w:val="en-GB"/>
        </w:rPr>
        <w:t>However paragraph 4.7.7. applies.</w:t>
      </w:r>
      <w:r w:rsidR="00D37F8F" w:rsidRPr="00496FEA">
        <w:rPr>
          <w:rFonts w:eastAsia="MS Mincho"/>
          <w:lang w:val="en-GB"/>
        </w:rPr>
        <w:t>"</w:t>
      </w:r>
    </w:p>
    <w:p w14:paraId="7DDD6B3E" w14:textId="77777777" w:rsidR="009D7631" w:rsidRPr="00571091" w:rsidRDefault="009D7631" w:rsidP="009D7631">
      <w:pPr>
        <w:widowControl w:val="0"/>
        <w:spacing w:after="120"/>
        <w:ind w:left="2268" w:right="1134" w:hanging="1134"/>
        <w:jc w:val="both"/>
        <w:rPr>
          <w:i/>
        </w:rPr>
      </w:pPr>
      <w:r w:rsidRPr="00571091">
        <w:rPr>
          <w:i/>
        </w:rPr>
        <w:t>Paragraph 3.1.2.2., amend to read:</w:t>
      </w:r>
    </w:p>
    <w:p w14:paraId="7DDD6B3F" w14:textId="77777777" w:rsidR="009D7631" w:rsidRPr="00571091" w:rsidRDefault="00D37F8F" w:rsidP="009D7631">
      <w:pPr>
        <w:pStyle w:val="SingleTxtG"/>
        <w:ind w:left="2268" w:hanging="1134"/>
        <w:rPr>
          <w:bCs/>
        </w:rPr>
      </w:pPr>
      <w:r>
        <w:rPr>
          <w:rFonts w:eastAsia="MS Mincho"/>
        </w:rPr>
        <w:t>"</w:t>
      </w:r>
      <w:r>
        <w:rPr>
          <w:bCs/>
        </w:rPr>
        <w:t>3.1.2.2.</w:t>
      </w:r>
      <w:r>
        <w:rPr>
          <w:bCs/>
        </w:rPr>
        <w:tab/>
        <w:t>A</w:t>
      </w:r>
      <w:r w:rsidR="009D7631" w:rsidRPr="00571091">
        <w:rPr>
          <w:bCs/>
        </w:rPr>
        <w:t xml:space="preserve"> brief technical description stating in particular, with the exception of lamps with non-replaceable light sources:</w:t>
      </w:r>
    </w:p>
    <w:p w14:paraId="7DDD6B40" w14:textId="111C6D23" w:rsidR="009D7631" w:rsidRPr="00571091" w:rsidRDefault="00F55A63" w:rsidP="009D7631">
      <w:pPr>
        <w:pStyle w:val="SingleTxtG"/>
        <w:ind w:left="2835" w:hanging="567"/>
        <w:rPr>
          <w:bCs/>
        </w:rPr>
      </w:pPr>
      <w:r>
        <w:rPr>
          <w:bCs/>
        </w:rPr>
        <w:t>(</w:t>
      </w:r>
      <w:r w:rsidR="00D37F8F">
        <w:rPr>
          <w:bCs/>
        </w:rPr>
        <w:t>a)</w:t>
      </w:r>
      <w:r w:rsidR="00D37F8F">
        <w:rPr>
          <w:bCs/>
        </w:rPr>
        <w:tab/>
        <w:t>T</w:t>
      </w:r>
      <w:r w:rsidR="009D7631" w:rsidRPr="00571091">
        <w:rPr>
          <w:bCs/>
        </w:rPr>
        <w:t xml:space="preserve">he category or categories of filament light source(s) prescribed; this filament light source category shall </w:t>
      </w:r>
      <w:r w:rsidR="00D37F8F">
        <w:rPr>
          <w:bCs/>
        </w:rPr>
        <w:t xml:space="preserve">be one of those contained in </w:t>
      </w:r>
      <w:r w:rsidR="009D7631" w:rsidRPr="00646A33">
        <w:rPr>
          <w:bCs/>
        </w:rPr>
        <w:t>R</w:t>
      </w:r>
      <w:r w:rsidR="009D7631" w:rsidRPr="00571091">
        <w:rPr>
          <w:bCs/>
        </w:rPr>
        <w:t>egulation No. 37;</w:t>
      </w:r>
    </w:p>
    <w:p w14:paraId="7DDD6B41" w14:textId="0A93A45F" w:rsidR="009D7631" w:rsidRPr="00571091" w:rsidRDefault="00F55A63" w:rsidP="009D7631">
      <w:pPr>
        <w:pStyle w:val="SingleTxtG"/>
        <w:ind w:left="2835" w:hanging="567"/>
        <w:rPr>
          <w:bCs/>
        </w:rPr>
      </w:pPr>
      <w:r>
        <w:rPr>
          <w:bCs/>
        </w:rPr>
        <w:t>(</w:t>
      </w:r>
      <w:r w:rsidR="00D37F8F">
        <w:rPr>
          <w:bCs/>
        </w:rPr>
        <w:t>b)</w:t>
      </w:r>
      <w:r w:rsidR="00D37F8F">
        <w:rPr>
          <w:bCs/>
        </w:rPr>
        <w:tab/>
        <w:t>T</w:t>
      </w:r>
      <w:r w:rsidR="009D7631" w:rsidRPr="00571091">
        <w:rPr>
          <w:bCs/>
        </w:rPr>
        <w:t xml:space="preserve">he category or categories of LED light source(s) prescribed; this LED light source category shall </w:t>
      </w:r>
      <w:r w:rsidR="00D37F8F">
        <w:rPr>
          <w:bCs/>
        </w:rPr>
        <w:t xml:space="preserve">be one of those contained in </w:t>
      </w:r>
      <w:r w:rsidR="00D37F8F" w:rsidRPr="00646A33">
        <w:rPr>
          <w:bCs/>
        </w:rPr>
        <w:t>R</w:t>
      </w:r>
      <w:r w:rsidR="00D37F8F">
        <w:rPr>
          <w:bCs/>
        </w:rPr>
        <w:t>egulation No. 128;</w:t>
      </w:r>
    </w:p>
    <w:p w14:paraId="7DDD6B42" w14:textId="77777777" w:rsidR="009D7631" w:rsidRPr="00571091" w:rsidRDefault="00F55A63" w:rsidP="009D7631">
      <w:pPr>
        <w:widowControl w:val="0"/>
        <w:spacing w:after="120"/>
        <w:ind w:left="2835" w:right="1134" w:hanging="567"/>
        <w:jc w:val="both"/>
        <w:rPr>
          <w:b/>
        </w:rPr>
      </w:pPr>
      <w:r>
        <w:rPr>
          <w:bCs/>
        </w:rPr>
        <w:t>(</w:t>
      </w:r>
      <w:r w:rsidR="00D37F8F">
        <w:rPr>
          <w:bCs/>
        </w:rPr>
        <w:t>c)</w:t>
      </w:r>
      <w:r w:rsidR="00D37F8F">
        <w:rPr>
          <w:bCs/>
        </w:rPr>
        <w:tab/>
        <w:t>T</w:t>
      </w:r>
      <w:r w:rsidR="009D7631" w:rsidRPr="00571091">
        <w:rPr>
          <w:bCs/>
        </w:rPr>
        <w:t>he light source module specific identification code</w:t>
      </w:r>
      <w:r w:rsidR="009D7631" w:rsidRPr="00D37F8F">
        <w:t>;</w:t>
      </w:r>
    </w:p>
    <w:p w14:paraId="7DDD6B43" w14:textId="77777777" w:rsidR="009D7631" w:rsidRPr="00571091" w:rsidRDefault="00F55A63" w:rsidP="009D7631">
      <w:pPr>
        <w:pStyle w:val="SingleTxtG"/>
        <w:ind w:left="2835" w:hanging="567"/>
        <w:rPr>
          <w:b/>
          <w:bCs/>
        </w:rPr>
      </w:pPr>
      <w:r>
        <w:rPr>
          <w:b/>
        </w:rPr>
        <w:t>(</w:t>
      </w:r>
      <w:r w:rsidR="00D37F8F">
        <w:rPr>
          <w:b/>
        </w:rPr>
        <w:t>d)</w:t>
      </w:r>
      <w:r w:rsidR="009D7631" w:rsidRPr="00571091">
        <w:rPr>
          <w:b/>
        </w:rPr>
        <w:tab/>
        <w:t xml:space="preserve">In the case where, at the discretion of the applicant, the lamp also has to be approved with the </w:t>
      </w:r>
      <w:r w:rsidR="009D7631" w:rsidRPr="00571091">
        <w:rPr>
          <w:b/>
          <w:bCs/>
        </w:rPr>
        <w:t xml:space="preserve">LED substitute light source(s) according to Regulation No. 128, this shall </w:t>
      </w:r>
      <w:r w:rsidR="00D37F8F">
        <w:rPr>
          <w:b/>
          <w:bCs/>
        </w:rPr>
        <w:t>be specified in the description</w:t>
      </w:r>
      <w:r w:rsidR="00D37F8F" w:rsidRPr="00D37F8F">
        <w:rPr>
          <w:bCs/>
        </w:rPr>
        <w:t>;</w:t>
      </w:r>
    </w:p>
    <w:p w14:paraId="7DDD6B44" w14:textId="77777777" w:rsidR="009D7631" w:rsidRPr="00571091" w:rsidRDefault="00F55A63" w:rsidP="009D7631">
      <w:pPr>
        <w:pStyle w:val="SingleTxtG"/>
        <w:ind w:left="2835" w:hanging="567"/>
      </w:pPr>
      <w:r w:rsidRPr="00D37F8F">
        <w:rPr>
          <w:b/>
          <w:bCs/>
        </w:rPr>
        <w:t>(</w:t>
      </w:r>
      <w:r w:rsidR="009D7631" w:rsidRPr="00D37F8F">
        <w:rPr>
          <w:b/>
          <w:bCs/>
        </w:rPr>
        <w:t>e)</w:t>
      </w:r>
      <w:r w:rsidR="009D7631" w:rsidRPr="00571091">
        <w:rPr>
          <w:b/>
          <w:bCs/>
        </w:rPr>
        <w:tab/>
      </w:r>
      <w:r w:rsidR="00D37F8F">
        <w:rPr>
          <w:bCs/>
        </w:rPr>
        <w:t>I</w:t>
      </w:r>
      <w:r w:rsidR="009D7631" w:rsidRPr="00571091">
        <w:rPr>
          <w:bCs/>
        </w:rPr>
        <w:t>n the case of a category S3 or S4 stop lamp, which is intended to be mounted inside the vehicle, the technical description shall contain the specification of the optical properties (transmission, colour, inclination, etc.) of the rear window(s).</w:t>
      </w:r>
      <w:r w:rsidR="00D37F8F">
        <w:rPr>
          <w:rFonts w:eastAsia="MS Mincho"/>
        </w:rPr>
        <w:t>"</w:t>
      </w:r>
    </w:p>
    <w:p w14:paraId="7DDD6B45" w14:textId="5D157D05" w:rsidR="009D7631" w:rsidRPr="008A06FF" w:rsidRDefault="009D7631" w:rsidP="009D7631">
      <w:pPr>
        <w:spacing w:after="120"/>
        <w:ind w:left="2268" w:right="1134" w:hanging="1134"/>
        <w:jc w:val="both"/>
      </w:pPr>
      <w:r w:rsidRPr="008A06FF">
        <w:rPr>
          <w:i/>
        </w:rPr>
        <w:t xml:space="preserve">Paragraph 3.3.4.1.1., </w:t>
      </w:r>
      <w:r w:rsidRPr="008A06FF">
        <w:t>amend to read:</w:t>
      </w:r>
    </w:p>
    <w:p w14:paraId="7DDD6B46" w14:textId="5F3D424F" w:rsidR="009D7631" w:rsidRPr="008A06FF" w:rsidRDefault="00D37F8F" w:rsidP="009D7631">
      <w:pPr>
        <w:spacing w:after="120"/>
        <w:ind w:left="2268" w:right="1134" w:hanging="1134"/>
        <w:jc w:val="both"/>
        <w:rPr>
          <w:color w:val="FF0000"/>
        </w:rPr>
      </w:pPr>
      <w:r w:rsidRPr="008A06FF">
        <w:rPr>
          <w:rFonts w:eastAsia="MS Mincho"/>
        </w:rPr>
        <w:t>"</w:t>
      </w:r>
      <w:r w:rsidR="009D7631" w:rsidRPr="008A06FF">
        <w:t>3.3.4.1.1.</w:t>
      </w:r>
      <w:r w:rsidR="009D7631" w:rsidRPr="008A06FF">
        <w:tab/>
        <w:t xml:space="preserve">In any case the approval </w:t>
      </w:r>
      <w:r w:rsidR="009D7631" w:rsidRPr="00646A33">
        <w:t>mark</w:t>
      </w:r>
      <w:r w:rsidR="00C044CF" w:rsidRPr="00646A33">
        <w:t>ing</w:t>
      </w:r>
      <w:r w:rsidR="009D7631" w:rsidRPr="00646A33">
        <w:t xml:space="preserve"> or the </w:t>
      </w:r>
      <w:r w:rsidR="009D7631" w:rsidRPr="008A06FF">
        <w:t>Unique Identifier</w:t>
      </w:r>
      <w:r w:rsidR="009D7631" w:rsidRPr="008A06FF">
        <w:rPr>
          <w:b/>
        </w:rPr>
        <w:t xml:space="preserve"> as well as the category or categories </w:t>
      </w:r>
      <w:r w:rsidR="009D7631" w:rsidRPr="008735E3">
        <w:rPr>
          <w:b/>
        </w:rPr>
        <w:t xml:space="preserve">of </w:t>
      </w:r>
      <w:r w:rsidR="00713408" w:rsidRPr="008735E3">
        <w:rPr>
          <w:b/>
        </w:rPr>
        <w:t xml:space="preserve">LED substitute </w:t>
      </w:r>
      <w:r w:rsidR="009D7631" w:rsidRPr="008735E3">
        <w:rPr>
          <w:b/>
        </w:rPr>
        <w:t>light source(s) prescribed</w:t>
      </w:r>
      <w:r w:rsidR="00D96F8B" w:rsidRPr="008735E3">
        <w:rPr>
          <w:b/>
        </w:rPr>
        <w:t>, if any</w:t>
      </w:r>
      <w:r w:rsidR="009D7631" w:rsidRPr="008735E3">
        <w:rPr>
          <w:b/>
        </w:rPr>
        <w:t>,</w:t>
      </w:r>
      <w:r w:rsidR="009D7631" w:rsidRPr="008735E3">
        <w:t xml:space="preserve"> shall be visible when the lamp is fitted on the vehicle or when a movable part such as the hood o</w:t>
      </w:r>
      <w:r w:rsidRPr="008735E3">
        <w:t>r boot lid or a door is opened.</w:t>
      </w:r>
      <w:r w:rsidRPr="008735E3">
        <w:rPr>
          <w:rFonts w:eastAsia="MS Mincho"/>
        </w:rPr>
        <w:t>"</w:t>
      </w:r>
    </w:p>
    <w:p w14:paraId="7DDD6B47" w14:textId="77777777" w:rsidR="009D7631" w:rsidRPr="00571091" w:rsidRDefault="009D7631" w:rsidP="009D7631">
      <w:pPr>
        <w:spacing w:after="120"/>
        <w:ind w:left="2268" w:right="1134" w:hanging="1134"/>
        <w:jc w:val="both"/>
      </w:pPr>
      <w:r w:rsidRPr="00571091">
        <w:rPr>
          <w:i/>
        </w:rPr>
        <w:t xml:space="preserve">Paragraph 3.3.4.3., </w:t>
      </w:r>
      <w:r w:rsidRPr="00571091">
        <w:t>amend to read:</w:t>
      </w:r>
    </w:p>
    <w:p w14:paraId="7DDD6B48" w14:textId="77777777" w:rsidR="009D7631" w:rsidRPr="00571091" w:rsidRDefault="00D37F8F" w:rsidP="009D7631">
      <w:pPr>
        <w:pStyle w:val="para"/>
        <w:rPr>
          <w:lang w:val="en-GB"/>
        </w:rPr>
      </w:pPr>
      <w:r w:rsidRPr="00496FEA">
        <w:rPr>
          <w:rFonts w:eastAsia="MS Mincho"/>
          <w:lang w:val="en-GB"/>
        </w:rPr>
        <w:t>"</w:t>
      </w:r>
      <w:r w:rsidR="009D7631" w:rsidRPr="00571091">
        <w:rPr>
          <w:lang w:val="en-GB"/>
        </w:rPr>
        <w:t>3.3.4.3.</w:t>
      </w:r>
      <w:r w:rsidR="009D7631" w:rsidRPr="00571091">
        <w:rPr>
          <w:lang w:val="en-GB"/>
        </w:rPr>
        <w:tab/>
        <w:t>With the exception of lamps with non-replaceable light sources, bear a clearly legible and indelible marking indicating:</w:t>
      </w:r>
    </w:p>
    <w:p w14:paraId="7DDD6B4A" w14:textId="66D3A4E6" w:rsidR="009D7631" w:rsidRDefault="00D37F8F" w:rsidP="00A15606">
      <w:pPr>
        <w:widowControl w:val="0"/>
        <w:spacing w:after="120"/>
        <w:ind w:left="2835" w:right="1134" w:hanging="567"/>
        <w:jc w:val="both"/>
        <w:rPr>
          <w:snapToGrid w:val="0"/>
        </w:rPr>
      </w:pPr>
      <w:r>
        <w:rPr>
          <w:snapToGrid w:val="0"/>
        </w:rPr>
        <w:t>(a)</w:t>
      </w:r>
      <w:r>
        <w:rPr>
          <w:snapToGrid w:val="0"/>
        </w:rPr>
        <w:tab/>
        <w:t>T</w:t>
      </w:r>
      <w:r w:rsidR="009D7631" w:rsidRPr="00571091">
        <w:rPr>
          <w:snapToGrid w:val="0"/>
        </w:rPr>
        <w:t>he category or categories of light source(s) prescribed;</w:t>
      </w:r>
      <w:r w:rsidR="009D7631" w:rsidRPr="00571091">
        <w:rPr>
          <w:b/>
          <w:snapToGrid w:val="0"/>
        </w:rPr>
        <w:t xml:space="preserve"> </w:t>
      </w:r>
      <w:r w:rsidR="003C788F">
        <w:rPr>
          <w:b/>
          <w:snapToGrid w:val="0"/>
          <w:color w:val="FF0000"/>
        </w:rPr>
        <w:tab/>
      </w:r>
      <w:r w:rsidR="00957001" w:rsidRPr="00957001">
        <w:rPr>
          <w:b/>
          <w:snapToGrid w:val="0"/>
        </w:rPr>
        <w:t>i</w:t>
      </w:r>
      <w:r w:rsidR="009D7631" w:rsidRPr="00571091">
        <w:rPr>
          <w:b/>
        </w:rPr>
        <w:t xml:space="preserve">n the case where the lamp has been approved for LED substitute light source(s), also the category or categories of the </w:t>
      </w:r>
      <w:r w:rsidR="009D7631" w:rsidRPr="00571091">
        <w:rPr>
          <w:b/>
          <w:bCs/>
        </w:rPr>
        <w:t>LED substitute light source(s)</w:t>
      </w:r>
      <w:r w:rsidR="00957001">
        <w:rPr>
          <w:b/>
          <w:bCs/>
        </w:rPr>
        <w:t>;</w:t>
      </w:r>
      <w:r w:rsidR="005D4DFA">
        <w:rPr>
          <w:b/>
          <w:bCs/>
          <w:color w:val="FF0000"/>
        </w:rPr>
        <w:t xml:space="preserve"> </w:t>
      </w:r>
      <w:r w:rsidR="009D7631" w:rsidRPr="00571091">
        <w:rPr>
          <w:snapToGrid w:val="0"/>
        </w:rPr>
        <w:t>and/or</w:t>
      </w:r>
    </w:p>
    <w:p w14:paraId="7DDD6B4B" w14:textId="6069F67A" w:rsidR="009D7631" w:rsidRPr="00571091" w:rsidRDefault="00D37F8F" w:rsidP="009D7631">
      <w:pPr>
        <w:widowControl w:val="0"/>
        <w:spacing w:after="120"/>
        <w:ind w:left="2268" w:right="1134" w:hanging="1134"/>
        <w:jc w:val="both"/>
        <w:rPr>
          <w:b/>
        </w:rPr>
      </w:pPr>
      <w:r>
        <w:rPr>
          <w:snapToGrid w:val="0"/>
        </w:rPr>
        <w:tab/>
      </w:r>
      <w:r w:rsidRPr="008F7268">
        <w:rPr>
          <w:snapToGrid w:val="0"/>
        </w:rPr>
        <w:t>(</w:t>
      </w:r>
      <w:r w:rsidR="004413B3">
        <w:rPr>
          <w:snapToGrid w:val="0"/>
        </w:rPr>
        <w:t>b</w:t>
      </w:r>
      <w:r w:rsidRPr="008F7268">
        <w:rPr>
          <w:snapToGrid w:val="0"/>
        </w:rPr>
        <w:t>)</w:t>
      </w:r>
      <w:r>
        <w:rPr>
          <w:snapToGrid w:val="0"/>
        </w:rPr>
        <w:tab/>
        <w:t>T</w:t>
      </w:r>
      <w:r w:rsidR="009D7631" w:rsidRPr="00571091">
        <w:rPr>
          <w:snapToGrid w:val="0"/>
        </w:rPr>
        <w:t>he light source module specific identification code.</w:t>
      </w:r>
      <w:r>
        <w:rPr>
          <w:rFonts w:eastAsia="MS Mincho"/>
        </w:rPr>
        <w:t>"</w:t>
      </w:r>
    </w:p>
    <w:p w14:paraId="7DDD6B4C" w14:textId="77777777" w:rsidR="009D7631" w:rsidRPr="00571091" w:rsidRDefault="009D7631" w:rsidP="009D7631">
      <w:pPr>
        <w:spacing w:after="120"/>
        <w:ind w:left="2268" w:right="1134" w:hanging="1134"/>
        <w:jc w:val="both"/>
      </w:pPr>
      <w:r w:rsidRPr="00571091">
        <w:rPr>
          <w:i/>
        </w:rPr>
        <w:t>Insert a new paragraph 3.5.4.,</w:t>
      </w:r>
      <w:r w:rsidRPr="00571091">
        <w:t xml:space="preserve"> to read:</w:t>
      </w:r>
    </w:p>
    <w:p w14:paraId="7DDD6B4D" w14:textId="77777777" w:rsidR="009D7631" w:rsidRPr="00571091" w:rsidRDefault="00D37F8F" w:rsidP="009D7631">
      <w:pPr>
        <w:spacing w:after="120"/>
        <w:ind w:left="2268" w:right="1134" w:hanging="1134"/>
        <w:jc w:val="both"/>
        <w:rPr>
          <w:b/>
        </w:rPr>
      </w:pPr>
      <w:r>
        <w:rPr>
          <w:rFonts w:eastAsia="MS Mincho"/>
        </w:rPr>
        <w:lastRenderedPageBreak/>
        <w:t>"</w:t>
      </w:r>
      <w:r w:rsidR="009D7631" w:rsidRPr="00571091">
        <w:rPr>
          <w:b/>
        </w:rPr>
        <w:t>3.5.4.</w:t>
      </w:r>
      <w:r w:rsidR="009D7631" w:rsidRPr="00571091">
        <w:rPr>
          <w:b/>
        </w:rPr>
        <w:tab/>
        <w:t>Testing with LED substitute light sources is exempted from conformity of production control</w:t>
      </w:r>
      <w:r w:rsidR="009D7631" w:rsidRPr="000F5427">
        <w:t>.</w:t>
      </w:r>
      <w:r>
        <w:rPr>
          <w:rFonts w:eastAsia="MS Mincho"/>
        </w:rPr>
        <w:t>"</w:t>
      </w:r>
    </w:p>
    <w:p w14:paraId="46C2E858" w14:textId="388E615C" w:rsidR="00D04B43" w:rsidRPr="00646A33" w:rsidRDefault="00D04B43" w:rsidP="009D7631">
      <w:pPr>
        <w:spacing w:after="120"/>
        <w:ind w:left="2268" w:right="1134" w:hanging="1134"/>
        <w:jc w:val="both"/>
      </w:pPr>
      <w:r w:rsidRPr="00646A33">
        <w:rPr>
          <w:i/>
        </w:rPr>
        <w:t>P</w:t>
      </w:r>
      <w:r w:rsidR="00411E5D" w:rsidRPr="00646A33">
        <w:rPr>
          <w:i/>
        </w:rPr>
        <w:t>aragraph 4.3.</w:t>
      </w:r>
      <w:r w:rsidRPr="00646A33">
        <w:rPr>
          <w:i/>
        </w:rPr>
        <w:t xml:space="preserve">1.4., </w:t>
      </w:r>
      <w:r w:rsidRPr="00646A33">
        <w:t>amend to read:</w:t>
      </w:r>
    </w:p>
    <w:p w14:paraId="59333110" w14:textId="74277140" w:rsidR="00841FAD" w:rsidRPr="008735E3" w:rsidRDefault="00723525" w:rsidP="00A542A6">
      <w:pPr>
        <w:pStyle w:val="SingleTxtG"/>
        <w:ind w:left="2268" w:hanging="1134"/>
        <w:rPr>
          <w:rFonts w:asciiTheme="majorBidi" w:hAnsiTheme="majorBidi" w:cstheme="majorBidi"/>
          <w:b/>
        </w:rPr>
      </w:pPr>
      <w:r>
        <w:rPr>
          <w:rFonts w:asciiTheme="majorBidi" w:hAnsiTheme="majorBidi" w:cstheme="majorBidi"/>
        </w:rPr>
        <w:t>“</w:t>
      </w:r>
      <w:r w:rsidR="00A542A6" w:rsidRPr="004B5A45">
        <w:rPr>
          <w:rFonts w:asciiTheme="majorBidi" w:hAnsiTheme="majorBidi" w:cstheme="majorBidi"/>
        </w:rPr>
        <w:t xml:space="preserve">4.3.1.4. </w:t>
      </w:r>
      <w:r w:rsidR="00A542A6" w:rsidRPr="004B5A45">
        <w:rPr>
          <w:rFonts w:asciiTheme="majorBidi" w:hAnsiTheme="majorBidi" w:cstheme="majorBidi"/>
        </w:rPr>
        <w:tab/>
        <w:t>The light source(s) holder shall conform to the characteristics given in IEC Publication 60061. The holder data sheet relevant to the category of light source(</w:t>
      </w:r>
      <w:r w:rsidR="00A542A6" w:rsidRPr="008735E3">
        <w:rPr>
          <w:rFonts w:asciiTheme="majorBidi" w:hAnsiTheme="majorBidi" w:cstheme="majorBidi"/>
        </w:rPr>
        <w:t xml:space="preserve">s) </w:t>
      </w:r>
      <w:r w:rsidR="00F43126" w:rsidRPr="008735E3">
        <w:rPr>
          <w:rFonts w:asciiTheme="majorBidi" w:hAnsiTheme="majorBidi" w:cstheme="majorBidi"/>
          <w:strike/>
        </w:rPr>
        <w:t>used</w:t>
      </w:r>
      <w:r w:rsidR="00F43126" w:rsidRPr="008735E3">
        <w:rPr>
          <w:rFonts w:asciiTheme="majorBidi" w:hAnsiTheme="majorBidi" w:cstheme="majorBidi"/>
        </w:rPr>
        <w:t xml:space="preserve"> </w:t>
      </w:r>
      <w:r w:rsidR="00323963" w:rsidRPr="008735E3">
        <w:rPr>
          <w:rFonts w:asciiTheme="majorBidi" w:hAnsiTheme="majorBidi" w:cstheme="majorBidi"/>
          <w:b/>
        </w:rPr>
        <w:t>prescribed</w:t>
      </w:r>
      <w:r w:rsidR="00841FAD" w:rsidRPr="008735E3">
        <w:rPr>
          <w:rFonts w:asciiTheme="majorBidi" w:hAnsiTheme="majorBidi" w:cstheme="majorBidi"/>
        </w:rPr>
        <w:t xml:space="preserve"> applies.</w:t>
      </w:r>
    </w:p>
    <w:p w14:paraId="2694C87E" w14:textId="673BF072" w:rsidR="00A542A6" w:rsidRPr="008735E3" w:rsidRDefault="00841FAD" w:rsidP="00841FAD">
      <w:pPr>
        <w:pStyle w:val="SingleTxtG"/>
        <w:ind w:left="2268"/>
        <w:rPr>
          <w:rFonts w:asciiTheme="majorBidi" w:hAnsiTheme="majorBidi" w:cstheme="majorBidi"/>
        </w:rPr>
      </w:pPr>
      <w:r w:rsidRPr="008735E3">
        <w:rPr>
          <w:rFonts w:asciiTheme="majorBidi" w:hAnsiTheme="majorBidi" w:cstheme="majorBidi"/>
          <w:b/>
        </w:rPr>
        <w:t>A</w:t>
      </w:r>
      <w:r w:rsidR="00CB7410" w:rsidRPr="008735E3">
        <w:rPr>
          <w:rFonts w:asciiTheme="majorBidi" w:hAnsiTheme="majorBidi" w:cstheme="majorBidi"/>
          <w:b/>
        </w:rPr>
        <w:t>lternatively</w:t>
      </w:r>
      <w:r w:rsidRPr="008735E3">
        <w:rPr>
          <w:rFonts w:asciiTheme="majorBidi" w:hAnsiTheme="majorBidi" w:cstheme="majorBidi"/>
          <w:b/>
        </w:rPr>
        <w:t>,</w:t>
      </w:r>
      <w:r w:rsidR="00CB7410" w:rsidRPr="008735E3">
        <w:rPr>
          <w:rFonts w:asciiTheme="majorBidi" w:hAnsiTheme="majorBidi" w:cstheme="majorBidi"/>
          <w:b/>
        </w:rPr>
        <w:t xml:space="preserve"> where</w:t>
      </w:r>
      <w:r w:rsidR="00200A4B" w:rsidRPr="008735E3">
        <w:rPr>
          <w:rFonts w:asciiTheme="majorBidi" w:hAnsiTheme="majorBidi" w:cstheme="majorBidi"/>
          <w:b/>
        </w:rPr>
        <w:t xml:space="preserve"> </w:t>
      </w:r>
      <w:r w:rsidRPr="008735E3">
        <w:rPr>
          <w:rFonts w:asciiTheme="majorBidi" w:hAnsiTheme="majorBidi" w:cstheme="majorBidi"/>
          <w:b/>
        </w:rPr>
        <w:t>a</w:t>
      </w:r>
      <w:r w:rsidR="00200A4B" w:rsidRPr="008735E3">
        <w:rPr>
          <w:rFonts w:asciiTheme="majorBidi" w:hAnsiTheme="majorBidi" w:cstheme="majorBidi"/>
          <w:b/>
        </w:rPr>
        <w:t xml:space="preserve"> </w:t>
      </w:r>
      <w:r w:rsidR="00B34312" w:rsidRPr="008735E3">
        <w:rPr>
          <w:rFonts w:asciiTheme="majorBidi" w:hAnsiTheme="majorBidi" w:cstheme="majorBidi"/>
          <w:b/>
        </w:rPr>
        <w:t xml:space="preserve">category of </w:t>
      </w:r>
      <w:r w:rsidR="00200A4B" w:rsidRPr="008735E3">
        <w:rPr>
          <w:rFonts w:asciiTheme="majorBidi" w:hAnsiTheme="majorBidi" w:cstheme="majorBidi"/>
          <w:b/>
        </w:rPr>
        <w:t>LED substitute</w:t>
      </w:r>
      <w:r w:rsidR="00B34312" w:rsidRPr="008735E3">
        <w:rPr>
          <w:rFonts w:asciiTheme="majorBidi" w:hAnsiTheme="majorBidi" w:cstheme="majorBidi"/>
          <w:b/>
        </w:rPr>
        <w:t xml:space="preserve"> light source</w:t>
      </w:r>
      <w:r w:rsidR="001E2517" w:rsidRPr="008735E3">
        <w:rPr>
          <w:rFonts w:asciiTheme="majorBidi" w:hAnsiTheme="majorBidi" w:cstheme="majorBidi"/>
          <w:b/>
        </w:rPr>
        <w:t>(s)</w:t>
      </w:r>
      <w:r w:rsidR="00CB7410" w:rsidRPr="008735E3">
        <w:rPr>
          <w:rFonts w:asciiTheme="majorBidi" w:hAnsiTheme="majorBidi" w:cstheme="majorBidi"/>
          <w:b/>
        </w:rPr>
        <w:t xml:space="preserve"> is also </w:t>
      </w:r>
      <w:r w:rsidR="00B34312" w:rsidRPr="008735E3">
        <w:rPr>
          <w:rFonts w:asciiTheme="majorBidi" w:hAnsiTheme="majorBidi" w:cstheme="majorBidi"/>
          <w:b/>
        </w:rPr>
        <w:t>prescribed</w:t>
      </w:r>
      <w:r w:rsidR="00A542A6" w:rsidRPr="008735E3">
        <w:rPr>
          <w:rFonts w:asciiTheme="majorBidi" w:hAnsiTheme="majorBidi" w:cstheme="majorBidi"/>
        </w:rPr>
        <w:t xml:space="preserve">, </w:t>
      </w:r>
      <w:r w:rsidR="00CB7410" w:rsidRPr="008735E3">
        <w:rPr>
          <w:rFonts w:asciiTheme="majorBidi" w:hAnsiTheme="majorBidi" w:cstheme="majorBidi"/>
          <w:b/>
        </w:rPr>
        <w:t>the</w:t>
      </w:r>
      <w:r w:rsidRPr="008735E3">
        <w:rPr>
          <w:rFonts w:asciiTheme="majorBidi" w:hAnsiTheme="majorBidi" w:cstheme="majorBidi"/>
          <w:b/>
        </w:rPr>
        <w:t xml:space="preserve"> holder data sheet </w:t>
      </w:r>
      <w:r w:rsidR="002F7636" w:rsidRPr="008735E3">
        <w:rPr>
          <w:rFonts w:asciiTheme="majorBidi" w:hAnsiTheme="majorBidi" w:cstheme="majorBidi"/>
          <w:b/>
        </w:rPr>
        <w:t>relevant</w:t>
      </w:r>
      <w:r w:rsidR="005403AE" w:rsidRPr="008735E3">
        <w:rPr>
          <w:rFonts w:asciiTheme="majorBidi" w:hAnsiTheme="majorBidi" w:cstheme="majorBidi"/>
          <w:b/>
        </w:rPr>
        <w:t xml:space="preserve"> to the category of </w:t>
      </w:r>
      <w:r w:rsidRPr="008735E3">
        <w:rPr>
          <w:rFonts w:asciiTheme="majorBidi" w:hAnsiTheme="majorBidi" w:cstheme="majorBidi"/>
          <w:b/>
        </w:rPr>
        <w:t>LED substitute light source</w:t>
      </w:r>
      <w:r w:rsidR="002F7636" w:rsidRPr="008735E3">
        <w:rPr>
          <w:rFonts w:asciiTheme="majorBidi" w:hAnsiTheme="majorBidi" w:cstheme="majorBidi"/>
          <w:b/>
        </w:rPr>
        <w:t>(s)</w:t>
      </w:r>
      <w:r w:rsidRPr="008735E3">
        <w:rPr>
          <w:rFonts w:asciiTheme="majorBidi" w:hAnsiTheme="majorBidi" w:cstheme="majorBidi"/>
          <w:b/>
        </w:rPr>
        <w:t xml:space="preserve"> applies</w:t>
      </w:r>
      <w:r w:rsidR="00A542A6" w:rsidRPr="008735E3">
        <w:rPr>
          <w:rFonts w:asciiTheme="majorBidi" w:hAnsiTheme="majorBidi" w:cstheme="majorBidi"/>
          <w:b/>
        </w:rPr>
        <w:t>.</w:t>
      </w:r>
      <w:r w:rsidR="00723525" w:rsidRPr="008735E3">
        <w:rPr>
          <w:rFonts w:asciiTheme="majorBidi" w:hAnsiTheme="majorBidi" w:cstheme="majorBidi"/>
          <w:b/>
        </w:rPr>
        <w:t>”</w:t>
      </w:r>
    </w:p>
    <w:p w14:paraId="7DDD6B4E" w14:textId="3E5851BC" w:rsidR="009D7631" w:rsidRPr="00571091" w:rsidRDefault="009D7631" w:rsidP="009D7631">
      <w:pPr>
        <w:spacing w:after="120"/>
        <w:ind w:left="2268" w:right="1134" w:hanging="1134"/>
        <w:jc w:val="both"/>
      </w:pPr>
      <w:r w:rsidRPr="00571091">
        <w:rPr>
          <w:i/>
        </w:rPr>
        <w:t>Insert a new paragraph 4.7.7.,</w:t>
      </w:r>
      <w:r w:rsidRPr="00571091">
        <w:t xml:space="preserve"> to read:</w:t>
      </w:r>
    </w:p>
    <w:p w14:paraId="7DDD6B4F" w14:textId="77777777" w:rsidR="009D7631" w:rsidRPr="00571091" w:rsidRDefault="00D37F8F" w:rsidP="009D7631">
      <w:pPr>
        <w:spacing w:after="120"/>
        <w:ind w:left="2268" w:right="1134" w:hanging="1134"/>
        <w:jc w:val="both"/>
        <w:rPr>
          <w:b/>
        </w:rPr>
      </w:pPr>
      <w:r>
        <w:rPr>
          <w:rFonts w:eastAsia="MS Mincho"/>
        </w:rPr>
        <w:t>"</w:t>
      </w:r>
      <w:r w:rsidR="009D7631" w:rsidRPr="00571091">
        <w:rPr>
          <w:b/>
        </w:rPr>
        <w:t>4.7.7.</w:t>
      </w:r>
      <w:r w:rsidR="009D7631" w:rsidRPr="00571091">
        <w:rPr>
          <w:b/>
        </w:rPr>
        <w:tab/>
        <w:t xml:space="preserve">In the case where the lamp, at the </w:t>
      </w:r>
      <w:r w:rsidR="009D7631" w:rsidRPr="00571091">
        <w:rPr>
          <w:rFonts w:eastAsia="MS Mincho"/>
          <w:b/>
          <w:lang w:eastAsia="ja-JP"/>
        </w:rPr>
        <w:t>discretion</w:t>
      </w:r>
      <w:r w:rsidR="009D7631" w:rsidRPr="00571091">
        <w:rPr>
          <w:b/>
        </w:rPr>
        <w:t xml:space="preserve"> of the applicant, also has to be approved with </w:t>
      </w:r>
      <w:r w:rsidR="009D7631" w:rsidRPr="00571091">
        <w:rPr>
          <w:b/>
          <w:bCs/>
        </w:rPr>
        <w:t>LED substitute light source(s), a</w:t>
      </w:r>
      <w:r w:rsidR="009D7631" w:rsidRPr="00571091">
        <w:rPr>
          <w:b/>
        </w:rPr>
        <w:t xml:space="preserve">ll measurements, photometric and colorimetric, shall be repeated using the </w:t>
      </w:r>
      <w:r w:rsidR="009D7631" w:rsidRPr="00571091">
        <w:rPr>
          <w:b/>
          <w:bCs/>
        </w:rPr>
        <w:t xml:space="preserve">LED substitute light source(s) </w:t>
      </w:r>
      <w:r w:rsidR="009D7631" w:rsidRPr="00571091">
        <w:rPr>
          <w:b/>
          <w:bCs/>
          <w:snapToGrid w:val="0"/>
        </w:rPr>
        <w:t>prescribed</w:t>
      </w:r>
      <w:r w:rsidRPr="000F5427">
        <w:t>.</w:t>
      </w:r>
      <w:r>
        <w:rPr>
          <w:rFonts w:eastAsia="MS Mincho"/>
        </w:rPr>
        <w:t>"</w:t>
      </w:r>
    </w:p>
    <w:p w14:paraId="7DDD6B50" w14:textId="77777777" w:rsidR="009D7631" w:rsidRPr="00571091" w:rsidRDefault="009D7631" w:rsidP="009D7631">
      <w:pPr>
        <w:spacing w:after="120"/>
        <w:ind w:left="2268" w:right="1134" w:hanging="1134"/>
        <w:jc w:val="both"/>
      </w:pPr>
      <w:r w:rsidRPr="00571091">
        <w:rPr>
          <w:i/>
        </w:rPr>
        <w:t xml:space="preserve">Annex 1, item 9.2., </w:t>
      </w:r>
      <w:r w:rsidRPr="00571091">
        <w:t>amend to read:</w:t>
      </w:r>
    </w:p>
    <w:p w14:paraId="7DDD6B51" w14:textId="77777777" w:rsidR="009D7631" w:rsidRPr="00571091" w:rsidRDefault="00D37F8F" w:rsidP="009D7631">
      <w:pPr>
        <w:spacing w:after="120"/>
        <w:ind w:left="2268" w:right="1134" w:hanging="1134"/>
        <w:jc w:val="both"/>
      </w:pPr>
      <w:r>
        <w:rPr>
          <w:rFonts w:eastAsia="MS Mincho"/>
        </w:rPr>
        <w:t>"</w:t>
      </w:r>
      <w:r w:rsidR="009D7631" w:rsidRPr="00571091">
        <w:t>9.2</w:t>
      </w:r>
      <w:r w:rsidR="009D7631" w:rsidRPr="00571091">
        <w:tab/>
        <w:t>By light signalling function and category:</w:t>
      </w:r>
    </w:p>
    <w:p w14:paraId="7DDD6B52" w14:textId="77777777" w:rsidR="009D7631" w:rsidRPr="00571091" w:rsidRDefault="009D7631" w:rsidP="009D7631">
      <w:pPr>
        <w:spacing w:after="120"/>
        <w:ind w:left="2268" w:right="1134" w:hanging="1134"/>
        <w:jc w:val="both"/>
      </w:pPr>
      <w:r w:rsidRPr="00571091">
        <w:tab/>
        <w:t>For mounting either outside or inside or both</w:t>
      </w:r>
      <w:r w:rsidRPr="00571091">
        <w:rPr>
          <w:rStyle w:val="FootnoteReference"/>
        </w:rPr>
        <w:t>2</w:t>
      </w:r>
    </w:p>
    <w:p w14:paraId="7DDD6B53" w14:textId="77777777" w:rsidR="009D7631" w:rsidRPr="00571091" w:rsidRDefault="009D7631" w:rsidP="009D7631">
      <w:pPr>
        <w:spacing w:after="120"/>
        <w:ind w:left="2268" w:right="1134" w:hanging="1134"/>
        <w:jc w:val="both"/>
      </w:pPr>
      <w:r w:rsidRPr="00571091">
        <w:tab/>
        <w:t>Colour of light emitted: red/white/amber/colourless</w:t>
      </w:r>
      <w:r w:rsidRPr="00571091">
        <w:rPr>
          <w:rStyle w:val="FootnoteReference"/>
        </w:rPr>
        <w:t>2</w:t>
      </w:r>
    </w:p>
    <w:p w14:paraId="7DDD6B54" w14:textId="77777777" w:rsidR="009D7631" w:rsidRPr="00571091" w:rsidRDefault="009D7631" w:rsidP="008F7268">
      <w:pPr>
        <w:spacing w:after="120"/>
        <w:ind w:left="2268" w:right="1134"/>
        <w:jc w:val="both"/>
      </w:pPr>
      <w:r w:rsidRPr="00571091">
        <w:t xml:space="preserve">Number, category </w:t>
      </w:r>
      <w:r w:rsidRPr="00571091">
        <w:rPr>
          <w:b/>
        </w:rPr>
        <w:t xml:space="preserve">or categories </w:t>
      </w:r>
      <w:r w:rsidR="000F5427">
        <w:t xml:space="preserve">and kind of light source(s): </w:t>
      </w:r>
      <w:r w:rsidRPr="000F5427">
        <w:rPr>
          <w:b/>
          <w:sz w:val="18"/>
          <w:szCs w:val="18"/>
          <w:u w:val="single"/>
          <w:vertAlign w:val="superscript"/>
        </w:rPr>
        <w:t>3</w:t>
      </w:r>
      <w:r w:rsidRPr="000F5427">
        <w:rPr>
          <w:b/>
          <w:sz w:val="18"/>
          <w:szCs w:val="18"/>
          <w:vertAlign w:val="superscript"/>
        </w:rPr>
        <w:t>/</w:t>
      </w:r>
      <w:r w:rsidRPr="00571091">
        <w:tab/>
      </w:r>
    </w:p>
    <w:p w14:paraId="7DDD6B55" w14:textId="77777777" w:rsidR="009D7631" w:rsidRPr="00571091" w:rsidRDefault="009D7631" w:rsidP="009D7631">
      <w:pPr>
        <w:spacing w:after="120"/>
        <w:ind w:left="2268" w:right="1134" w:hanging="1134"/>
        <w:jc w:val="both"/>
      </w:pPr>
      <w:r w:rsidRPr="00571091">
        <w:tab/>
      </w:r>
      <w:r w:rsidR="00D37F8F">
        <w:t>Voltage and wattage:</w:t>
      </w:r>
    </w:p>
    <w:p w14:paraId="7DDD6B56" w14:textId="77777777" w:rsidR="009D7631" w:rsidRPr="00571091" w:rsidRDefault="00D37F8F" w:rsidP="009D7631">
      <w:pPr>
        <w:spacing w:after="120"/>
        <w:ind w:left="2268" w:right="1134" w:hanging="1134"/>
        <w:jc w:val="both"/>
      </w:pPr>
      <w:r>
        <w:t>….</w:t>
      </w:r>
      <w:r>
        <w:rPr>
          <w:rFonts w:eastAsia="MS Mincho"/>
        </w:rPr>
        <w:t>"</w:t>
      </w:r>
    </w:p>
    <w:p w14:paraId="7DDD6B57" w14:textId="56E71501" w:rsidR="009D7631" w:rsidRPr="008F7268" w:rsidRDefault="00FA7883" w:rsidP="00A15606">
      <w:pPr>
        <w:pStyle w:val="FootnoteText"/>
        <w:spacing w:after="120" w:line="240" w:lineRule="atLeast"/>
        <w:ind w:left="2268"/>
        <w:jc w:val="both"/>
        <w:rPr>
          <w:b/>
          <w:u w:val="single"/>
          <w:vertAlign w:val="superscript"/>
        </w:rPr>
      </w:pPr>
      <w:proofErr w:type="gramStart"/>
      <w:r>
        <w:t xml:space="preserve">“ </w:t>
      </w:r>
      <w:r w:rsidR="009D7631" w:rsidRPr="00571091">
        <w:rPr>
          <w:b/>
          <w:u w:val="single"/>
          <w:vertAlign w:val="superscript"/>
        </w:rPr>
        <w:t>3</w:t>
      </w:r>
      <w:proofErr w:type="gramEnd"/>
      <w:r w:rsidR="009D7631" w:rsidRPr="00571091">
        <w:rPr>
          <w:b/>
          <w:vertAlign w:val="superscript"/>
        </w:rPr>
        <w:t>/</w:t>
      </w:r>
      <w:r w:rsidR="009D7631" w:rsidRPr="00571091">
        <w:rPr>
          <w:b/>
          <w:vertAlign w:val="superscript"/>
        </w:rPr>
        <w:tab/>
      </w:r>
      <w:r w:rsidR="009D7631" w:rsidRPr="00571091">
        <w:rPr>
          <w:b/>
          <w:bCs/>
        </w:rPr>
        <w:t>Indicate LED substitute light source(s) explicitly, if any</w:t>
      </w:r>
      <w:r w:rsidR="000F5427" w:rsidRPr="000F5427">
        <w:rPr>
          <w:bCs/>
        </w:rPr>
        <w:t>.</w:t>
      </w:r>
      <w:r w:rsidR="000F5427" w:rsidRPr="000F5427">
        <w:rPr>
          <w:rFonts w:eastAsia="MS Mincho"/>
        </w:rPr>
        <w:t xml:space="preserve"> </w:t>
      </w:r>
      <w:r w:rsidR="000F5427">
        <w:rPr>
          <w:rFonts w:eastAsia="MS Mincho"/>
        </w:rPr>
        <w:t>"</w:t>
      </w:r>
    </w:p>
    <w:p w14:paraId="7DDD6B58" w14:textId="77777777" w:rsidR="00DF418A" w:rsidRPr="00DF418A" w:rsidRDefault="00E87504" w:rsidP="00980C28">
      <w:pPr>
        <w:pStyle w:val="HChG"/>
        <w:ind w:left="0" w:firstLine="0"/>
      </w:pPr>
      <w:r>
        <w:tab/>
        <w:t>II.</w:t>
      </w:r>
      <w:r>
        <w:tab/>
        <w:t>Justification</w:t>
      </w:r>
    </w:p>
    <w:p w14:paraId="65107AFE" w14:textId="587C90AA" w:rsidR="00BB669F" w:rsidRPr="008735E3" w:rsidRDefault="00BB669F" w:rsidP="00C36111">
      <w:pPr>
        <w:tabs>
          <w:tab w:val="left" w:pos="1701"/>
          <w:tab w:val="left" w:pos="2268"/>
        </w:tabs>
        <w:suppressAutoHyphens w:val="0"/>
        <w:spacing w:after="120"/>
        <w:ind w:left="1134" w:right="1134"/>
        <w:jc w:val="both"/>
        <w:rPr>
          <w:bCs/>
          <w:lang w:eastAsia="it-IT"/>
        </w:rPr>
      </w:pPr>
      <w:r w:rsidRPr="008735E3">
        <w:rPr>
          <w:lang w:val="en-US"/>
        </w:rPr>
        <w:t>1.</w:t>
      </w:r>
      <w:r w:rsidRPr="008735E3">
        <w:rPr>
          <w:lang w:val="en-US"/>
        </w:rPr>
        <w:tab/>
      </w:r>
      <w:r w:rsidRPr="008735E3">
        <w:rPr>
          <w:bCs/>
          <w:lang w:eastAsia="it-IT"/>
        </w:rPr>
        <w:t xml:space="preserve">This proposal was originally developed and submitted by GTB to the </w:t>
      </w:r>
      <w:r w:rsidR="00C36111">
        <w:rPr>
          <w:bCs/>
          <w:lang w:eastAsia="it-IT"/>
        </w:rPr>
        <w:t xml:space="preserve">seventy-seventh and seventy-eighth </w:t>
      </w:r>
      <w:r w:rsidRPr="008735E3">
        <w:rPr>
          <w:bCs/>
          <w:lang w:eastAsia="it-IT"/>
        </w:rPr>
        <w:t>session</w:t>
      </w:r>
      <w:r w:rsidR="00C36111">
        <w:rPr>
          <w:bCs/>
          <w:lang w:eastAsia="it-IT"/>
        </w:rPr>
        <w:t>s</w:t>
      </w:r>
      <w:r w:rsidRPr="008735E3">
        <w:rPr>
          <w:bCs/>
          <w:lang w:eastAsia="it-IT"/>
        </w:rPr>
        <w:t xml:space="preserve"> of GRE</w:t>
      </w:r>
      <w:r w:rsidR="00F01E19" w:rsidRPr="008735E3">
        <w:rPr>
          <w:bCs/>
          <w:lang w:eastAsia="it-IT"/>
        </w:rPr>
        <w:t xml:space="preserve"> and could only be considered after the </w:t>
      </w:r>
      <w:r w:rsidR="006614B7" w:rsidRPr="008735E3">
        <w:rPr>
          <w:bCs/>
          <w:lang w:eastAsia="it-IT"/>
        </w:rPr>
        <w:t xml:space="preserve">proposal for </w:t>
      </w:r>
      <w:r w:rsidR="00C36111">
        <w:rPr>
          <w:bCs/>
          <w:lang w:eastAsia="it-IT"/>
        </w:rPr>
        <w:t xml:space="preserve">a </w:t>
      </w:r>
      <w:r w:rsidR="006614B7" w:rsidRPr="008735E3">
        <w:rPr>
          <w:bCs/>
          <w:lang w:eastAsia="it-IT"/>
        </w:rPr>
        <w:t xml:space="preserve">new </w:t>
      </w:r>
      <w:r w:rsidR="00C36111">
        <w:rPr>
          <w:bCs/>
          <w:lang w:eastAsia="it-IT"/>
        </w:rPr>
        <w:t>UN R</w:t>
      </w:r>
      <w:r w:rsidR="006614B7" w:rsidRPr="008735E3">
        <w:rPr>
          <w:bCs/>
          <w:lang w:eastAsia="it-IT"/>
        </w:rPr>
        <w:t xml:space="preserve">egulation </w:t>
      </w:r>
      <w:r w:rsidR="00C36111">
        <w:rPr>
          <w:bCs/>
          <w:lang w:eastAsia="it-IT"/>
        </w:rPr>
        <w:t>on Light-S</w:t>
      </w:r>
      <w:r w:rsidR="006614B7" w:rsidRPr="008735E3">
        <w:rPr>
          <w:bCs/>
          <w:lang w:eastAsia="it-IT"/>
        </w:rPr>
        <w:t xml:space="preserve">ignalling </w:t>
      </w:r>
      <w:r w:rsidR="00C36111">
        <w:rPr>
          <w:bCs/>
          <w:lang w:eastAsia="it-IT"/>
        </w:rPr>
        <w:t>D</w:t>
      </w:r>
      <w:r w:rsidR="006614B7" w:rsidRPr="008735E3">
        <w:rPr>
          <w:bCs/>
          <w:lang w:eastAsia="it-IT"/>
        </w:rPr>
        <w:t xml:space="preserve">evices (LSD) </w:t>
      </w:r>
      <w:r w:rsidR="00C36111">
        <w:rPr>
          <w:bCs/>
          <w:lang w:eastAsia="it-IT"/>
        </w:rPr>
        <w:t xml:space="preserve">had </w:t>
      </w:r>
      <w:r w:rsidR="006614B7" w:rsidRPr="008735E3">
        <w:rPr>
          <w:bCs/>
          <w:lang w:eastAsia="it-IT"/>
        </w:rPr>
        <w:t xml:space="preserve">been </w:t>
      </w:r>
      <w:r w:rsidR="00927139" w:rsidRPr="008735E3">
        <w:rPr>
          <w:bCs/>
          <w:lang w:eastAsia="it-IT"/>
        </w:rPr>
        <w:t>presented</w:t>
      </w:r>
      <w:r w:rsidRPr="008735E3">
        <w:rPr>
          <w:bCs/>
          <w:lang w:eastAsia="it-IT"/>
        </w:rPr>
        <w:t xml:space="preserve">. </w:t>
      </w:r>
      <w:r w:rsidR="00927139" w:rsidRPr="008735E3">
        <w:rPr>
          <w:bCs/>
          <w:lang w:eastAsia="it-IT"/>
        </w:rPr>
        <w:t>That proposal</w:t>
      </w:r>
      <w:r w:rsidRPr="008735E3">
        <w:rPr>
          <w:bCs/>
          <w:lang w:eastAsia="it-IT"/>
        </w:rPr>
        <w:t xml:space="preserve"> has been considered by the Task Force Substitutes</w:t>
      </w:r>
      <w:r w:rsidR="00C36111">
        <w:rPr>
          <w:bCs/>
          <w:lang w:eastAsia="it-IT"/>
        </w:rPr>
        <w:t xml:space="preserve"> and </w:t>
      </w:r>
      <w:r w:rsidRPr="008735E3">
        <w:rPr>
          <w:bCs/>
          <w:lang w:eastAsia="it-IT"/>
        </w:rPr>
        <w:t>Retrofits (TF SR)</w:t>
      </w:r>
      <w:r w:rsidR="00C36111">
        <w:rPr>
          <w:bCs/>
          <w:lang w:eastAsia="it-IT"/>
        </w:rPr>
        <w:t>. A</w:t>
      </w:r>
      <w:r w:rsidRPr="008735E3">
        <w:rPr>
          <w:bCs/>
          <w:lang w:eastAsia="it-IT"/>
        </w:rPr>
        <w:t>s a result, amendments are proposed by TF</w:t>
      </w:r>
      <w:r w:rsidR="00C36111">
        <w:rPr>
          <w:bCs/>
          <w:lang w:eastAsia="it-IT"/>
        </w:rPr>
        <w:t xml:space="preserve"> SR</w:t>
      </w:r>
      <w:r w:rsidRPr="008735E3">
        <w:rPr>
          <w:bCs/>
          <w:lang w:eastAsia="it-IT"/>
        </w:rPr>
        <w:t xml:space="preserve">. Comments from the preceding meetings of GRE have been taken into account. </w:t>
      </w:r>
    </w:p>
    <w:p w14:paraId="444B4627" w14:textId="65ABCBEA" w:rsidR="00BB669F" w:rsidRPr="008735E3" w:rsidRDefault="00BB669F" w:rsidP="00C36111">
      <w:pPr>
        <w:tabs>
          <w:tab w:val="left" w:pos="1701"/>
          <w:tab w:val="left" w:pos="2268"/>
        </w:tabs>
        <w:suppressAutoHyphens w:val="0"/>
        <w:spacing w:after="120"/>
        <w:ind w:left="1134" w:right="1134"/>
        <w:contextualSpacing/>
        <w:jc w:val="both"/>
        <w:rPr>
          <w:bCs/>
          <w:lang w:eastAsia="it-IT"/>
        </w:rPr>
      </w:pPr>
      <w:r w:rsidRPr="008735E3">
        <w:rPr>
          <w:bCs/>
          <w:lang w:eastAsia="it-IT"/>
        </w:rPr>
        <w:t>2.</w:t>
      </w:r>
      <w:r w:rsidRPr="008735E3">
        <w:rPr>
          <w:bCs/>
          <w:lang w:eastAsia="it-IT"/>
        </w:rPr>
        <w:tab/>
        <w:t xml:space="preserve">The proposal </w:t>
      </w:r>
      <w:r w:rsidR="00C36111">
        <w:rPr>
          <w:bCs/>
          <w:lang w:eastAsia="it-IT"/>
        </w:rPr>
        <w:t>includes the following modifications</w:t>
      </w:r>
      <w:r w:rsidRPr="008735E3">
        <w:rPr>
          <w:bCs/>
          <w:lang w:eastAsia="it-IT"/>
        </w:rPr>
        <w:t>:</w:t>
      </w:r>
    </w:p>
    <w:p w14:paraId="5C7495C6" w14:textId="263F1392" w:rsidR="002149B3" w:rsidRPr="00C36111" w:rsidRDefault="00495F1C" w:rsidP="00C36111">
      <w:pPr>
        <w:pStyle w:val="ListParagraph"/>
        <w:widowControl w:val="0"/>
        <w:numPr>
          <w:ilvl w:val="0"/>
          <w:numId w:val="32"/>
        </w:numPr>
        <w:spacing w:after="120" w:line="240" w:lineRule="atLeast"/>
        <w:ind w:left="1701" w:right="1134" w:hanging="567"/>
        <w:contextualSpacing w:val="0"/>
        <w:jc w:val="both"/>
        <w:rPr>
          <w:sz w:val="20"/>
          <w:szCs w:val="20"/>
          <w:lang w:val="en-US"/>
        </w:rPr>
      </w:pPr>
      <w:r w:rsidRPr="00C36111">
        <w:rPr>
          <w:sz w:val="20"/>
          <w:szCs w:val="20"/>
          <w:lang w:val="en-US"/>
        </w:rPr>
        <w:t xml:space="preserve">editorial corrections were made due to document </w:t>
      </w:r>
      <w:r w:rsidR="002825F1" w:rsidRPr="00C36111">
        <w:rPr>
          <w:sz w:val="20"/>
          <w:szCs w:val="20"/>
          <w:lang w:val="en-US"/>
        </w:rPr>
        <w:t>GRE/2018/02</w:t>
      </w:r>
      <w:r w:rsidR="00777BC7" w:rsidRPr="00C36111">
        <w:rPr>
          <w:sz w:val="20"/>
          <w:szCs w:val="20"/>
          <w:lang w:val="en-US"/>
        </w:rPr>
        <w:t>;</w:t>
      </w:r>
    </w:p>
    <w:p w14:paraId="3F27876B" w14:textId="076C1249" w:rsidR="00E72A06" w:rsidRPr="00C36111" w:rsidRDefault="0047595B" w:rsidP="00C36111">
      <w:pPr>
        <w:pStyle w:val="ListParagraph"/>
        <w:widowControl w:val="0"/>
        <w:numPr>
          <w:ilvl w:val="0"/>
          <w:numId w:val="32"/>
        </w:numPr>
        <w:spacing w:after="120" w:line="240" w:lineRule="atLeast"/>
        <w:ind w:left="1701" w:right="1134" w:hanging="567"/>
        <w:contextualSpacing w:val="0"/>
        <w:jc w:val="both"/>
        <w:rPr>
          <w:sz w:val="20"/>
          <w:szCs w:val="20"/>
          <w:lang w:val="en-US"/>
        </w:rPr>
      </w:pPr>
      <w:r>
        <w:rPr>
          <w:sz w:val="20"/>
          <w:szCs w:val="20"/>
          <w:lang w:val="en-US"/>
        </w:rPr>
        <w:t>t</w:t>
      </w:r>
      <w:r w:rsidR="00E615E7" w:rsidRPr="00C36111">
        <w:rPr>
          <w:sz w:val="20"/>
          <w:szCs w:val="20"/>
          <w:lang w:val="en-US"/>
        </w:rPr>
        <w:t xml:space="preserve">he marking of the lamp that has been approved for installation of the LED substitute light source(s) shall be </w:t>
      </w:r>
      <w:r w:rsidR="007A7D80" w:rsidRPr="00C36111">
        <w:rPr>
          <w:sz w:val="20"/>
          <w:szCs w:val="20"/>
          <w:lang w:val="en-US"/>
        </w:rPr>
        <w:t xml:space="preserve">visible; </w:t>
      </w:r>
    </w:p>
    <w:p w14:paraId="5CDE98A9" w14:textId="4B9240F7" w:rsidR="00BF432D" w:rsidRPr="00C36111" w:rsidRDefault="00BF432D" w:rsidP="00C36111">
      <w:pPr>
        <w:pStyle w:val="ListParagraph"/>
        <w:widowControl w:val="0"/>
        <w:numPr>
          <w:ilvl w:val="0"/>
          <w:numId w:val="32"/>
        </w:numPr>
        <w:spacing w:after="120" w:line="240" w:lineRule="atLeast"/>
        <w:ind w:left="1701" w:right="1134" w:hanging="567"/>
        <w:contextualSpacing w:val="0"/>
        <w:jc w:val="both"/>
        <w:rPr>
          <w:sz w:val="20"/>
          <w:szCs w:val="20"/>
          <w:lang w:val="en-US"/>
        </w:rPr>
      </w:pPr>
      <w:r w:rsidRPr="00C36111">
        <w:rPr>
          <w:sz w:val="20"/>
          <w:szCs w:val="20"/>
          <w:lang w:val="en-US"/>
        </w:rPr>
        <w:t xml:space="preserve">the </w:t>
      </w:r>
      <w:r w:rsidR="007A7D80" w:rsidRPr="00C36111">
        <w:rPr>
          <w:sz w:val="20"/>
          <w:szCs w:val="20"/>
          <w:lang w:val="en-US"/>
        </w:rPr>
        <w:t xml:space="preserve">use of the </w:t>
      </w:r>
      <w:r w:rsidRPr="00C36111">
        <w:rPr>
          <w:sz w:val="20"/>
          <w:szCs w:val="20"/>
          <w:lang w:val="en-US"/>
        </w:rPr>
        <w:t xml:space="preserve">holder of the LED substitute </w:t>
      </w:r>
      <w:r w:rsidR="00B3524B" w:rsidRPr="00C36111">
        <w:rPr>
          <w:sz w:val="20"/>
          <w:szCs w:val="20"/>
          <w:lang w:val="en-US"/>
        </w:rPr>
        <w:t>light source</w:t>
      </w:r>
      <w:r w:rsidR="007A7D80" w:rsidRPr="00C36111">
        <w:rPr>
          <w:sz w:val="20"/>
          <w:szCs w:val="20"/>
          <w:lang w:val="en-US"/>
        </w:rPr>
        <w:t xml:space="preserve">, </w:t>
      </w:r>
      <w:r w:rsidR="0080247A" w:rsidRPr="00C36111">
        <w:rPr>
          <w:sz w:val="20"/>
          <w:szCs w:val="20"/>
          <w:lang w:val="en-US"/>
        </w:rPr>
        <w:t>accepting</w:t>
      </w:r>
      <w:r w:rsidR="007A7D80" w:rsidRPr="00C36111">
        <w:rPr>
          <w:sz w:val="20"/>
          <w:szCs w:val="20"/>
          <w:lang w:val="en-US"/>
        </w:rPr>
        <w:t xml:space="preserve"> </w:t>
      </w:r>
      <w:r w:rsidR="0080247A" w:rsidRPr="00C36111">
        <w:rPr>
          <w:sz w:val="20"/>
          <w:szCs w:val="20"/>
          <w:lang w:val="en-US"/>
        </w:rPr>
        <w:t xml:space="preserve">also </w:t>
      </w:r>
      <w:r w:rsidR="007A7D80" w:rsidRPr="00C36111">
        <w:rPr>
          <w:sz w:val="20"/>
          <w:szCs w:val="20"/>
          <w:lang w:val="en-US"/>
        </w:rPr>
        <w:t>its filament light source</w:t>
      </w:r>
      <w:r w:rsidR="0080247A" w:rsidRPr="00C36111">
        <w:rPr>
          <w:sz w:val="20"/>
          <w:szCs w:val="20"/>
          <w:lang w:val="en-US"/>
        </w:rPr>
        <w:t xml:space="preserve"> counterpart,</w:t>
      </w:r>
      <w:r w:rsidR="00B3524B" w:rsidRPr="00C36111">
        <w:rPr>
          <w:sz w:val="20"/>
          <w:szCs w:val="20"/>
          <w:lang w:val="en-US"/>
        </w:rPr>
        <w:t xml:space="preserve"> </w:t>
      </w:r>
      <w:r w:rsidRPr="00C36111">
        <w:rPr>
          <w:sz w:val="20"/>
          <w:szCs w:val="20"/>
          <w:lang w:val="en-US"/>
        </w:rPr>
        <w:t xml:space="preserve">is </w:t>
      </w:r>
      <w:r w:rsidR="00C44967" w:rsidRPr="00C36111">
        <w:rPr>
          <w:sz w:val="20"/>
          <w:szCs w:val="20"/>
          <w:lang w:val="en-US"/>
        </w:rPr>
        <w:t>required</w:t>
      </w:r>
      <w:r w:rsidRPr="00C36111">
        <w:rPr>
          <w:sz w:val="20"/>
          <w:szCs w:val="20"/>
          <w:lang w:val="en-US"/>
        </w:rPr>
        <w:t xml:space="preserve"> if </w:t>
      </w:r>
      <w:r w:rsidR="00B3524B" w:rsidRPr="00C36111">
        <w:rPr>
          <w:sz w:val="20"/>
          <w:szCs w:val="20"/>
          <w:lang w:val="en-US"/>
        </w:rPr>
        <w:t>an LED substitute light source is prescribed.</w:t>
      </w:r>
    </w:p>
    <w:p w14:paraId="7DDD6B64" w14:textId="77777777"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CA6C" w14:textId="77777777" w:rsidR="008D537D" w:rsidRDefault="008D537D"/>
  </w:endnote>
  <w:endnote w:type="continuationSeparator" w:id="0">
    <w:p w14:paraId="459957CD" w14:textId="77777777" w:rsidR="008D537D" w:rsidRDefault="008D537D"/>
  </w:endnote>
  <w:endnote w:type="continuationNotice" w:id="1">
    <w:p w14:paraId="3419B4AB" w14:textId="77777777" w:rsidR="008D537D" w:rsidRDefault="008D5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6B6F" w14:textId="005D241F"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6221D">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6B70" w14:textId="6B63CA08"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6221D">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E3EF" w14:textId="5169DBA6" w:rsidR="0076221D" w:rsidRDefault="0076221D" w:rsidP="0076221D">
    <w:pPr>
      <w:pStyle w:val="Footer"/>
    </w:pPr>
    <w:r>
      <w:rPr>
        <w:rFonts w:ascii="C39T30Lfz" w:hAnsi="C39T30Lfz"/>
        <w:noProof/>
        <w:sz w:val="56"/>
        <w:lang w:eastAsia="zh-CN"/>
      </w:rPr>
      <w:drawing>
        <wp:anchor distT="0" distB="0" distL="114300" distR="114300" simplePos="0" relativeHeight="251660288" behindDoc="0" locked="0" layoutInCell="1" allowOverlap="1" wp14:anchorId="2B616CF4" wp14:editId="2E047A3A">
          <wp:simplePos x="0" y="0"/>
          <wp:positionH relativeFrom="margin">
            <wp:posOffset>5569017</wp:posOffset>
          </wp:positionH>
          <wp:positionV relativeFrom="margin">
            <wp:posOffset>7946524</wp:posOffset>
          </wp:positionV>
          <wp:extent cx="638175" cy="638175"/>
          <wp:effectExtent l="0" t="0" r="9525" b="9525"/>
          <wp:wrapNone/>
          <wp:docPr id="2" name="Picture 1" descr="https://undocs.org/m2/QRCode.ashx?DS=ECE/TRANS/WP.29/GRE/2018/4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22BFD549" wp14:editId="7CD1D4D0">
          <wp:simplePos x="0" y="0"/>
          <wp:positionH relativeFrom="margin">
            <wp:posOffset>4410710</wp:posOffset>
          </wp:positionH>
          <wp:positionV relativeFrom="margin">
            <wp:posOffset>8296910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7FC610A" w14:textId="2C09BAEF" w:rsidR="0076221D" w:rsidRDefault="0076221D" w:rsidP="0076221D">
    <w:pPr>
      <w:pStyle w:val="Footer"/>
      <w:ind w:right="1134"/>
      <w:rPr>
        <w:sz w:val="20"/>
      </w:rPr>
    </w:pPr>
    <w:r>
      <w:rPr>
        <w:sz w:val="20"/>
      </w:rPr>
      <w:t>GE.18-13152(E)</w:t>
    </w:r>
  </w:p>
  <w:p w14:paraId="0C551D1F" w14:textId="56013B54" w:rsidR="0076221D" w:rsidRPr="0076221D" w:rsidRDefault="0076221D" w:rsidP="007622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78C88" w14:textId="77777777" w:rsidR="008D537D" w:rsidRPr="000B175B" w:rsidRDefault="008D537D" w:rsidP="000B175B">
      <w:pPr>
        <w:tabs>
          <w:tab w:val="right" w:pos="2155"/>
        </w:tabs>
        <w:spacing w:after="80"/>
        <w:ind w:left="680"/>
        <w:rPr>
          <w:u w:val="single"/>
        </w:rPr>
      </w:pPr>
      <w:r>
        <w:rPr>
          <w:u w:val="single"/>
        </w:rPr>
        <w:tab/>
      </w:r>
    </w:p>
  </w:footnote>
  <w:footnote w:type="continuationSeparator" w:id="0">
    <w:p w14:paraId="519533CD" w14:textId="77777777" w:rsidR="008D537D" w:rsidRPr="00FC68B7" w:rsidRDefault="008D537D" w:rsidP="00FC68B7">
      <w:pPr>
        <w:tabs>
          <w:tab w:val="left" w:pos="2155"/>
        </w:tabs>
        <w:spacing w:after="80"/>
        <w:ind w:left="680"/>
        <w:rPr>
          <w:u w:val="single"/>
        </w:rPr>
      </w:pPr>
      <w:r>
        <w:rPr>
          <w:u w:val="single"/>
        </w:rPr>
        <w:tab/>
      </w:r>
    </w:p>
  </w:footnote>
  <w:footnote w:type="continuationNotice" w:id="1">
    <w:p w14:paraId="361104F5" w14:textId="77777777" w:rsidR="008D537D" w:rsidRDefault="008D537D"/>
  </w:footnote>
  <w:footnote w:id="2">
    <w:p w14:paraId="2E61B899" w14:textId="77777777" w:rsidR="00D6155A" w:rsidRPr="00706101" w:rsidRDefault="00D6155A" w:rsidP="00D6155A">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6B6D" w14:textId="0E705BDE" w:rsidR="00980C28" w:rsidRPr="00803BF8" w:rsidRDefault="00980C28">
    <w:pPr>
      <w:pStyle w:val="Header"/>
    </w:pPr>
    <w:r>
      <w:t>ECE/TRANS/WP.29/</w:t>
    </w:r>
    <w:r w:rsidRPr="00D6155A">
      <w:t>GR</w:t>
    </w:r>
    <w:r w:rsidR="009B385D" w:rsidRPr="00D6155A">
      <w:t>E</w:t>
    </w:r>
    <w:r w:rsidRPr="00D6155A">
      <w:t>/201</w:t>
    </w:r>
    <w:r w:rsidR="00646A33" w:rsidRPr="00D6155A">
      <w:t>8/</w:t>
    </w:r>
    <w:r w:rsidR="00D6155A" w:rsidRPr="00D6155A">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6B6E" w14:textId="28656DBC" w:rsidR="00980C28" w:rsidRPr="00803BF8" w:rsidRDefault="00AC6C6D" w:rsidP="00803BF8">
    <w:pPr>
      <w:pStyle w:val="Header"/>
      <w:jc w:val="right"/>
    </w:pPr>
    <w:r>
      <w:t>ECE/TRANS/WP.29/G</w:t>
    </w:r>
    <w:r w:rsidRPr="00D6155A">
      <w:t>RE/201</w:t>
    </w:r>
    <w:r w:rsidR="00646A33" w:rsidRPr="00D6155A">
      <w:t>8/</w:t>
    </w:r>
    <w:r w:rsidR="00D6155A" w:rsidRPr="00D6155A">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0D23AB"/>
    <w:multiLevelType w:val="hybridMultilevel"/>
    <w:tmpl w:val="2A5462C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93278B"/>
    <w:multiLevelType w:val="hybridMultilevel"/>
    <w:tmpl w:val="845C4C92"/>
    <w:lvl w:ilvl="0" w:tplc="67E66250">
      <w:start w:val="1"/>
      <w:numFmt w:val="decimal"/>
      <w:lvlText w:val="%1."/>
      <w:lvlJc w:val="left"/>
      <w:pPr>
        <w:ind w:left="1137" w:hanging="360"/>
      </w:pPr>
      <w:rPr>
        <w:rFonts w:ascii="Times New Roman" w:eastAsia="Times New Roman" w:hAnsi="Times New Roman" w:cs="Times New Roman"/>
      </w:rPr>
    </w:lvl>
    <w:lvl w:ilvl="1" w:tplc="04090001">
      <w:start w:val="1"/>
      <w:numFmt w:val="bullet"/>
      <w:lvlText w:val=""/>
      <w:lvlJc w:val="left"/>
      <w:pPr>
        <w:ind w:left="1857" w:hanging="360"/>
      </w:pPr>
      <w:rPr>
        <w:rFonts w:ascii="Symbol" w:hAnsi="Symbol"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8" w15:restartNumberingAfterBreak="0">
    <w:nsid w:val="36E5287A"/>
    <w:multiLevelType w:val="hybridMultilevel"/>
    <w:tmpl w:val="9E1409EE"/>
    <w:lvl w:ilvl="0" w:tplc="901608EA">
      <w:numFmt w:val="bullet"/>
      <w:lvlText w:val="-"/>
      <w:lvlJc w:val="left"/>
      <w:pPr>
        <w:ind w:left="2628" w:hanging="360"/>
      </w:pPr>
      <w:rPr>
        <w:rFonts w:ascii="Calibri" w:eastAsiaTheme="minorHAnsi" w:hAnsi="Calibri" w:cs="Calibri" w:hint="default"/>
      </w:rPr>
    </w:lvl>
    <w:lvl w:ilvl="1" w:tplc="04130003" w:tentative="1">
      <w:start w:val="1"/>
      <w:numFmt w:val="bullet"/>
      <w:lvlText w:val="o"/>
      <w:lvlJc w:val="left"/>
      <w:pPr>
        <w:ind w:left="3348" w:hanging="360"/>
      </w:pPr>
      <w:rPr>
        <w:rFonts w:ascii="Courier New" w:hAnsi="Courier New" w:cs="Courier New" w:hint="default"/>
      </w:rPr>
    </w:lvl>
    <w:lvl w:ilvl="2" w:tplc="04130005" w:tentative="1">
      <w:start w:val="1"/>
      <w:numFmt w:val="bullet"/>
      <w:lvlText w:val=""/>
      <w:lvlJc w:val="left"/>
      <w:pPr>
        <w:ind w:left="4068" w:hanging="360"/>
      </w:pPr>
      <w:rPr>
        <w:rFonts w:ascii="Wingdings" w:hAnsi="Wingdings" w:hint="default"/>
      </w:rPr>
    </w:lvl>
    <w:lvl w:ilvl="3" w:tplc="04130001" w:tentative="1">
      <w:start w:val="1"/>
      <w:numFmt w:val="bullet"/>
      <w:lvlText w:val=""/>
      <w:lvlJc w:val="left"/>
      <w:pPr>
        <w:ind w:left="4788" w:hanging="360"/>
      </w:pPr>
      <w:rPr>
        <w:rFonts w:ascii="Symbol" w:hAnsi="Symbol" w:hint="default"/>
      </w:rPr>
    </w:lvl>
    <w:lvl w:ilvl="4" w:tplc="04130003" w:tentative="1">
      <w:start w:val="1"/>
      <w:numFmt w:val="bullet"/>
      <w:lvlText w:val="o"/>
      <w:lvlJc w:val="left"/>
      <w:pPr>
        <w:ind w:left="5508" w:hanging="360"/>
      </w:pPr>
      <w:rPr>
        <w:rFonts w:ascii="Courier New" w:hAnsi="Courier New" w:cs="Courier New" w:hint="default"/>
      </w:rPr>
    </w:lvl>
    <w:lvl w:ilvl="5" w:tplc="04130005" w:tentative="1">
      <w:start w:val="1"/>
      <w:numFmt w:val="bullet"/>
      <w:lvlText w:val=""/>
      <w:lvlJc w:val="left"/>
      <w:pPr>
        <w:ind w:left="6228" w:hanging="360"/>
      </w:pPr>
      <w:rPr>
        <w:rFonts w:ascii="Wingdings" w:hAnsi="Wingdings" w:hint="default"/>
      </w:rPr>
    </w:lvl>
    <w:lvl w:ilvl="6" w:tplc="04130001" w:tentative="1">
      <w:start w:val="1"/>
      <w:numFmt w:val="bullet"/>
      <w:lvlText w:val=""/>
      <w:lvlJc w:val="left"/>
      <w:pPr>
        <w:ind w:left="6948" w:hanging="360"/>
      </w:pPr>
      <w:rPr>
        <w:rFonts w:ascii="Symbol" w:hAnsi="Symbol" w:hint="default"/>
      </w:rPr>
    </w:lvl>
    <w:lvl w:ilvl="7" w:tplc="04130003" w:tentative="1">
      <w:start w:val="1"/>
      <w:numFmt w:val="bullet"/>
      <w:lvlText w:val="o"/>
      <w:lvlJc w:val="left"/>
      <w:pPr>
        <w:ind w:left="7668" w:hanging="360"/>
      </w:pPr>
      <w:rPr>
        <w:rFonts w:ascii="Courier New" w:hAnsi="Courier New" w:cs="Courier New" w:hint="default"/>
      </w:rPr>
    </w:lvl>
    <w:lvl w:ilvl="8" w:tplc="04130005" w:tentative="1">
      <w:start w:val="1"/>
      <w:numFmt w:val="bullet"/>
      <w:lvlText w:val=""/>
      <w:lvlJc w:val="left"/>
      <w:pPr>
        <w:ind w:left="8388" w:hanging="360"/>
      </w:pPr>
      <w:rPr>
        <w:rFonts w:ascii="Wingdings" w:hAnsi="Wingdings" w:hint="default"/>
      </w:rPr>
    </w:lvl>
  </w:abstractNum>
  <w:abstractNum w:abstractNumId="19" w15:restartNumberingAfterBreak="0">
    <w:nsid w:val="45121515"/>
    <w:multiLevelType w:val="hybridMultilevel"/>
    <w:tmpl w:val="F7E24E8C"/>
    <w:lvl w:ilvl="0" w:tplc="3F3A132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2" w15:restartNumberingAfterBreak="0">
    <w:nsid w:val="64096A70"/>
    <w:multiLevelType w:val="hybridMultilevel"/>
    <w:tmpl w:val="2E50FFE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2"/>
  </w:num>
  <w:num w:numId="14">
    <w:abstractNumId w:val="23"/>
  </w:num>
  <w:num w:numId="15">
    <w:abstractNumId w:val="25"/>
  </w:num>
  <w:num w:numId="16">
    <w:abstractNumId w:val="10"/>
  </w:num>
  <w:num w:numId="17">
    <w:abstractNumId w:val="16"/>
  </w:num>
  <w:num w:numId="18">
    <w:abstractNumId w:val="24"/>
  </w:num>
  <w:num w:numId="19">
    <w:abstractNumId w:val="15"/>
  </w:num>
  <w:num w:numId="20">
    <w:abstractNumId w:val="19"/>
  </w:num>
  <w:num w:numId="21">
    <w:abstractNumId w:val="11"/>
  </w:num>
  <w:num w:numId="22">
    <w:abstractNumId w:val="21"/>
  </w:num>
  <w:num w:numId="23">
    <w:abstractNumId w:val="17"/>
  </w:num>
  <w:num w:numId="24">
    <w:abstractNumId w:val="1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3D2A"/>
    <w:rsid w:val="00014605"/>
    <w:rsid w:val="00015799"/>
    <w:rsid w:val="0002015E"/>
    <w:rsid w:val="00025B62"/>
    <w:rsid w:val="00030495"/>
    <w:rsid w:val="00031ABF"/>
    <w:rsid w:val="00032937"/>
    <w:rsid w:val="000333D4"/>
    <w:rsid w:val="00034196"/>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2D78"/>
    <w:rsid w:val="000733B5"/>
    <w:rsid w:val="00073F5F"/>
    <w:rsid w:val="00074B8A"/>
    <w:rsid w:val="00075E1A"/>
    <w:rsid w:val="0008164E"/>
    <w:rsid w:val="00081815"/>
    <w:rsid w:val="000876DE"/>
    <w:rsid w:val="000930EC"/>
    <w:rsid w:val="000931C0"/>
    <w:rsid w:val="00094F47"/>
    <w:rsid w:val="000A0D9B"/>
    <w:rsid w:val="000A2D18"/>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4C60"/>
    <w:rsid w:val="000E5E72"/>
    <w:rsid w:val="000F1AC1"/>
    <w:rsid w:val="000F5427"/>
    <w:rsid w:val="00100348"/>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4D26"/>
    <w:rsid w:val="00147241"/>
    <w:rsid w:val="00147C97"/>
    <w:rsid w:val="00152B52"/>
    <w:rsid w:val="00155592"/>
    <w:rsid w:val="00156C8F"/>
    <w:rsid w:val="001602AF"/>
    <w:rsid w:val="00160B90"/>
    <w:rsid w:val="00162F11"/>
    <w:rsid w:val="00163BF7"/>
    <w:rsid w:val="00164A85"/>
    <w:rsid w:val="00165F3A"/>
    <w:rsid w:val="001662EC"/>
    <w:rsid w:val="00182290"/>
    <w:rsid w:val="001827D1"/>
    <w:rsid w:val="001837B2"/>
    <w:rsid w:val="00184490"/>
    <w:rsid w:val="0019102D"/>
    <w:rsid w:val="00192180"/>
    <w:rsid w:val="00193F1C"/>
    <w:rsid w:val="001963AC"/>
    <w:rsid w:val="0019788C"/>
    <w:rsid w:val="00197D24"/>
    <w:rsid w:val="001A3955"/>
    <w:rsid w:val="001A5101"/>
    <w:rsid w:val="001B3446"/>
    <w:rsid w:val="001B4B04"/>
    <w:rsid w:val="001C4AFE"/>
    <w:rsid w:val="001C6663"/>
    <w:rsid w:val="001C7895"/>
    <w:rsid w:val="001D0C8C"/>
    <w:rsid w:val="001D1419"/>
    <w:rsid w:val="001D16DB"/>
    <w:rsid w:val="001D26DF"/>
    <w:rsid w:val="001D2776"/>
    <w:rsid w:val="001D3882"/>
    <w:rsid w:val="001D3A03"/>
    <w:rsid w:val="001D4261"/>
    <w:rsid w:val="001D4740"/>
    <w:rsid w:val="001D6907"/>
    <w:rsid w:val="001D72CF"/>
    <w:rsid w:val="001E0C22"/>
    <w:rsid w:val="001E2517"/>
    <w:rsid w:val="001E2593"/>
    <w:rsid w:val="001E47B9"/>
    <w:rsid w:val="001E7B67"/>
    <w:rsid w:val="001F59D7"/>
    <w:rsid w:val="001F62C3"/>
    <w:rsid w:val="001F7781"/>
    <w:rsid w:val="00200A4B"/>
    <w:rsid w:val="00202BF3"/>
    <w:rsid w:val="00202DA8"/>
    <w:rsid w:val="002057AE"/>
    <w:rsid w:val="002073C2"/>
    <w:rsid w:val="0021164B"/>
    <w:rsid w:val="00211E0B"/>
    <w:rsid w:val="002134E0"/>
    <w:rsid w:val="00213F99"/>
    <w:rsid w:val="002149B3"/>
    <w:rsid w:val="00221BD3"/>
    <w:rsid w:val="0023072C"/>
    <w:rsid w:val="002324C6"/>
    <w:rsid w:val="00233BB0"/>
    <w:rsid w:val="00236F28"/>
    <w:rsid w:val="00243627"/>
    <w:rsid w:val="00246027"/>
    <w:rsid w:val="0024772E"/>
    <w:rsid w:val="00255152"/>
    <w:rsid w:val="002620BC"/>
    <w:rsid w:val="00263A29"/>
    <w:rsid w:val="002676B0"/>
    <w:rsid w:val="00267A79"/>
    <w:rsid w:val="00267F5F"/>
    <w:rsid w:val="00270BEB"/>
    <w:rsid w:val="00271CB5"/>
    <w:rsid w:val="002722E2"/>
    <w:rsid w:val="00273751"/>
    <w:rsid w:val="00276AEF"/>
    <w:rsid w:val="002825F1"/>
    <w:rsid w:val="00283AEA"/>
    <w:rsid w:val="00283C63"/>
    <w:rsid w:val="002847BB"/>
    <w:rsid w:val="00284D1F"/>
    <w:rsid w:val="00284DD1"/>
    <w:rsid w:val="00286888"/>
    <w:rsid w:val="00286B4D"/>
    <w:rsid w:val="0028776F"/>
    <w:rsid w:val="002934A0"/>
    <w:rsid w:val="00294EAB"/>
    <w:rsid w:val="002A0D4A"/>
    <w:rsid w:val="002A42DD"/>
    <w:rsid w:val="002A4687"/>
    <w:rsid w:val="002A4D51"/>
    <w:rsid w:val="002A6F6D"/>
    <w:rsid w:val="002B4079"/>
    <w:rsid w:val="002B47CA"/>
    <w:rsid w:val="002C2EB1"/>
    <w:rsid w:val="002C5141"/>
    <w:rsid w:val="002C5463"/>
    <w:rsid w:val="002C567B"/>
    <w:rsid w:val="002C64E5"/>
    <w:rsid w:val="002C6BB6"/>
    <w:rsid w:val="002C7DB8"/>
    <w:rsid w:val="002D0E93"/>
    <w:rsid w:val="002D4643"/>
    <w:rsid w:val="002D4CFC"/>
    <w:rsid w:val="002E093F"/>
    <w:rsid w:val="002E1678"/>
    <w:rsid w:val="002E2EB7"/>
    <w:rsid w:val="002E4283"/>
    <w:rsid w:val="002E5684"/>
    <w:rsid w:val="002E62DB"/>
    <w:rsid w:val="002F04B8"/>
    <w:rsid w:val="002F175C"/>
    <w:rsid w:val="002F1D8E"/>
    <w:rsid w:val="002F45F3"/>
    <w:rsid w:val="002F4FDB"/>
    <w:rsid w:val="002F5AC5"/>
    <w:rsid w:val="002F7636"/>
    <w:rsid w:val="002F7DE0"/>
    <w:rsid w:val="0030272D"/>
    <w:rsid w:val="00302E18"/>
    <w:rsid w:val="0031067C"/>
    <w:rsid w:val="00312F59"/>
    <w:rsid w:val="00315D80"/>
    <w:rsid w:val="0031733E"/>
    <w:rsid w:val="003229D8"/>
    <w:rsid w:val="003237A4"/>
    <w:rsid w:val="00323963"/>
    <w:rsid w:val="00325908"/>
    <w:rsid w:val="00326932"/>
    <w:rsid w:val="00330F1A"/>
    <w:rsid w:val="00336789"/>
    <w:rsid w:val="003406CC"/>
    <w:rsid w:val="0034168B"/>
    <w:rsid w:val="003450DD"/>
    <w:rsid w:val="003451F4"/>
    <w:rsid w:val="003516C1"/>
    <w:rsid w:val="00352181"/>
    <w:rsid w:val="00352709"/>
    <w:rsid w:val="00356E54"/>
    <w:rsid w:val="00356F12"/>
    <w:rsid w:val="00360814"/>
    <w:rsid w:val="003619B5"/>
    <w:rsid w:val="00361AC3"/>
    <w:rsid w:val="00365763"/>
    <w:rsid w:val="00367B7F"/>
    <w:rsid w:val="00371178"/>
    <w:rsid w:val="00374F77"/>
    <w:rsid w:val="00377817"/>
    <w:rsid w:val="003800C8"/>
    <w:rsid w:val="0038196E"/>
    <w:rsid w:val="00383155"/>
    <w:rsid w:val="00390B7D"/>
    <w:rsid w:val="00392E47"/>
    <w:rsid w:val="00394CC7"/>
    <w:rsid w:val="00396E5F"/>
    <w:rsid w:val="003A06B5"/>
    <w:rsid w:val="003A3D17"/>
    <w:rsid w:val="003A5828"/>
    <w:rsid w:val="003A6810"/>
    <w:rsid w:val="003B1EDF"/>
    <w:rsid w:val="003B23CA"/>
    <w:rsid w:val="003B275B"/>
    <w:rsid w:val="003C17CC"/>
    <w:rsid w:val="003C2CC4"/>
    <w:rsid w:val="003C46E4"/>
    <w:rsid w:val="003C534D"/>
    <w:rsid w:val="003C788F"/>
    <w:rsid w:val="003D0EA6"/>
    <w:rsid w:val="003D3F82"/>
    <w:rsid w:val="003D4B23"/>
    <w:rsid w:val="003E120B"/>
    <w:rsid w:val="003E130E"/>
    <w:rsid w:val="003F00E3"/>
    <w:rsid w:val="003F1796"/>
    <w:rsid w:val="003F362D"/>
    <w:rsid w:val="003F6FC1"/>
    <w:rsid w:val="003F79B3"/>
    <w:rsid w:val="004019C4"/>
    <w:rsid w:val="00403038"/>
    <w:rsid w:val="00403D20"/>
    <w:rsid w:val="0040438C"/>
    <w:rsid w:val="00407687"/>
    <w:rsid w:val="00410C89"/>
    <w:rsid w:val="00411E5D"/>
    <w:rsid w:val="00420557"/>
    <w:rsid w:val="00422E03"/>
    <w:rsid w:val="00425C32"/>
    <w:rsid w:val="00426B9B"/>
    <w:rsid w:val="004325CB"/>
    <w:rsid w:val="004410C4"/>
    <w:rsid w:val="00441335"/>
    <w:rsid w:val="004413B3"/>
    <w:rsid w:val="00442A83"/>
    <w:rsid w:val="00443761"/>
    <w:rsid w:val="00443911"/>
    <w:rsid w:val="00451DEE"/>
    <w:rsid w:val="0045495B"/>
    <w:rsid w:val="004561E5"/>
    <w:rsid w:val="004572AE"/>
    <w:rsid w:val="00464BD6"/>
    <w:rsid w:val="00467FEF"/>
    <w:rsid w:val="00471BD2"/>
    <w:rsid w:val="00474FCD"/>
    <w:rsid w:val="0047595B"/>
    <w:rsid w:val="00477526"/>
    <w:rsid w:val="00477A0D"/>
    <w:rsid w:val="00481E2E"/>
    <w:rsid w:val="0048237A"/>
    <w:rsid w:val="0048397A"/>
    <w:rsid w:val="0048419F"/>
    <w:rsid w:val="00485CBB"/>
    <w:rsid w:val="004866B7"/>
    <w:rsid w:val="004935FC"/>
    <w:rsid w:val="00493DB9"/>
    <w:rsid w:val="00495F1C"/>
    <w:rsid w:val="00496FEA"/>
    <w:rsid w:val="004A79FD"/>
    <w:rsid w:val="004B05F0"/>
    <w:rsid w:val="004B3889"/>
    <w:rsid w:val="004B5DF0"/>
    <w:rsid w:val="004C2461"/>
    <w:rsid w:val="004C3774"/>
    <w:rsid w:val="004C7462"/>
    <w:rsid w:val="004D0424"/>
    <w:rsid w:val="004D3FC5"/>
    <w:rsid w:val="004D47B8"/>
    <w:rsid w:val="004D65FF"/>
    <w:rsid w:val="004E0683"/>
    <w:rsid w:val="004E0FDB"/>
    <w:rsid w:val="004E38BA"/>
    <w:rsid w:val="004E57FB"/>
    <w:rsid w:val="004E77B2"/>
    <w:rsid w:val="004F1622"/>
    <w:rsid w:val="004F1CBD"/>
    <w:rsid w:val="00501396"/>
    <w:rsid w:val="005017D4"/>
    <w:rsid w:val="0050265D"/>
    <w:rsid w:val="00502DF4"/>
    <w:rsid w:val="0050463D"/>
    <w:rsid w:val="00504B2D"/>
    <w:rsid w:val="00504CD0"/>
    <w:rsid w:val="0052136D"/>
    <w:rsid w:val="00527001"/>
    <w:rsid w:val="0052775E"/>
    <w:rsid w:val="0053001B"/>
    <w:rsid w:val="00535965"/>
    <w:rsid w:val="0054033E"/>
    <w:rsid w:val="005403AE"/>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4E7A"/>
    <w:rsid w:val="005751FB"/>
    <w:rsid w:val="0057535C"/>
    <w:rsid w:val="00581DFE"/>
    <w:rsid w:val="00583457"/>
    <w:rsid w:val="005907C7"/>
    <w:rsid w:val="00593353"/>
    <w:rsid w:val="00593753"/>
    <w:rsid w:val="005941EC"/>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D4DFA"/>
    <w:rsid w:val="005E0D4D"/>
    <w:rsid w:val="005F1E9C"/>
    <w:rsid w:val="005F4257"/>
    <w:rsid w:val="005F72B3"/>
    <w:rsid w:val="005F7B75"/>
    <w:rsid w:val="006001EE"/>
    <w:rsid w:val="00600492"/>
    <w:rsid w:val="00605042"/>
    <w:rsid w:val="00606FF3"/>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6A33"/>
    <w:rsid w:val="00647BAD"/>
    <w:rsid w:val="00652D0A"/>
    <w:rsid w:val="0065391C"/>
    <w:rsid w:val="006614B7"/>
    <w:rsid w:val="00662BB6"/>
    <w:rsid w:val="00663B3A"/>
    <w:rsid w:val="00664F9E"/>
    <w:rsid w:val="00665D25"/>
    <w:rsid w:val="006660D3"/>
    <w:rsid w:val="006679FE"/>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C7F22"/>
    <w:rsid w:val="006D37AF"/>
    <w:rsid w:val="006D4450"/>
    <w:rsid w:val="006D4C02"/>
    <w:rsid w:val="006D51D0"/>
    <w:rsid w:val="006D52CA"/>
    <w:rsid w:val="006D5FB9"/>
    <w:rsid w:val="006D658E"/>
    <w:rsid w:val="006E564B"/>
    <w:rsid w:val="006E7191"/>
    <w:rsid w:val="006E7863"/>
    <w:rsid w:val="006F0360"/>
    <w:rsid w:val="006F2D70"/>
    <w:rsid w:val="006F3D7F"/>
    <w:rsid w:val="006F7049"/>
    <w:rsid w:val="00702B9C"/>
    <w:rsid w:val="00703577"/>
    <w:rsid w:val="00705894"/>
    <w:rsid w:val="007072C1"/>
    <w:rsid w:val="00713408"/>
    <w:rsid w:val="00716CB7"/>
    <w:rsid w:val="00723525"/>
    <w:rsid w:val="007247D3"/>
    <w:rsid w:val="0072632A"/>
    <w:rsid w:val="00731186"/>
    <w:rsid w:val="007327D5"/>
    <w:rsid w:val="00735128"/>
    <w:rsid w:val="007377C5"/>
    <w:rsid w:val="00741C1C"/>
    <w:rsid w:val="00750A59"/>
    <w:rsid w:val="00750B8D"/>
    <w:rsid w:val="00753B12"/>
    <w:rsid w:val="007545F8"/>
    <w:rsid w:val="00754B4B"/>
    <w:rsid w:val="00757F2F"/>
    <w:rsid w:val="0076221D"/>
    <w:rsid w:val="007629C8"/>
    <w:rsid w:val="00770168"/>
    <w:rsid w:val="0077047D"/>
    <w:rsid w:val="00775F7C"/>
    <w:rsid w:val="0077691F"/>
    <w:rsid w:val="00777BC7"/>
    <w:rsid w:val="007836F4"/>
    <w:rsid w:val="00784CAD"/>
    <w:rsid w:val="00790A9A"/>
    <w:rsid w:val="00792D92"/>
    <w:rsid w:val="00793B94"/>
    <w:rsid w:val="00796008"/>
    <w:rsid w:val="007A36CE"/>
    <w:rsid w:val="007A3BAE"/>
    <w:rsid w:val="007A52E6"/>
    <w:rsid w:val="007A7D80"/>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247A"/>
    <w:rsid w:val="00803BF8"/>
    <w:rsid w:val="00804C91"/>
    <w:rsid w:val="00811920"/>
    <w:rsid w:val="00815AD0"/>
    <w:rsid w:val="00815EDB"/>
    <w:rsid w:val="00816704"/>
    <w:rsid w:val="00817C0F"/>
    <w:rsid w:val="00822B44"/>
    <w:rsid w:val="008231D3"/>
    <w:rsid w:val="008242D7"/>
    <w:rsid w:val="008250E7"/>
    <w:rsid w:val="008257B1"/>
    <w:rsid w:val="00832334"/>
    <w:rsid w:val="008339DF"/>
    <w:rsid w:val="00835C20"/>
    <w:rsid w:val="00841D2C"/>
    <w:rsid w:val="00841FAD"/>
    <w:rsid w:val="00843767"/>
    <w:rsid w:val="00847CEC"/>
    <w:rsid w:val="00851184"/>
    <w:rsid w:val="00854043"/>
    <w:rsid w:val="008562C9"/>
    <w:rsid w:val="00856494"/>
    <w:rsid w:val="00856FAA"/>
    <w:rsid w:val="00861117"/>
    <w:rsid w:val="0086135A"/>
    <w:rsid w:val="00863DFD"/>
    <w:rsid w:val="00865560"/>
    <w:rsid w:val="008679D9"/>
    <w:rsid w:val="00872EA9"/>
    <w:rsid w:val="008735E3"/>
    <w:rsid w:val="00873BB6"/>
    <w:rsid w:val="008809C1"/>
    <w:rsid w:val="00881AE2"/>
    <w:rsid w:val="00883E85"/>
    <w:rsid w:val="00886690"/>
    <w:rsid w:val="008878DE"/>
    <w:rsid w:val="00887D42"/>
    <w:rsid w:val="008927C5"/>
    <w:rsid w:val="00896B38"/>
    <w:rsid w:val="008979B1"/>
    <w:rsid w:val="008A06FF"/>
    <w:rsid w:val="008A137D"/>
    <w:rsid w:val="008A1ED5"/>
    <w:rsid w:val="008A4091"/>
    <w:rsid w:val="008A6467"/>
    <w:rsid w:val="008A660C"/>
    <w:rsid w:val="008A6B25"/>
    <w:rsid w:val="008A6C4F"/>
    <w:rsid w:val="008A7EAF"/>
    <w:rsid w:val="008B2335"/>
    <w:rsid w:val="008B2E36"/>
    <w:rsid w:val="008C0CAF"/>
    <w:rsid w:val="008C1921"/>
    <w:rsid w:val="008D37F7"/>
    <w:rsid w:val="008D3ABA"/>
    <w:rsid w:val="008D440D"/>
    <w:rsid w:val="008D44CA"/>
    <w:rsid w:val="008D537D"/>
    <w:rsid w:val="008D7558"/>
    <w:rsid w:val="008E05FB"/>
    <w:rsid w:val="008E0678"/>
    <w:rsid w:val="008E305A"/>
    <w:rsid w:val="008E6DB5"/>
    <w:rsid w:val="008F153C"/>
    <w:rsid w:val="008F31D2"/>
    <w:rsid w:val="008F4D26"/>
    <w:rsid w:val="008F7268"/>
    <w:rsid w:val="0090098B"/>
    <w:rsid w:val="009014EE"/>
    <w:rsid w:val="00903621"/>
    <w:rsid w:val="00906A89"/>
    <w:rsid w:val="0091023E"/>
    <w:rsid w:val="00915EF6"/>
    <w:rsid w:val="00920C5D"/>
    <w:rsid w:val="00921397"/>
    <w:rsid w:val="009223CA"/>
    <w:rsid w:val="009235EA"/>
    <w:rsid w:val="00927139"/>
    <w:rsid w:val="00927C2B"/>
    <w:rsid w:val="00932725"/>
    <w:rsid w:val="009348BE"/>
    <w:rsid w:val="00934FAC"/>
    <w:rsid w:val="00940F93"/>
    <w:rsid w:val="009448C3"/>
    <w:rsid w:val="00945A10"/>
    <w:rsid w:val="009465E1"/>
    <w:rsid w:val="0095700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285F"/>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2D7A"/>
    <w:rsid w:val="009D4BEE"/>
    <w:rsid w:val="009D7631"/>
    <w:rsid w:val="009E15C8"/>
    <w:rsid w:val="009E28CD"/>
    <w:rsid w:val="009E5620"/>
    <w:rsid w:val="009F0B23"/>
    <w:rsid w:val="009F36A3"/>
    <w:rsid w:val="009F71D1"/>
    <w:rsid w:val="00A00697"/>
    <w:rsid w:val="00A00A3F"/>
    <w:rsid w:val="00A01326"/>
    <w:rsid w:val="00A01489"/>
    <w:rsid w:val="00A053B0"/>
    <w:rsid w:val="00A12786"/>
    <w:rsid w:val="00A138B2"/>
    <w:rsid w:val="00A14A4D"/>
    <w:rsid w:val="00A1546E"/>
    <w:rsid w:val="00A15606"/>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2A6"/>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B1BAC"/>
    <w:rsid w:val="00AC1563"/>
    <w:rsid w:val="00AC3244"/>
    <w:rsid w:val="00AC38EE"/>
    <w:rsid w:val="00AC3BEE"/>
    <w:rsid w:val="00AC56C3"/>
    <w:rsid w:val="00AC5792"/>
    <w:rsid w:val="00AC6594"/>
    <w:rsid w:val="00AC6C6D"/>
    <w:rsid w:val="00AD0033"/>
    <w:rsid w:val="00AD0670"/>
    <w:rsid w:val="00AD087C"/>
    <w:rsid w:val="00AD6B56"/>
    <w:rsid w:val="00AE02E1"/>
    <w:rsid w:val="00AE03EE"/>
    <w:rsid w:val="00AE7431"/>
    <w:rsid w:val="00AF6850"/>
    <w:rsid w:val="00B048EE"/>
    <w:rsid w:val="00B06136"/>
    <w:rsid w:val="00B10178"/>
    <w:rsid w:val="00B17761"/>
    <w:rsid w:val="00B238A5"/>
    <w:rsid w:val="00B25FAF"/>
    <w:rsid w:val="00B30179"/>
    <w:rsid w:val="00B316DF"/>
    <w:rsid w:val="00B33901"/>
    <w:rsid w:val="00B341FF"/>
    <w:rsid w:val="00B34312"/>
    <w:rsid w:val="00B3524B"/>
    <w:rsid w:val="00B371CD"/>
    <w:rsid w:val="00B41B66"/>
    <w:rsid w:val="00B421C1"/>
    <w:rsid w:val="00B43821"/>
    <w:rsid w:val="00B47053"/>
    <w:rsid w:val="00B50BFB"/>
    <w:rsid w:val="00B50D1A"/>
    <w:rsid w:val="00B51E98"/>
    <w:rsid w:val="00B53C21"/>
    <w:rsid w:val="00B55C71"/>
    <w:rsid w:val="00B56E37"/>
    <w:rsid w:val="00B56E4A"/>
    <w:rsid w:val="00B56E9C"/>
    <w:rsid w:val="00B64B1F"/>
    <w:rsid w:val="00B64CFD"/>
    <w:rsid w:val="00B64F8E"/>
    <w:rsid w:val="00B6553F"/>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90D"/>
    <w:rsid w:val="00BB2CFC"/>
    <w:rsid w:val="00BB3C8F"/>
    <w:rsid w:val="00BB646D"/>
    <w:rsid w:val="00BB669F"/>
    <w:rsid w:val="00BC14F0"/>
    <w:rsid w:val="00BC3FA0"/>
    <w:rsid w:val="00BC6ABF"/>
    <w:rsid w:val="00BC74E9"/>
    <w:rsid w:val="00BC7E50"/>
    <w:rsid w:val="00BD0112"/>
    <w:rsid w:val="00BD577B"/>
    <w:rsid w:val="00BE1BD5"/>
    <w:rsid w:val="00BE24CA"/>
    <w:rsid w:val="00BE41AC"/>
    <w:rsid w:val="00BE535B"/>
    <w:rsid w:val="00BE54D3"/>
    <w:rsid w:val="00BE584F"/>
    <w:rsid w:val="00BE740C"/>
    <w:rsid w:val="00BF432D"/>
    <w:rsid w:val="00BF68A8"/>
    <w:rsid w:val="00C04469"/>
    <w:rsid w:val="00C044CF"/>
    <w:rsid w:val="00C06463"/>
    <w:rsid w:val="00C0710B"/>
    <w:rsid w:val="00C074E5"/>
    <w:rsid w:val="00C11A03"/>
    <w:rsid w:val="00C14050"/>
    <w:rsid w:val="00C15D44"/>
    <w:rsid w:val="00C22C0C"/>
    <w:rsid w:val="00C23493"/>
    <w:rsid w:val="00C24EC4"/>
    <w:rsid w:val="00C27BD6"/>
    <w:rsid w:val="00C27EEB"/>
    <w:rsid w:val="00C30E2E"/>
    <w:rsid w:val="00C31046"/>
    <w:rsid w:val="00C31258"/>
    <w:rsid w:val="00C36111"/>
    <w:rsid w:val="00C425BC"/>
    <w:rsid w:val="00C44967"/>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59A"/>
    <w:rsid w:val="00C86E02"/>
    <w:rsid w:val="00C91017"/>
    <w:rsid w:val="00C92308"/>
    <w:rsid w:val="00C953EC"/>
    <w:rsid w:val="00C96DF2"/>
    <w:rsid w:val="00C9755B"/>
    <w:rsid w:val="00CA6DDD"/>
    <w:rsid w:val="00CB17B6"/>
    <w:rsid w:val="00CB3E03"/>
    <w:rsid w:val="00CB7410"/>
    <w:rsid w:val="00CC121D"/>
    <w:rsid w:val="00CC138B"/>
    <w:rsid w:val="00CD3978"/>
    <w:rsid w:val="00CD4AA6"/>
    <w:rsid w:val="00CE4032"/>
    <w:rsid w:val="00CE4A8F"/>
    <w:rsid w:val="00CE5946"/>
    <w:rsid w:val="00CF1FA5"/>
    <w:rsid w:val="00CF263E"/>
    <w:rsid w:val="00CF2B7C"/>
    <w:rsid w:val="00CF7C95"/>
    <w:rsid w:val="00D04B43"/>
    <w:rsid w:val="00D0541A"/>
    <w:rsid w:val="00D05E5E"/>
    <w:rsid w:val="00D12117"/>
    <w:rsid w:val="00D153A7"/>
    <w:rsid w:val="00D2031B"/>
    <w:rsid w:val="00D248B6"/>
    <w:rsid w:val="00D25486"/>
    <w:rsid w:val="00D25FB2"/>
    <w:rsid w:val="00D25FE2"/>
    <w:rsid w:val="00D26E07"/>
    <w:rsid w:val="00D27713"/>
    <w:rsid w:val="00D3203E"/>
    <w:rsid w:val="00D32431"/>
    <w:rsid w:val="00D342A8"/>
    <w:rsid w:val="00D35FE4"/>
    <w:rsid w:val="00D37F8F"/>
    <w:rsid w:val="00D41A20"/>
    <w:rsid w:val="00D43252"/>
    <w:rsid w:val="00D45E95"/>
    <w:rsid w:val="00D463F7"/>
    <w:rsid w:val="00D46A88"/>
    <w:rsid w:val="00D46D61"/>
    <w:rsid w:val="00D47EEA"/>
    <w:rsid w:val="00D51801"/>
    <w:rsid w:val="00D54E2A"/>
    <w:rsid w:val="00D5792F"/>
    <w:rsid w:val="00D60A2A"/>
    <w:rsid w:val="00D6155A"/>
    <w:rsid w:val="00D66211"/>
    <w:rsid w:val="00D70083"/>
    <w:rsid w:val="00D7124A"/>
    <w:rsid w:val="00D75C92"/>
    <w:rsid w:val="00D773DF"/>
    <w:rsid w:val="00D84D1A"/>
    <w:rsid w:val="00D84F14"/>
    <w:rsid w:val="00D92E08"/>
    <w:rsid w:val="00D94543"/>
    <w:rsid w:val="00D94A0D"/>
    <w:rsid w:val="00D95303"/>
    <w:rsid w:val="00D95D10"/>
    <w:rsid w:val="00D96F8B"/>
    <w:rsid w:val="00D978C6"/>
    <w:rsid w:val="00D97FCD"/>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2082"/>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15E7"/>
    <w:rsid w:val="00E62AFD"/>
    <w:rsid w:val="00E64F19"/>
    <w:rsid w:val="00E70559"/>
    <w:rsid w:val="00E71BC8"/>
    <w:rsid w:val="00E7260F"/>
    <w:rsid w:val="00E726E5"/>
    <w:rsid w:val="00E72A06"/>
    <w:rsid w:val="00E73F5D"/>
    <w:rsid w:val="00E74454"/>
    <w:rsid w:val="00E76341"/>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B6C45"/>
    <w:rsid w:val="00EC1006"/>
    <w:rsid w:val="00EC3778"/>
    <w:rsid w:val="00EC5B5A"/>
    <w:rsid w:val="00EC5F72"/>
    <w:rsid w:val="00ED09AC"/>
    <w:rsid w:val="00ED46C6"/>
    <w:rsid w:val="00ED5D0B"/>
    <w:rsid w:val="00ED5F6E"/>
    <w:rsid w:val="00ED72B5"/>
    <w:rsid w:val="00ED754F"/>
    <w:rsid w:val="00ED7A2A"/>
    <w:rsid w:val="00EE0B1C"/>
    <w:rsid w:val="00EE40EF"/>
    <w:rsid w:val="00EE5C63"/>
    <w:rsid w:val="00EE5FCD"/>
    <w:rsid w:val="00EF088A"/>
    <w:rsid w:val="00EF1D7F"/>
    <w:rsid w:val="00EF404C"/>
    <w:rsid w:val="00EF52D2"/>
    <w:rsid w:val="00EF54BA"/>
    <w:rsid w:val="00F01E19"/>
    <w:rsid w:val="00F02C84"/>
    <w:rsid w:val="00F03A60"/>
    <w:rsid w:val="00F05945"/>
    <w:rsid w:val="00F11455"/>
    <w:rsid w:val="00F1224B"/>
    <w:rsid w:val="00F15DC0"/>
    <w:rsid w:val="00F20293"/>
    <w:rsid w:val="00F211B8"/>
    <w:rsid w:val="00F2422D"/>
    <w:rsid w:val="00F2770E"/>
    <w:rsid w:val="00F27DC0"/>
    <w:rsid w:val="00F31279"/>
    <w:rsid w:val="00F31E5F"/>
    <w:rsid w:val="00F43126"/>
    <w:rsid w:val="00F4348A"/>
    <w:rsid w:val="00F435BD"/>
    <w:rsid w:val="00F452EF"/>
    <w:rsid w:val="00F51A5B"/>
    <w:rsid w:val="00F5203B"/>
    <w:rsid w:val="00F531FD"/>
    <w:rsid w:val="00F54668"/>
    <w:rsid w:val="00F55A63"/>
    <w:rsid w:val="00F55ADC"/>
    <w:rsid w:val="00F60E86"/>
    <w:rsid w:val="00F6100A"/>
    <w:rsid w:val="00F724B6"/>
    <w:rsid w:val="00F7336D"/>
    <w:rsid w:val="00F73CB2"/>
    <w:rsid w:val="00F7570D"/>
    <w:rsid w:val="00F80A68"/>
    <w:rsid w:val="00F81727"/>
    <w:rsid w:val="00F836E5"/>
    <w:rsid w:val="00F848F2"/>
    <w:rsid w:val="00F9099D"/>
    <w:rsid w:val="00F93781"/>
    <w:rsid w:val="00F947D6"/>
    <w:rsid w:val="00F9569F"/>
    <w:rsid w:val="00F96D3C"/>
    <w:rsid w:val="00FA09D1"/>
    <w:rsid w:val="00FA7883"/>
    <w:rsid w:val="00FA7AA7"/>
    <w:rsid w:val="00FA7BFA"/>
    <w:rsid w:val="00FB0434"/>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DD6B1A"/>
  <w15:docId w15:val="{63B39951-3BBA-4806-BC2D-C554444C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F8D6-ECE8-4B7E-AD75-BA655584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875</Words>
  <Characters>4989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ECE/TRANS/WP.29/GRE/2018/42</vt:lpstr>
      <vt:lpstr>United Nations</vt:lpstr>
      <vt:lpstr>United Nations</vt:lpstr>
    </vt:vector>
  </TitlesOfParts>
  <Company>CSD</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ECE/TRANS/WP.29/GRE/2018/42</dc:title>
  <dc:subject>1813152</dc:subject>
  <dc:creator>Romain HUBERT</dc:creator>
  <cp:keywords/>
  <dc:description/>
  <cp:lastModifiedBy>Benedicte Boudol</cp:lastModifiedBy>
  <cp:revision>2</cp:revision>
  <cp:lastPrinted>2018-08-07T08:51:00Z</cp:lastPrinted>
  <dcterms:created xsi:type="dcterms:W3CDTF">2018-09-11T13:14:00Z</dcterms:created>
  <dcterms:modified xsi:type="dcterms:W3CDTF">2018-09-11T13:14:00Z</dcterms:modified>
</cp:coreProperties>
</file>