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D293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D2934" w:rsidP="005D2934">
            <w:pPr>
              <w:jc w:val="right"/>
            </w:pPr>
            <w:r w:rsidRPr="005D2934">
              <w:rPr>
                <w:sz w:val="40"/>
              </w:rPr>
              <w:t>ECE</w:t>
            </w:r>
            <w:r>
              <w:t>/TRANS/WP.29/GRE/2018/36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D2934" w:rsidP="00C97039">
            <w:pPr>
              <w:spacing w:before="240"/>
            </w:pPr>
            <w:proofErr w:type="spellStart"/>
            <w:r>
              <w:t>Distr</w:t>
            </w:r>
            <w:proofErr w:type="spellEnd"/>
            <w:r>
              <w:t>. générale</w:t>
            </w:r>
          </w:p>
          <w:p w:rsidR="005D2934" w:rsidRDefault="005D2934" w:rsidP="005D2934">
            <w:pPr>
              <w:spacing w:line="240" w:lineRule="exact"/>
            </w:pPr>
            <w:r>
              <w:t>9 août 2018</w:t>
            </w:r>
          </w:p>
          <w:p w:rsidR="005D2934" w:rsidRDefault="005D2934" w:rsidP="005D2934">
            <w:pPr>
              <w:spacing w:line="240" w:lineRule="exact"/>
            </w:pPr>
            <w:r>
              <w:t>Français</w:t>
            </w:r>
          </w:p>
          <w:p w:rsidR="005D2934" w:rsidRPr="00DB58B5" w:rsidRDefault="005D2934" w:rsidP="005D293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DC741E">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5D2934" w:rsidRDefault="005D2934" w:rsidP="00AF0CB5">
      <w:pPr>
        <w:spacing w:before="120"/>
        <w:rPr>
          <w:b/>
          <w:sz w:val="24"/>
          <w:szCs w:val="24"/>
        </w:rPr>
      </w:pPr>
      <w:r w:rsidRPr="00685843">
        <w:rPr>
          <w:b/>
          <w:sz w:val="24"/>
          <w:szCs w:val="24"/>
        </w:rPr>
        <w:t>Forum mondial de l</w:t>
      </w:r>
      <w:r w:rsidR="00DC741E">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D2934" w:rsidRDefault="005D2934" w:rsidP="00257168">
      <w:pPr>
        <w:spacing w:before="120" w:after="120" w:line="240" w:lineRule="exact"/>
        <w:rPr>
          <w:b/>
        </w:rPr>
      </w:pPr>
      <w:r>
        <w:rPr>
          <w:b/>
        </w:rPr>
        <w:t>Groupe de travail de l</w:t>
      </w:r>
      <w:r w:rsidR="00DC741E">
        <w:rPr>
          <w:b/>
        </w:rPr>
        <w:t>’</w:t>
      </w:r>
      <w:r>
        <w:rPr>
          <w:b/>
        </w:rPr>
        <w:t>éclairage et de la signalisation lumineuse</w:t>
      </w:r>
    </w:p>
    <w:p w:rsidR="005D2934" w:rsidRDefault="00DC741E" w:rsidP="00257168">
      <w:pPr>
        <w:spacing w:before="120" w:line="240" w:lineRule="exact"/>
        <w:rPr>
          <w:b/>
        </w:rPr>
      </w:pPr>
      <w:r>
        <w:rPr>
          <w:b/>
        </w:rPr>
        <w:t>Quatre-vingtième</w:t>
      </w:r>
      <w:r w:rsidR="005D2934">
        <w:rPr>
          <w:b/>
        </w:rPr>
        <w:t xml:space="preserve"> session</w:t>
      </w:r>
    </w:p>
    <w:p w:rsidR="005D2934" w:rsidRDefault="00DC741E" w:rsidP="00257168">
      <w:pPr>
        <w:spacing w:line="240" w:lineRule="exact"/>
      </w:pPr>
      <w:r>
        <w:t>Genève, 23-26 octobre 2018</w:t>
      </w:r>
    </w:p>
    <w:p w:rsidR="005D2934" w:rsidRDefault="005D2934" w:rsidP="00257168">
      <w:pPr>
        <w:spacing w:line="240" w:lineRule="exact"/>
      </w:pPr>
      <w:r>
        <w:t xml:space="preserve">Point </w:t>
      </w:r>
      <w:r w:rsidR="00DC741E">
        <w:t>4</w:t>
      </w:r>
      <w:r>
        <w:t xml:space="preserve"> de l</w:t>
      </w:r>
      <w:r w:rsidR="00DC741E">
        <w:t>’</w:t>
      </w:r>
      <w:r>
        <w:t>ordre du jour</w:t>
      </w:r>
      <w:r w:rsidR="00DC741E">
        <w:t xml:space="preserve"> provisoire</w:t>
      </w:r>
    </w:p>
    <w:p w:rsidR="00DC741E" w:rsidRPr="00DC741E" w:rsidRDefault="00DC741E" w:rsidP="00DC741E">
      <w:pPr>
        <w:spacing w:line="240" w:lineRule="exact"/>
        <w:rPr>
          <w:b/>
        </w:rPr>
      </w:pPr>
      <w:r w:rsidRPr="00DC741E">
        <w:rPr>
          <w:b/>
        </w:rPr>
        <w:t xml:space="preserve">Simplification des Règlements </w:t>
      </w:r>
      <w:r w:rsidR="002343A0">
        <w:rPr>
          <w:b/>
        </w:rPr>
        <w:t xml:space="preserve">ONU </w:t>
      </w:r>
      <w:r w:rsidRPr="00DC741E">
        <w:rPr>
          <w:b/>
        </w:rPr>
        <w:t>concernant l</w:t>
      </w:r>
      <w:r>
        <w:rPr>
          <w:b/>
        </w:rPr>
        <w:t>’</w:t>
      </w:r>
      <w:r w:rsidRPr="00DC741E">
        <w:rPr>
          <w:b/>
        </w:rPr>
        <w:t>éclairage</w:t>
      </w:r>
      <w:r>
        <w:rPr>
          <w:b/>
        </w:rPr>
        <w:t xml:space="preserve"> </w:t>
      </w:r>
      <w:r>
        <w:rPr>
          <w:b/>
        </w:rPr>
        <w:br/>
        <w:t>et la signalisation lumineuse</w:t>
      </w:r>
    </w:p>
    <w:p w:rsidR="00DC741E" w:rsidRPr="00B60FDE" w:rsidRDefault="00DC741E" w:rsidP="00DC741E">
      <w:pPr>
        <w:pStyle w:val="HChG"/>
      </w:pPr>
      <w:r w:rsidRPr="00B60FDE">
        <w:rPr>
          <w:lang w:val="fr-FR"/>
        </w:rPr>
        <w:tab/>
      </w:r>
      <w:r w:rsidRPr="00B60FDE">
        <w:rPr>
          <w:lang w:val="fr-FR"/>
        </w:rPr>
        <w:tab/>
        <w:t xml:space="preserve">Proposition visant à améliorer et à préciser le texte </w:t>
      </w:r>
      <w:r>
        <w:rPr>
          <w:lang w:val="fr-FR"/>
        </w:rPr>
        <w:br/>
      </w:r>
      <w:r w:rsidRPr="00B60FDE">
        <w:rPr>
          <w:lang w:val="fr-FR"/>
        </w:rPr>
        <w:t xml:space="preserve">du </w:t>
      </w:r>
      <w:r w:rsidRPr="00DC741E">
        <w:t>Règlement</w:t>
      </w:r>
      <w:r w:rsidRPr="00B60FDE">
        <w:rPr>
          <w:lang w:val="fr-FR"/>
        </w:rPr>
        <w:t xml:space="preserve"> </w:t>
      </w:r>
      <w:r w:rsidR="002343A0">
        <w:rPr>
          <w:lang w:val="fr-FR"/>
        </w:rPr>
        <w:t xml:space="preserve">ONU </w:t>
      </w:r>
      <w:r w:rsidRPr="00B60FDE">
        <w:rPr>
          <w:lang w:val="fr-FR"/>
        </w:rPr>
        <w:t xml:space="preserve">concernant les dispositifs </w:t>
      </w:r>
      <w:r>
        <w:rPr>
          <w:lang w:val="fr-FR"/>
        </w:rPr>
        <w:br/>
      </w:r>
      <w:r w:rsidRPr="00B60FDE">
        <w:rPr>
          <w:lang w:val="fr-FR"/>
        </w:rPr>
        <w:t xml:space="preserve">de signalisation lumineuse </w:t>
      </w:r>
    </w:p>
    <w:p w:rsidR="00DC741E" w:rsidRPr="00B60FDE" w:rsidRDefault="00DC741E" w:rsidP="00DC741E">
      <w:pPr>
        <w:pStyle w:val="H1G"/>
        <w:rPr>
          <w:szCs w:val="24"/>
        </w:rPr>
      </w:pPr>
      <w:r>
        <w:tab/>
      </w:r>
      <w:r>
        <w:tab/>
      </w:r>
      <w:r w:rsidRPr="00DC741E">
        <w:t>Communication</w:t>
      </w:r>
      <w:r w:rsidRPr="00B60FDE">
        <w:rPr>
          <w:lang w:val="fr-FR"/>
        </w:rPr>
        <w:t xml:space="preserve"> du groupe de travail informel </w:t>
      </w:r>
      <w:r w:rsidR="00B735CF">
        <w:rPr>
          <w:lang w:val="fr-FR"/>
        </w:rPr>
        <w:br/>
      </w:r>
      <w:r w:rsidRPr="00B60FDE">
        <w:rPr>
          <w:lang w:val="fr-FR"/>
        </w:rPr>
        <w:t xml:space="preserve">de la simplification des Règlements relatifs à </w:t>
      </w:r>
      <w:r w:rsidR="00B735CF">
        <w:rPr>
          <w:lang w:val="fr-FR"/>
        </w:rPr>
        <w:br/>
      </w:r>
      <w:r w:rsidRPr="00B60FDE">
        <w:rPr>
          <w:lang w:val="fr-FR"/>
        </w:rPr>
        <w:t>l</w:t>
      </w:r>
      <w:r>
        <w:rPr>
          <w:lang w:val="fr-FR"/>
        </w:rPr>
        <w:t>’</w:t>
      </w:r>
      <w:r w:rsidRPr="00B60FDE">
        <w:rPr>
          <w:lang w:val="fr-FR"/>
        </w:rPr>
        <w:t>éclairage et à la signalisation lumineuse</w:t>
      </w:r>
      <w:r w:rsidRPr="00DC741E">
        <w:rPr>
          <w:rStyle w:val="FootnoteReference"/>
          <w:b w:val="0"/>
          <w:sz w:val="20"/>
          <w:vertAlign w:val="baseline"/>
        </w:rPr>
        <w:footnoteReference w:customMarkFollows="1" w:id="2"/>
        <w:t>*</w:t>
      </w:r>
    </w:p>
    <w:p w:rsidR="001701F4" w:rsidRDefault="001701F4" w:rsidP="00DC741E">
      <w:pPr>
        <w:pStyle w:val="SingleTxtG"/>
        <w:rPr>
          <w:lang w:val="fr-FR"/>
        </w:rPr>
      </w:pPr>
      <w:r>
        <w:rPr>
          <w:lang w:val="fr-FR"/>
        </w:rPr>
        <w:tab/>
      </w:r>
      <w:r w:rsidR="00DC741E" w:rsidRPr="00B60FDE">
        <w:rPr>
          <w:lang w:val="fr-FR"/>
        </w:rPr>
        <w:t>Le texte ci-après, établi par le groupe de travail informel de la simplification des Règlements relatifs à l</w:t>
      </w:r>
      <w:r w:rsidR="00DC741E">
        <w:rPr>
          <w:lang w:val="fr-FR"/>
        </w:rPr>
        <w:t>’</w:t>
      </w:r>
      <w:r w:rsidR="00DC741E" w:rsidRPr="00B60FDE">
        <w:rPr>
          <w:lang w:val="fr-FR"/>
        </w:rPr>
        <w:t xml:space="preserve">éclairage et à la </w:t>
      </w:r>
      <w:r w:rsidR="00DC741E" w:rsidRPr="00DC741E">
        <w:t>signalisation</w:t>
      </w:r>
      <w:r w:rsidR="00DC741E" w:rsidRPr="00B60FDE">
        <w:rPr>
          <w:lang w:val="fr-FR"/>
        </w:rPr>
        <w:t xml:space="preserve"> lumineuse, vise à améliorer et à préciser le texte du nouveau Règlement</w:t>
      </w:r>
      <w:r w:rsidR="002343A0">
        <w:rPr>
          <w:lang w:val="fr-FR"/>
        </w:rPr>
        <w:t xml:space="preserve"> ONU</w:t>
      </w:r>
      <w:r w:rsidR="00DC741E" w:rsidRPr="00B60FDE">
        <w:rPr>
          <w:lang w:val="fr-FR"/>
        </w:rPr>
        <w:t xml:space="preserve"> concernant les dispositifs de signalisation lumineuse. Les modifications qu</w:t>
      </w:r>
      <w:r w:rsidR="00DC741E">
        <w:rPr>
          <w:lang w:val="fr-FR"/>
        </w:rPr>
        <w:t>’</w:t>
      </w:r>
      <w:r w:rsidR="00DC741E" w:rsidRPr="00B60FDE">
        <w:rPr>
          <w:lang w:val="fr-FR"/>
        </w:rPr>
        <w:t>il est proposé d</w:t>
      </w:r>
      <w:r w:rsidR="00DC741E">
        <w:rPr>
          <w:lang w:val="fr-FR"/>
        </w:rPr>
        <w:t>’</w:t>
      </w:r>
      <w:r w:rsidR="00DC741E" w:rsidRPr="00B60FDE">
        <w:rPr>
          <w:lang w:val="fr-FR"/>
        </w:rPr>
        <w:t>apporter figurent en caractères gras pour les ajouts et biffés pour les suppressions.</w:t>
      </w:r>
    </w:p>
    <w:p w:rsidR="00DC741E" w:rsidRPr="00B60FDE" w:rsidRDefault="001701F4" w:rsidP="001701F4">
      <w:pPr>
        <w:pStyle w:val="HChG"/>
      </w:pPr>
      <w:r>
        <w:rPr>
          <w:lang w:val="fr-FR"/>
        </w:rPr>
        <w:br w:type="page"/>
      </w:r>
      <w:r>
        <w:rPr>
          <w:lang w:val="fr-FR"/>
        </w:rPr>
        <w:lastRenderedPageBreak/>
        <w:tab/>
      </w:r>
      <w:r w:rsidR="00DC741E" w:rsidRPr="00B60FDE">
        <w:rPr>
          <w:lang w:val="fr-FR"/>
        </w:rPr>
        <w:t>I.</w:t>
      </w:r>
      <w:r w:rsidR="00DC741E" w:rsidRPr="00B60FDE">
        <w:rPr>
          <w:lang w:val="fr-FR"/>
        </w:rPr>
        <w:tab/>
      </w:r>
      <w:r w:rsidR="00DC741E" w:rsidRPr="00DC741E">
        <w:t>Proposition</w:t>
      </w:r>
    </w:p>
    <w:p w:rsidR="00DC741E" w:rsidRPr="00B60FDE" w:rsidRDefault="00DC741E" w:rsidP="00DC741E">
      <w:pPr>
        <w:pStyle w:val="SingleTxtG"/>
      </w:pPr>
      <w:r w:rsidRPr="001701F4">
        <w:rPr>
          <w:i/>
          <w:lang w:val="fr-FR"/>
        </w:rPr>
        <w:t>Paragraphe 2.1</w:t>
      </w:r>
      <w:r w:rsidR="001701F4">
        <w:rPr>
          <w:lang w:val="fr-FR"/>
        </w:rPr>
        <w:t>, lire </w:t>
      </w:r>
      <w:r w:rsidRPr="00B60FDE">
        <w:rPr>
          <w:lang w:val="fr-FR"/>
        </w:rPr>
        <w:t>:</w:t>
      </w:r>
    </w:p>
    <w:p w:rsidR="00DC741E" w:rsidRPr="00B60FDE" w:rsidRDefault="00DC741E" w:rsidP="001701F4">
      <w:pPr>
        <w:pStyle w:val="SingleTxtG"/>
        <w:ind w:left="1843" w:hanging="709"/>
        <w:rPr>
          <w:bCs/>
        </w:rPr>
      </w:pPr>
      <w:r w:rsidRPr="00B60FDE">
        <w:t>« </w:t>
      </w:r>
      <w:r w:rsidRPr="00B60FDE">
        <w:rPr>
          <w:lang w:val="fr-FR"/>
        </w:rPr>
        <w:t>2.1</w:t>
      </w:r>
      <w:r w:rsidRPr="00B60FDE">
        <w:rPr>
          <w:lang w:val="fr-FR"/>
        </w:rPr>
        <w:tab/>
      </w:r>
      <w:r w:rsidRPr="00B60FDE">
        <w:rPr>
          <w:bCs/>
          <w:lang w:val="fr-FR"/>
        </w:rPr>
        <w:t>Sauf indication contraire</w:t>
      </w:r>
      <w:r w:rsidRPr="00B60FDE">
        <w:rPr>
          <w:b/>
          <w:bCs/>
          <w:lang w:val="fr-FR"/>
        </w:rPr>
        <w:t xml:space="preserve"> dans le présent Règlement </w:t>
      </w:r>
      <w:r w:rsidR="002343A0">
        <w:rPr>
          <w:b/>
          <w:bCs/>
          <w:lang w:val="fr-FR"/>
        </w:rPr>
        <w:t xml:space="preserve">ONU </w:t>
      </w:r>
      <w:r w:rsidRPr="00B60FDE">
        <w:rPr>
          <w:b/>
          <w:bCs/>
          <w:lang w:val="fr-FR"/>
        </w:rPr>
        <w:t xml:space="preserve">ou dans les Règlements </w:t>
      </w:r>
      <w:r w:rsidR="002343A0">
        <w:rPr>
          <w:b/>
          <w:bCs/>
          <w:lang w:val="fr-FR"/>
        </w:rPr>
        <w:t xml:space="preserve">ONU </w:t>
      </w:r>
      <w:r w:rsidRPr="00B60FDE">
        <w:rPr>
          <w:b/>
          <w:bCs/>
          <w:lang w:val="fr-FR"/>
        </w:rPr>
        <w:t>n</w:t>
      </w:r>
      <w:r w:rsidRPr="00B60FDE">
        <w:rPr>
          <w:b/>
          <w:bCs/>
          <w:vertAlign w:val="superscript"/>
          <w:lang w:val="fr-FR"/>
        </w:rPr>
        <w:t>os</w:t>
      </w:r>
      <w:r w:rsidR="001701F4">
        <w:rPr>
          <w:b/>
          <w:bCs/>
          <w:lang w:val="fr-FR"/>
        </w:rPr>
        <w:t> </w:t>
      </w:r>
      <w:r w:rsidRPr="00B60FDE">
        <w:rPr>
          <w:b/>
          <w:bCs/>
          <w:lang w:val="fr-FR"/>
        </w:rPr>
        <w:t>53, 74 et 86 concernant l</w:t>
      </w:r>
      <w:r>
        <w:rPr>
          <w:b/>
          <w:bCs/>
          <w:lang w:val="fr-FR"/>
        </w:rPr>
        <w:t>’</w:t>
      </w:r>
      <w:r w:rsidRPr="00B60FDE">
        <w:rPr>
          <w:b/>
          <w:bCs/>
          <w:lang w:val="fr-FR"/>
        </w:rPr>
        <w:t>installation</w:t>
      </w:r>
      <w:r w:rsidRPr="00B60FDE">
        <w:rPr>
          <w:lang w:val="fr-FR"/>
        </w:rPr>
        <w:t xml:space="preserve">, toutes les définitions figurant dans le Règlement </w:t>
      </w:r>
      <w:r w:rsidR="002343A0">
        <w:rPr>
          <w:lang w:val="fr-FR"/>
        </w:rPr>
        <w:t xml:space="preserve">ONU </w:t>
      </w:r>
      <w:r w:rsidRPr="00B60FDE">
        <w:rPr>
          <w:lang w:val="fr-FR"/>
        </w:rPr>
        <w:t>n</w:t>
      </w:r>
      <w:r w:rsidRPr="00B60FDE">
        <w:rPr>
          <w:vertAlign w:val="superscript"/>
          <w:lang w:val="fr-FR"/>
        </w:rPr>
        <w:t>o</w:t>
      </w:r>
      <w:r w:rsidRPr="00B60FDE">
        <w:rPr>
          <w:lang w:val="fr-FR"/>
        </w:rPr>
        <w:t xml:space="preserve"> 48 et les amendements y relatifs en vigueur à la date de la demande d</w:t>
      </w:r>
      <w:r>
        <w:rPr>
          <w:lang w:val="fr-FR"/>
        </w:rPr>
        <w:t>’</w:t>
      </w:r>
      <w:r w:rsidRPr="00B60FDE">
        <w:rPr>
          <w:lang w:val="fr-FR"/>
        </w:rPr>
        <w:t>homologation de type sont applicables. »</w:t>
      </w:r>
      <w:r w:rsidR="001701F4">
        <w:rPr>
          <w:lang w:val="fr-FR"/>
        </w:rPr>
        <w:t>.</w:t>
      </w:r>
    </w:p>
    <w:p w:rsidR="00DC741E" w:rsidRPr="00B60FDE" w:rsidRDefault="001701F4" w:rsidP="001701F4">
      <w:pPr>
        <w:pStyle w:val="HChG"/>
        <w:rPr>
          <w:szCs w:val="22"/>
        </w:rPr>
      </w:pPr>
      <w:r>
        <w:rPr>
          <w:lang w:val="fr-FR"/>
        </w:rPr>
        <w:tab/>
      </w:r>
      <w:r w:rsidR="00DC741E" w:rsidRPr="00B60FDE">
        <w:rPr>
          <w:lang w:val="fr-FR"/>
        </w:rPr>
        <w:t>II.</w:t>
      </w:r>
      <w:r w:rsidR="00DC741E" w:rsidRPr="00B60FDE">
        <w:rPr>
          <w:lang w:val="fr-FR"/>
        </w:rPr>
        <w:tab/>
      </w:r>
      <w:r w:rsidR="00DC741E" w:rsidRPr="001701F4">
        <w:t>Justification</w:t>
      </w:r>
    </w:p>
    <w:p w:rsidR="00DC741E" w:rsidRPr="00B60FDE" w:rsidRDefault="00DC741E" w:rsidP="00DC741E">
      <w:pPr>
        <w:pStyle w:val="SingleTxtG"/>
        <w:rPr>
          <w:lang w:val="fr-FR"/>
        </w:rPr>
      </w:pPr>
      <w:r w:rsidRPr="00B60FDE">
        <w:rPr>
          <w:lang w:val="fr-FR"/>
        </w:rPr>
        <w:t>1.</w:t>
      </w:r>
      <w:r w:rsidRPr="00B60FDE">
        <w:rPr>
          <w:lang w:val="fr-FR"/>
        </w:rPr>
        <w:tab/>
        <w:t>Même si l</w:t>
      </w:r>
      <w:r>
        <w:rPr>
          <w:lang w:val="fr-FR"/>
        </w:rPr>
        <w:t>’</w:t>
      </w:r>
      <w:r w:rsidRPr="00B60FDE">
        <w:rPr>
          <w:lang w:val="fr-FR"/>
        </w:rPr>
        <w:t>expression « sauf indication contraire » figure déjà dans le texte du Règlement, le groupe de travail informel estime qu</w:t>
      </w:r>
      <w:r>
        <w:rPr>
          <w:lang w:val="fr-FR"/>
        </w:rPr>
        <w:t>’</w:t>
      </w:r>
      <w:r w:rsidRPr="00B60FDE">
        <w:rPr>
          <w:lang w:val="fr-FR"/>
        </w:rPr>
        <w:t>il était préférable, par souci de clarté, de préciser les Règlements</w:t>
      </w:r>
      <w:r w:rsidR="00792C85">
        <w:rPr>
          <w:lang w:val="fr-FR"/>
        </w:rPr>
        <w:t xml:space="preserve"> ONU</w:t>
      </w:r>
      <w:r w:rsidRPr="00B60FDE">
        <w:rPr>
          <w:lang w:val="fr-FR"/>
        </w:rPr>
        <w:t xml:space="preserve"> relatifs à d</w:t>
      </w:r>
      <w:r>
        <w:rPr>
          <w:lang w:val="fr-FR"/>
        </w:rPr>
        <w:t>’</w:t>
      </w:r>
      <w:r w:rsidRPr="00B60FDE">
        <w:rPr>
          <w:lang w:val="fr-FR"/>
        </w:rPr>
        <w:t>autres catégories de véhicules dans le paragraphe portant sur les définitions.</w:t>
      </w:r>
    </w:p>
    <w:p w:rsidR="00F9573C" w:rsidRDefault="00DC741E" w:rsidP="00DC741E">
      <w:pPr>
        <w:pStyle w:val="SingleTxtG"/>
        <w:rPr>
          <w:lang w:val="fr-FR"/>
        </w:rPr>
      </w:pPr>
      <w:r w:rsidRPr="00B60FDE">
        <w:rPr>
          <w:lang w:val="fr-FR"/>
        </w:rPr>
        <w:t>2.</w:t>
      </w:r>
      <w:r w:rsidRPr="00B60FDE">
        <w:rPr>
          <w:lang w:val="fr-FR"/>
        </w:rPr>
        <w:tab/>
        <w:t>Si la proposition est adoptée par le Groupe de travail de l</w:t>
      </w:r>
      <w:r>
        <w:rPr>
          <w:lang w:val="fr-FR"/>
        </w:rPr>
        <w:t>’</w:t>
      </w:r>
      <w:r w:rsidRPr="00B60FDE">
        <w:rPr>
          <w:lang w:val="fr-FR"/>
        </w:rPr>
        <w:t>éclairage et de la signalisation lumineuse (GRE) à sa quatre-vingtième session en octobre 2018, elle pourra être transmise, en tant que document informel, au Forum mondial de l</w:t>
      </w:r>
      <w:r>
        <w:rPr>
          <w:lang w:val="fr-FR"/>
        </w:rPr>
        <w:t>’</w:t>
      </w:r>
      <w:r w:rsidRPr="00B60FDE">
        <w:rPr>
          <w:lang w:val="fr-FR"/>
        </w:rPr>
        <w:t>harmonisation des Règlements concernant les véhicules (WP.29) pour examen à sa session de novembre 2018, en même temps que la proposition officielle portant sur le Règlement concernant les dispositifs de signalisation lumineuse. De cette manière, le WP.29 pourra dès le départ adopter une version améliorée du texte en novembre 2018.</w:t>
      </w:r>
    </w:p>
    <w:p w:rsidR="00DC741E" w:rsidRPr="00DC741E" w:rsidRDefault="00DC741E" w:rsidP="00DC741E">
      <w:pPr>
        <w:pStyle w:val="SingleTxtG"/>
        <w:spacing w:before="240" w:after="0"/>
        <w:jc w:val="center"/>
        <w:rPr>
          <w:u w:val="single"/>
        </w:rPr>
      </w:pPr>
      <w:r>
        <w:rPr>
          <w:u w:val="single"/>
        </w:rPr>
        <w:tab/>
      </w:r>
      <w:r>
        <w:rPr>
          <w:u w:val="single"/>
        </w:rPr>
        <w:tab/>
      </w:r>
      <w:r>
        <w:rPr>
          <w:u w:val="single"/>
        </w:rPr>
        <w:tab/>
      </w:r>
    </w:p>
    <w:sectPr w:rsidR="00DC741E" w:rsidRPr="00DC741E" w:rsidSect="005D293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5A1" w:rsidRDefault="00E475A1" w:rsidP="00F95C08">
      <w:pPr>
        <w:spacing w:line="240" w:lineRule="auto"/>
      </w:pPr>
    </w:p>
  </w:endnote>
  <w:endnote w:type="continuationSeparator" w:id="0">
    <w:p w:rsidR="00E475A1" w:rsidRPr="00AC3823" w:rsidRDefault="00E475A1" w:rsidP="00AC3823">
      <w:pPr>
        <w:pStyle w:val="Footer"/>
      </w:pPr>
    </w:p>
  </w:endnote>
  <w:endnote w:type="continuationNotice" w:id="1">
    <w:p w:rsidR="00E475A1" w:rsidRDefault="00E475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934" w:rsidRPr="005D2934" w:rsidRDefault="005D2934" w:rsidP="005D2934">
    <w:pPr>
      <w:pStyle w:val="Footer"/>
      <w:tabs>
        <w:tab w:val="right" w:pos="9638"/>
      </w:tabs>
    </w:pPr>
    <w:r w:rsidRPr="005D2934">
      <w:rPr>
        <w:b/>
        <w:sz w:val="18"/>
      </w:rPr>
      <w:fldChar w:fldCharType="begin"/>
    </w:r>
    <w:r w:rsidRPr="005D2934">
      <w:rPr>
        <w:b/>
        <w:sz w:val="18"/>
      </w:rPr>
      <w:instrText xml:space="preserve"> PAGE  \* MERGEFORMAT </w:instrText>
    </w:r>
    <w:r w:rsidRPr="005D2934">
      <w:rPr>
        <w:b/>
        <w:sz w:val="18"/>
      </w:rPr>
      <w:fldChar w:fldCharType="separate"/>
    </w:r>
    <w:r w:rsidR="004311EE">
      <w:rPr>
        <w:b/>
        <w:noProof/>
        <w:sz w:val="18"/>
      </w:rPr>
      <w:t>2</w:t>
    </w:r>
    <w:r w:rsidRPr="005D2934">
      <w:rPr>
        <w:b/>
        <w:sz w:val="18"/>
      </w:rPr>
      <w:fldChar w:fldCharType="end"/>
    </w:r>
    <w:r>
      <w:rPr>
        <w:b/>
        <w:sz w:val="18"/>
      </w:rPr>
      <w:tab/>
    </w:r>
    <w:r>
      <w:t>GE.18-13086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934" w:rsidRPr="005D2934" w:rsidRDefault="005D2934" w:rsidP="005D2934">
    <w:pPr>
      <w:pStyle w:val="Footer"/>
      <w:tabs>
        <w:tab w:val="right" w:pos="9638"/>
      </w:tabs>
      <w:rPr>
        <w:b/>
        <w:sz w:val="18"/>
      </w:rPr>
    </w:pPr>
    <w:r>
      <w:t>GE.18-13086</w:t>
    </w:r>
    <w:r>
      <w:tab/>
    </w:r>
    <w:r w:rsidRPr="005D2934">
      <w:rPr>
        <w:b/>
        <w:sz w:val="18"/>
      </w:rPr>
      <w:fldChar w:fldCharType="begin"/>
    </w:r>
    <w:r w:rsidRPr="005D2934">
      <w:rPr>
        <w:b/>
        <w:sz w:val="18"/>
      </w:rPr>
      <w:instrText xml:space="preserve"> PAGE  \* MERGEFORMAT </w:instrText>
    </w:r>
    <w:r w:rsidRPr="005D2934">
      <w:rPr>
        <w:b/>
        <w:sz w:val="18"/>
      </w:rPr>
      <w:fldChar w:fldCharType="separate"/>
    </w:r>
    <w:r w:rsidR="00F4797A">
      <w:rPr>
        <w:b/>
        <w:noProof/>
        <w:sz w:val="18"/>
      </w:rPr>
      <w:t>2</w:t>
    </w:r>
    <w:r w:rsidRPr="005D29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5D2934" w:rsidRDefault="005D2934" w:rsidP="005D2934">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18-13086  (F)</w:t>
    </w:r>
    <w:r w:rsidR="000A155C">
      <w:rPr>
        <w:sz w:val="20"/>
      </w:rPr>
      <w:t xml:space="preserve">    030918    070918</w:t>
    </w:r>
    <w:r>
      <w:rPr>
        <w:sz w:val="20"/>
      </w:rPr>
      <w:br/>
    </w:r>
    <w:r w:rsidRPr="005D2934">
      <w:rPr>
        <w:rFonts w:ascii="C39T30Lfz" w:hAnsi="C39T30Lfz"/>
        <w:sz w:val="56"/>
      </w:rPr>
      <w:t></w:t>
    </w:r>
    <w:r w:rsidRPr="005D2934">
      <w:rPr>
        <w:rFonts w:ascii="C39T30Lfz" w:hAnsi="C39T30Lfz"/>
        <w:sz w:val="56"/>
      </w:rPr>
      <w:t></w:t>
    </w:r>
    <w:r w:rsidRPr="005D2934">
      <w:rPr>
        <w:rFonts w:ascii="C39T30Lfz" w:hAnsi="C39T30Lfz"/>
        <w:sz w:val="56"/>
      </w:rPr>
      <w:t></w:t>
    </w:r>
    <w:r w:rsidRPr="005D2934">
      <w:rPr>
        <w:rFonts w:ascii="C39T30Lfz" w:hAnsi="C39T30Lfz"/>
        <w:sz w:val="56"/>
      </w:rPr>
      <w:t></w:t>
    </w:r>
    <w:r w:rsidRPr="005D2934">
      <w:rPr>
        <w:rFonts w:ascii="C39T30Lfz" w:hAnsi="C39T30Lfz"/>
        <w:sz w:val="56"/>
      </w:rPr>
      <w:t></w:t>
    </w:r>
    <w:r w:rsidRPr="005D2934">
      <w:rPr>
        <w:rFonts w:ascii="C39T30Lfz" w:hAnsi="C39T30Lfz"/>
        <w:sz w:val="56"/>
      </w:rPr>
      <w:t></w:t>
    </w:r>
    <w:r w:rsidRPr="005D2934">
      <w:rPr>
        <w:rFonts w:ascii="C39T30Lfz" w:hAnsi="C39T30Lfz"/>
        <w:sz w:val="56"/>
      </w:rPr>
      <w:t></w:t>
    </w:r>
    <w:r w:rsidRPr="005D2934">
      <w:rPr>
        <w:rFonts w:ascii="C39T30Lfz" w:hAnsi="C39T30Lfz"/>
        <w:sz w:val="56"/>
      </w:rPr>
      <w:t></w:t>
    </w:r>
    <w:r w:rsidRPr="005D293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3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3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5A1" w:rsidRPr="00AC3823" w:rsidRDefault="00E475A1" w:rsidP="00AC3823">
      <w:pPr>
        <w:pStyle w:val="Footer"/>
        <w:tabs>
          <w:tab w:val="right" w:pos="2155"/>
        </w:tabs>
        <w:spacing w:after="80" w:line="240" w:lineRule="atLeast"/>
        <w:ind w:left="680"/>
        <w:rPr>
          <w:u w:val="single"/>
        </w:rPr>
      </w:pPr>
      <w:r>
        <w:rPr>
          <w:u w:val="single"/>
        </w:rPr>
        <w:tab/>
      </w:r>
    </w:p>
  </w:footnote>
  <w:footnote w:type="continuationSeparator" w:id="0">
    <w:p w:rsidR="00E475A1" w:rsidRPr="00AC3823" w:rsidRDefault="00E475A1" w:rsidP="00AC3823">
      <w:pPr>
        <w:pStyle w:val="Footer"/>
        <w:tabs>
          <w:tab w:val="right" w:pos="2155"/>
        </w:tabs>
        <w:spacing w:after="80" w:line="240" w:lineRule="atLeast"/>
        <w:ind w:left="680"/>
        <w:rPr>
          <w:u w:val="single"/>
        </w:rPr>
      </w:pPr>
      <w:r>
        <w:rPr>
          <w:u w:val="single"/>
        </w:rPr>
        <w:tab/>
      </w:r>
    </w:p>
  </w:footnote>
  <w:footnote w:type="continuationNotice" w:id="1">
    <w:p w:rsidR="00E475A1" w:rsidRPr="00AC3823" w:rsidRDefault="00E475A1">
      <w:pPr>
        <w:spacing w:line="240" w:lineRule="auto"/>
        <w:rPr>
          <w:sz w:val="2"/>
          <w:szCs w:val="2"/>
        </w:rPr>
      </w:pPr>
    </w:p>
  </w:footnote>
  <w:footnote w:id="2">
    <w:p w:rsidR="00DC741E" w:rsidRPr="00DC741E" w:rsidRDefault="00DC741E">
      <w:pPr>
        <w:pStyle w:val="FootnoteText"/>
      </w:pPr>
      <w:r>
        <w:rPr>
          <w:rStyle w:val="FootnoteReference"/>
        </w:rPr>
        <w:tab/>
      </w:r>
      <w:r w:rsidRPr="00DC741E">
        <w:rPr>
          <w:rStyle w:val="FootnoteReference"/>
          <w:sz w:val="20"/>
          <w:vertAlign w:val="baseline"/>
        </w:rPr>
        <w:t>*</w:t>
      </w:r>
      <w:r>
        <w:rPr>
          <w:rStyle w:val="FootnoteReference"/>
          <w:sz w:val="20"/>
          <w:vertAlign w:val="baseline"/>
        </w:rPr>
        <w:tab/>
      </w:r>
      <w:r>
        <w:rPr>
          <w:lang w:val="fr-FR"/>
        </w:rPr>
        <w:t xml:space="preserve">Conformément au programme de travail du Comité des transports </w:t>
      </w:r>
      <w:r w:rsidR="002343A0">
        <w:rPr>
          <w:lang w:val="fr-FR"/>
        </w:rPr>
        <w:t>intérieurs pour la période 2018</w:t>
      </w:r>
      <w:r w:rsidR="002343A0">
        <w:rPr>
          <w:lang w:val="fr-FR"/>
        </w:rPr>
        <w:noBreakHyphen/>
      </w:r>
      <w:r>
        <w:rPr>
          <w:lang w:val="fr-FR"/>
        </w:rPr>
        <w:t xml:space="preserve">2019 (ECE/TRANS/274, par. 123, et ECE/TRANS/2018/21/Add.1, module 3.1), le Forum mondial a pour mission d’élaborer, d’harmoniser et de mettre à jour les Règlements </w:t>
      </w:r>
      <w:r w:rsidR="002343A0">
        <w:rPr>
          <w:lang w:val="fr-FR"/>
        </w:rPr>
        <w:t xml:space="preserve">ONU </w:t>
      </w:r>
      <w:r>
        <w:rPr>
          <w:lang w:val="fr-FR"/>
        </w:rPr>
        <w:t>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934" w:rsidRPr="005D2934" w:rsidRDefault="004311EE">
    <w:pPr>
      <w:pStyle w:val="Header"/>
    </w:pPr>
    <w:fldSimple w:instr=" TITLE  \* MERGEFORMAT ">
      <w:r>
        <w:t>ECE/TRANS/WP.29/GRE/2018/36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934" w:rsidRPr="005D2934" w:rsidRDefault="004311EE" w:rsidP="005D2934">
    <w:pPr>
      <w:pStyle w:val="Header"/>
      <w:jc w:val="right"/>
    </w:pPr>
    <w:fldSimple w:instr=" TITLE  \* MERGEFORMAT ">
      <w:r>
        <w:t>ECE/TRANS/WP.29/GRE/2018/36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A1"/>
    <w:rsid w:val="00017F94"/>
    <w:rsid w:val="00023842"/>
    <w:rsid w:val="000334F9"/>
    <w:rsid w:val="00045FEB"/>
    <w:rsid w:val="0007796D"/>
    <w:rsid w:val="000A155C"/>
    <w:rsid w:val="000B7790"/>
    <w:rsid w:val="00111F2F"/>
    <w:rsid w:val="00131270"/>
    <w:rsid w:val="0014365E"/>
    <w:rsid w:val="00143C66"/>
    <w:rsid w:val="001701F4"/>
    <w:rsid w:val="00176178"/>
    <w:rsid w:val="001F525A"/>
    <w:rsid w:val="00223272"/>
    <w:rsid w:val="002343A0"/>
    <w:rsid w:val="0024779E"/>
    <w:rsid w:val="00257168"/>
    <w:rsid w:val="002744B8"/>
    <w:rsid w:val="002832AC"/>
    <w:rsid w:val="002A4177"/>
    <w:rsid w:val="002D7C93"/>
    <w:rsid w:val="00305801"/>
    <w:rsid w:val="003916DE"/>
    <w:rsid w:val="00421996"/>
    <w:rsid w:val="004311EE"/>
    <w:rsid w:val="00441C3B"/>
    <w:rsid w:val="00446FE5"/>
    <w:rsid w:val="00452396"/>
    <w:rsid w:val="004837D8"/>
    <w:rsid w:val="004E2EED"/>
    <w:rsid w:val="004E468C"/>
    <w:rsid w:val="005505B7"/>
    <w:rsid w:val="00573BE5"/>
    <w:rsid w:val="00586ED3"/>
    <w:rsid w:val="00596AA9"/>
    <w:rsid w:val="005D2934"/>
    <w:rsid w:val="00626EA8"/>
    <w:rsid w:val="00633893"/>
    <w:rsid w:val="0071601D"/>
    <w:rsid w:val="00792C85"/>
    <w:rsid w:val="007A62E6"/>
    <w:rsid w:val="007F20FA"/>
    <w:rsid w:val="0080684C"/>
    <w:rsid w:val="00871C75"/>
    <w:rsid w:val="008776DC"/>
    <w:rsid w:val="009446C0"/>
    <w:rsid w:val="009705C8"/>
    <w:rsid w:val="00994090"/>
    <w:rsid w:val="009C1CF4"/>
    <w:rsid w:val="009F6B74"/>
    <w:rsid w:val="00A3029F"/>
    <w:rsid w:val="00A30353"/>
    <w:rsid w:val="00AC3823"/>
    <w:rsid w:val="00AE323C"/>
    <w:rsid w:val="00AF0CB5"/>
    <w:rsid w:val="00B00181"/>
    <w:rsid w:val="00B00B0D"/>
    <w:rsid w:val="00B45F2E"/>
    <w:rsid w:val="00B735CF"/>
    <w:rsid w:val="00B765F7"/>
    <w:rsid w:val="00BA0CA9"/>
    <w:rsid w:val="00BE71A2"/>
    <w:rsid w:val="00C02897"/>
    <w:rsid w:val="00C97039"/>
    <w:rsid w:val="00D3439C"/>
    <w:rsid w:val="00DB1831"/>
    <w:rsid w:val="00DC741E"/>
    <w:rsid w:val="00DD3BFD"/>
    <w:rsid w:val="00DF6678"/>
    <w:rsid w:val="00E0299A"/>
    <w:rsid w:val="00E475A1"/>
    <w:rsid w:val="00E85C74"/>
    <w:rsid w:val="00EA6547"/>
    <w:rsid w:val="00EF2E22"/>
    <w:rsid w:val="00F35BAF"/>
    <w:rsid w:val="00F4797A"/>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43560B-A742-461E-A369-603EB62A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C741E"/>
    <w:rPr>
      <w:rFonts w:ascii="Times New Roman" w:eastAsiaTheme="minorHAnsi" w:hAnsi="Times New Roman" w:cs="Times New Roman"/>
      <w:sz w:val="20"/>
      <w:szCs w:val="20"/>
      <w:lang w:eastAsia="en-US"/>
    </w:rPr>
  </w:style>
  <w:style w:type="character" w:customStyle="1" w:styleId="HChGChar">
    <w:name w:val="_ H _Ch_G Char"/>
    <w:link w:val="HChG"/>
    <w:rsid w:val="00DC741E"/>
    <w:rPr>
      <w:rFonts w:ascii="Times New Roman" w:eastAsiaTheme="minorHAnsi" w:hAnsi="Times New Roman" w:cs="Times New Roman"/>
      <w:b/>
      <w:sz w:val="28"/>
      <w:szCs w:val="20"/>
      <w:lang w:eastAsia="en-US"/>
    </w:rPr>
  </w:style>
  <w:style w:type="character" w:customStyle="1" w:styleId="H1GChar">
    <w:name w:val="_ H_1_G Char"/>
    <w:link w:val="H1G"/>
    <w:rsid w:val="00DC741E"/>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2062</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ECE/TRANS/WP.29/GRE/2018/36</vt:lpstr>
      <vt:lpstr>ECE/TRANS/WP.29/GRE/2018/36</vt:lpstr>
    </vt:vector>
  </TitlesOfParts>
  <Company>DCM</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ECE/TRANS/WP.29/GRE/2018/36</dc:title>
  <dc:subject/>
  <dc:creator>Isabelle VIGNY</dc:creator>
  <cp:keywords/>
  <cp:lastModifiedBy>Benedicte Boudol</cp:lastModifiedBy>
  <cp:revision>2</cp:revision>
  <cp:lastPrinted>2018-09-07T09:58:00Z</cp:lastPrinted>
  <dcterms:created xsi:type="dcterms:W3CDTF">2018-09-07T10:55:00Z</dcterms:created>
  <dcterms:modified xsi:type="dcterms:W3CDTF">2018-09-07T10:55:00Z</dcterms:modified>
</cp:coreProperties>
</file>