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3D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3DF2" w:rsidP="00B83DF2">
            <w:pPr>
              <w:jc w:val="right"/>
            </w:pPr>
            <w:r w:rsidRPr="00B83DF2">
              <w:rPr>
                <w:sz w:val="40"/>
              </w:rPr>
              <w:t>ECE</w:t>
            </w:r>
            <w:r>
              <w:t>/TRANS/WP.29/GRE/2018/31</w:t>
            </w:r>
          </w:p>
        </w:tc>
      </w:tr>
      <w:tr w:rsidR="002D5AAC" w:rsidRPr="00FD51C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3D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3DF2" w:rsidRDefault="00B83DF2" w:rsidP="00B8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August 2018</w:t>
            </w:r>
          </w:p>
          <w:p w:rsidR="00B83DF2" w:rsidRDefault="00B83DF2" w:rsidP="00B8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3DF2" w:rsidRPr="008D53B6" w:rsidRDefault="00B83DF2" w:rsidP="00B83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3DF2" w:rsidRPr="00B83DF2" w:rsidRDefault="00B83DF2" w:rsidP="00B83DF2">
      <w:pPr>
        <w:spacing w:before="120"/>
        <w:rPr>
          <w:sz w:val="28"/>
          <w:szCs w:val="28"/>
        </w:rPr>
      </w:pPr>
      <w:r w:rsidRPr="00B83DF2">
        <w:rPr>
          <w:sz w:val="28"/>
          <w:szCs w:val="28"/>
        </w:rPr>
        <w:t>Комитет по внутреннему транспорту</w:t>
      </w:r>
    </w:p>
    <w:p w:rsidR="00B83DF2" w:rsidRPr="00B83DF2" w:rsidRDefault="00B83DF2" w:rsidP="00B83DF2">
      <w:pPr>
        <w:spacing w:before="120"/>
        <w:rPr>
          <w:b/>
          <w:bCs/>
          <w:sz w:val="24"/>
          <w:szCs w:val="24"/>
        </w:rPr>
      </w:pPr>
      <w:r w:rsidRPr="00B83DF2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семирный форум для согласования</w:t>
      </w:r>
      <w:r w:rsidR="00E97A90">
        <w:rPr>
          <w:b/>
          <w:bCs/>
          <w:color w:val="000000"/>
          <w:sz w:val="24"/>
          <w:szCs w:val="24"/>
        </w:rPr>
        <w:br/>
        <w:t xml:space="preserve">правил </w:t>
      </w:r>
      <w:r w:rsidRPr="00B83DF2">
        <w:rPr>
          <w:b/>
          <w:bCs/>
          <w:color w:val="000000"/>
          <w:sz w:val="24"/>
          <w:szCs w:val="24"/>
        </w:rPr>
        <w:t>в области транспортных средств</w:t>
      </w:r>
    </w:p>
    <w:p w:rsidR="00B83DF2" w:rsidRPr="00622468" w:rsidRDefault="00B83DF2" w:rsidP="00B83DF2">
      <w:pPr>
        <w:spacing w:before="120"/>
        <w:rPr>
          <w:b/>
          <w:bCs/>
        </w:rPr>
      </w:pPr>
      <w:r w:rsidRPr="00622468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>
        <w:rPr>
          <w:b/>
          <w:bCs/>
        </w:rPr>
        <w:br/>
      </w:r>
      <w:r w:rsidRPr="00622468">
        <w:rPr>
          <w:b/>
          <w:bCs/>
        </w:rPr>
        <w:t>и световой сигнализации</w:t>
      </w:r>
    </w:p>
    <w:p w:rsidR="00B83DF2" w:rsidRPr="00622468" w:rsidRDefault="00B83DF2" w:rsidP="00B83DF2">
      <w:pPr>
        <w:spacing w:before="120"/>
        <w:rPr>
          <w:b/>
          <w:bCs/>
        </w:rPr>
      </w:pPr>
      <w:r w:rsidRPr="00622468">
        <w:rPr>
          <w:b/>
          <w:bCs/>
        </w:rPr>
        <w:t>Восьмидесятая сессия</w:t>
      </w:r>
    </w:p>
    <w:p w:rsidR="00B83DF2" w:rsidRPr="00622468" w:rsidRDefault="00B83DF2" w:rsidP="00B83DF2">
      <w:r w:rsidRPr="00622468">
        <w:t>Женева, 23–26 октября 2018 года</w:t>
      </w:r>
    </w:p>
    <w:p w:rsidR="00B83DF2" w:rsidRPr="00622468" w:rsidRDefault="00B83DF2" w:rsidP="00B83DF2">
      <w:pPr>
        <w:rPr>
          <w:b/>
          <w:bCs/>
        </w:rPr>
      </w:pPr>
      <w:r w:rsidRPr="00622468">
        <w:t>Пункт 1 предварительной повестки дня</w:t>
      </w:r>
    </w:p>
    <w:p w:rsidR="00B83DF2" w:rsidRPr="00622468" w:rsidRDefault="00B83DF2" w:rsidP="00B83DF2">
      <w:pPr>
        <w:rPr>
          <w:b/>
          <w:bCs/>
        </w:rPr>
      </w:pPr>
      <w:r w:rsidRPr="00622468">
        <w:rPr>
          <w:b/>
          <w:bCs/>
        </w:rPr>
        <w:t>Утверждение повестки дня</w:t>
      </w:r>
    </w:p>
    <w:p w:rsidR="00B83DF2" w:rsidRPr="00622468" w:rsidRDefault="00B83DF2" w:rsidP="00B83DF2">
      <w:pPr>
        <w:pStyle w:val="HChG"/>
        <w:rPr>
          <w:lang w:val="ru-RU"/>
        </w:rPr>
      </w:pPr>
      <w:bookmarkStart w:id="1" w:name="OLE_LINK2"/>
      <w:r>
        <w:rPr>
          <w:lang w:val="ru-RU"/>
        </w:rPr>
        <w:tab/>
      </w:r>
      <w:r>
        <w:rPr>
          <w:lang w:val="ru-RU"/>
        </w:rPr>
        <w:tab/>
        <w:t xml:space="preserve">Аннотированная предварительная повестка дня </w:t>
      </w:r>
      <w:r w:rsidR="003401D9">
        <w:rPr>
          <w:lang w:val="ru-RU"/>
        </w:rPr>
        <w:t>восьмидесятой</w:t>
      </w:r>
      <w:r>
        <w:rPr>
          <w:lang w:val="ru-RU"/>
        </w:rPr>
        <w:t xml:space="preserve"> сессии</w:t>
      </w:r>
      <w:r w:rsidRPr="00B83DF2">
        <w:rPr>
          <w:rStyle w:val="FootnoteReference"/>
          <w:b w:val="0"/>
          <w:position w:val="6"/>
          <w:szCs w:val="18"/>
          <w:vertAlign w:val="baseline"/>
          <w:lang w:val="ru-RU"/>
        </w:rPr>
        <w:footnoteReference w:customMarkFollows="1" w:id="1"/>
        <w:t>*</w:t>
      </w:r>
      <w:r w:rsidRPr="00B83DF2">
        <w:rPr>
          <w:b w:val="0"/>
          <w:position w:val="6"/>
          <w:sz w:val="18"/>
          <w:szCs w:val="18"/>
          <w:lang w:val="ru-RU"/>
        </w:rPr>
        <w:t xml:space="preserve"> </w:t>
      </w:r>
      <w:r w:rsidRPr="00B83DF2">
        <w:rPr>
          <w:rStyle w:val="FootnoteReference"/>
          <w:b w:val="0"/>
          <w:position w:val="6"/>
          <w:szCs w:val="18"/>
          <w:vertAlign w:val="baseline"/>
          <w:lang w:val="ru-RU"/>
        </w:rPr>
        <w:footnoteReference w:customMarkFollows="1" w:id="2"/>
        <w:t>**</w:t>
      </w:r>
      <w:r w:rsidRPr="00622468">
        <w:rPr>
          <w:b w:val="0"/>
          <w:bCs/>
          <w:lang w:val="ru-RU"/>
        </w:rPr>
        <w:t>,</w:t>
      </w:r>
      <w:bookmarkEnd w:id="1"/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которая состоится во Дворце Наций в Женеве, начнется в 09 ч 30 мин</w:t>
      </w:r>
      <w:r>
        <w:rPr>
          <w:lang w:val="ru-RU"/>
        </w:rPr>
        <w:br/>
        <w:t>23 октября 2018 года и завершится в 12 ч 30 мин 26 октября 2018 года</w:t>
      </w:r>
    </w:p>
    <w:p w:rsidR="00B83DF2" w:rsidRPr="00622468" w:rsidRDefault="00B83DF2" w:rsidP="00B83DF2">
      <w:pPr>
        <w:pStyle w:val="HChG"/>
        <w:rPr>
          <w:lang w:val="ru-RU"/>
        </w:rPr>
      </w:pPr>
      <w:r>
        <w:rPr>
          <w:lang w:val="ru-RU"/>
        </w:rPr>
        <w:tab/>
        <w:t>I.</w:t>
      </w:r>
      <w:r>
        <w:rPr>
          <w:lang w:val="ru-RU"/>
        </w:rPr>
        <w:tab/>
        <w:t>Предварительная повестка дня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Утверждение повестки дня.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Соглашение 1998 года − гл</w:t>
      </w:r>
      <w:r w:rsidR="00E97A90">
        <w:rPr>
          <w:lang w:val="ru-RU"/>
        </w:rPr>
        <w:t>обальные технические правила ООН</w:t>
      </w:r>
      <w:r>
        <w:rPr>
          <w:lang w:val="ru-RU"/>
        </w:rPr>
        <w:t>: разработка.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Соглашение 1997 года – предписания: разработка.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Упрощение правил ООН, касающихся освещения и световой сигнализации.</w:t>
      </w:r>
    </w:p>
    <w:p w:rsidR="00B83DF2" w:rsidRPr="00622468" w:rsidRDefault="00B83DF2" w:rsidP="00B83DF2">
      <w:pPr>
        <w:pStyle w:val="SingleTxtG"/>
        <w:ind w:left="1701" w:hanging="56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Правила № 37 (лампы накаливания), № 99 (</w:t>
      </w:r>
      <w:r w:rsidR="00E97A90">
        <w:rPr>
          <w:lang w:val="ru-RU"/>
        </w:rPr>
        <w:t>газоразрядные источники света),</w:t>
      </w:r>
      <w:r w:rsidR="00E97A90">
        <w:rPr>
          <w:lang w:val="ru-RU"/>
        </w:rPr>
        <w:br/>
      </w:r>
      <w:r>
        <w:rPr>
          <w:lang w:val="ru-RU"/>
        </w:rPr>
        <w:t>№ 128 (источники света на светоизлучающих диодах)</w:t>
      </w:r>
      <w:r w:rsidR="00E97A90" w:rsidRPr="00E97A90">
        <w:rPr>
          <w:lang w:val="ru-RU"/>
        </w:rPr>
        <w:t xml:space="preserve"> </w:t>
      </w:r>
      <w:r w:rsidR="00E97A90">
        <w:rPr>
          <w:lang w:val="ru-RU"/>
        </w:rPr>
        <w:t>ООН</w:t>
      </w:r>
      <w:r>
        <w:rPr>
          <w:lang w:val="ru-RU"/>
        </w:rPr>
        <w:t xml:space="preserve"> и Сводная резолюция по общей спецификации для категорий источников света.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Правила № 48 ООН (установка устройств освещения и световой сигнализации):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tab/>
      </w:r>
      <w:r>
        <w:tab/>
        <w:t>a)</w:t>
      </w:r>
      <w:r>
        <w:tab/>
        <w:t>предложения по поправкам к поправкам серии 05 и 06;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tab/>
      </w:r>
      <w:r>
        <w:tab/>
        <w:t>b)</w:t>
      </w:r>
      <w:r>
        <w:tab/>
        <w:t>прочие предложения по поправкам к Правилам № 48 ООН.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Другие правила ООН:</w:t>
      </w:r>
    </w:p>
    <w:p w:rsidR="00B83DF2" w:rsidRPr="00622468" w:rsidRDefault="00B83DF2" w:rsidP="00B83DF2">
      <w:pPr>
        <w:pStyle w:val="SingleTxtG"/>
        <w:ind w:left="2268" w:hanging="558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Правила № 10 ООН (электромагнитная совместимость);</w:t>
      </w:r>
    </w:p>
    <w:p w:rsidR="00B83DF2" w:rsidRPr="00622468" w:rsidRDefault="00B83DF2" w:rsidP="00B83DF2">
      <w:pPr>
        <w:pStyle w:val="SingleTxtG"/>
        <w:ind w:left="2265" w:hanging="564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Правила № 53 ООН (установка устройств освещения и световой сигнализации для транспортных средств категории L</w:t>
      </w:r>
      <w:r>
        <w:rPr>
          <w:vertAlign w:val="subscript"/>
          <w:lang w:val="ru-RU"/>
        </w:rPr>
        <w:t>3</w:t>
      </w:r>
      <w:r>
        <w:rPr>
          <w:lang w:val="ru-RU"/>
        </w:rPr>
        <w:t>);</w:t>
      </w:r>
    </w:p>
    <w:p w:rsidR="00B83DF2" w:rsidRPr="00622468" w:rsidRDefault="00B83DF2" w:rsidP="00B83DF2">
      <w:pPr>
        <w:pStyle w:val="SingleTxtG"/>
        <w:ind w:left="2265" w:hanging="56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Правила № 74 ООН (установка устройств освещения и световой сигнализации на мопедах).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Прочие вопросы: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поправки к Конвенции о дорожном движении (Вена, 1968 год);</w:t>
      </w:r>
    </w:p>
    <w:p w:rsidR="00B83DF2" w:rsidRPr="00622468" w:rsidRDefault="00B83DF2" w:rsidP="00B83DF2">
      <w:pPr>
        <w:pStyle w:val="SingleTxtG"/>
        <w:ind w:left="2265" w:hanging="564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Десятилетие действий по обеспечению безопасности дорожного движения на 2011−2020 годы;</w:t>
      </w:r>
    </w:p>
    <w:p w:rsidR="00B83DF2" w:rsidRPr="00622468" w:rsidRDefault="00B83DF2" w:rsidP="00B83DF2">
      <w:pPr>
        <w:pStyle w:val="SingleTxtG"/>
        <w:ind w:left="2265" w:hanging="56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разработка международной системы официального утверждения типа комплектного транспортного средства;</w:t>
      </w:r>
    </w:p>
    <w:p w:rsidR="00B83DF2" w:rsidRPr="00622468" w:rsidRDefault="00B83DF2" w:rsidP="00B83DF2">
      <w:pPr>
        <w:pStyle w:val="SingleTxtG"/>
        <w:ind w:left="2265" w:hanging="564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паразитный свет и обесцвечивание.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Новые вопросы и позднее представление документов.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Направления будущей работы GRE.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Предварительная повестка </w:t>
      </w:r>
      <w:r w:rsidR="003401D9">
        <w:rPr>
          <w:lang w:val="ru-RU"/>
        </w:rPr>
        <w:t xml:space="preserve">дня </w:t>
      </w:r>
      <w:r w:rsidR="00C00883">
        <w:rPr>
          <w:lang w:val="ru-RU"/>
        </w:rPr>
        <w:t>следующей сессии.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Выборы должностных лиц.</w:t>
      </w:r>
    </w:p>
    <w:p w:rsidR="00B83DF2" w:rsidRPr="00622468" w:rsidRDefault="00B83DF2" w:rsidP="00B83DF2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  <w:t>Aннотации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  <w:t>Утверждение повестки дня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В соответствии с правилом 7 главы III правил процедуры Всемирного форум</w:t>
      </w:r>
      <w:r w:rsidR="00E97A90">
        <w:t>а для согласования правил</w:t>
      </w:r>
      <w:r w:rsidR="00B83DF2">
        <w:t xml:space="preserve"> в области транспортных средств (WP.29) (TRANS/ WP.29/690, Amend.1 и Amend.2) первым пунктом предварительной повестки дня является ее утверждение.</w:t>
      </w:r>
    </w:p>
    <w:p w:rsidR="00B83DF2" w:rsidRPr="00622468" w:rsidRDefault="00B83DF2" w:rsidP="00B83DF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ECE/TRANS/WP.29/GRE/2018/31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  <w:t>Соглашение 1998 года − глобальные</w:t>
      </w:r>
      <w:r w:rsidR="00E97A90">
        <w:rPr>
          <w:lang w:val="ru-RU"/>
        </w:rPr>
        <w:t xml:space="preserve"> технические правила ООН</w:t>
      </w:r>
      <w:r>
        <w:rPr>
          <w:lang w:val="ru-RU"/>
        </w:rPr>
        <w:t>: разработка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</w:t>
      </w:r>
      <w:r w:rsidR="00E97A90">
        <w:t xml:space="preserve">обальных технических правил </w:t>
      </w:r>
      <w:r w:rsidR="00605C7B">
        <w:t xml:space="preserve">ООН </w:t>
      </w:r>
      <w:r w:rsidR="00B83DF2">
        <w:t>(ГТП</w:t>
      </w:r>
      <w:r w:rsidR="00E97A90" w:rsidRPr="00E97A90">
        <w:t xml:space="preserve"> </w:t>
      </w:r>
      <w:r w:rsidR="00E97A90">
        <w:t>ООН</w:t>
      </w:r>
      <w:r w:rsidR="00B83DF2">
        <w:t>). GRE предлагается также принять во внимание, что на предыдущей сессии ряд экспертов определили вопрос о функциях световой сигнализации автономных транспортных средств в качеств</w:t>
      </w:r>
      <w:r>
        <w:t>е возможной темы для новых ГТП</w:t>
      </w:r>
      <w:r w:rsidR="00E97A90">
        <w:t xml:space="preserve"> ООН</w:t>
      </w:r>
      <w:r>
        <w:t>.</w:t>
      </w:r>
    </w:p>
    <w:p w:rsidR="00B83DF2" w:rsidRPr="003560B8" w:rsidRDefault="00B83DF2" w:rsidP="00B83DF2">
      <w:pPr>
        <w:pStyle w:val="SingleTxtG"/>
        <w:spacing w:after="0"/>
        <w:ind w:left="2268" w:hanging="1134"/>
        <w:rPr>
          <w:lang w:val="ru-RU"/>
        </w:rPr>
      </w:pPr>
      <w:r>
        <w:rPr>
          <w:b/>
          <w:bCs/>
          <w:lang w:val="ru-RU"/>
        </w:rPr>
        <w:t>Документация</w:t>
      </w:r>
      <w:r w:rsidRPr="003560B8">
        <w:rPr>
          <w:lang w:val="ru-RU"/>
        </w:rPr>
        <w:t xml:space="preserve">: </w:t>
      </w:r>
      <w:r w:rsidRPr="003560B8">
        <w:rPr>
          <w:lang w:val="ru-RU"/>
        </w:rPr>
        <w:tab/>
      </w:r>
      <w:r w:rsidRPr="00622468">
        <w:rPr>
          <w:lang w:val="es-ES"/>
        </w:rPr>
        <w:t>ECE</w:t>
      </w:r>
      <w:r w:rsidRPr="003560B8">
        <w:rPr>
          <w:lang w:val="ru-RU"/>
        </w:rPr>
        <w:t>/</w:t>
      </w:r>
      <w:r w:rsidRPr="00622468">
        <w:rPr>
          <w:lang w:val="es-ES"/>
        </w:rPr>
        <w:t>TRANS</w:t>
      </w:r>
      <w:r w:rsidRPr="003560B8">
        <w:rPr>
          <w:lang w:val="ru-RU"/>
        </w:rPr>
        <w:t>/</w:t>
      </w:r>
      <w:r w:rsidRPr="00622468">
        <w:rPr>
          <w:lang w:val="es-ES"/>
        </w:rPr>
        <w:t>WP</w:t>
      </w:r>
      <w:r w:rsidRPr="003560B8">
        <w:rPr>
          <w:lang w:val="ru-RU"/>
        </w:rPr>
        <w:t>.29/</w:t>
      </w:r>
      <w:r w:rsidRPr="00622468">
        <w:rPr>
          <w:lang w:val="es-ES"/>
        </w:rPr>
        <w:t>GRE</w:t>
      </w:r>
      <w:r w:rsidRPr="003560B8">
        <w:rPr>
          <w:lang w:val="ru-RU"/>
        </w:rPr>
        <w:t>/71, пункт 5</w:t>
      </w:r>
    </w:p>
    <w:p w:rsidR="00B83DF2" w:rsidRPr="00622468" w:rsidRDefault="00B83DF2" w:rsidP="00B83DF2">
      <w:pPr>
        <w:pStyle w:val="SingleTxtG"/>
        <w:ind w:left="2268" w:firstLine="567"/>
        <w:rPr>
          <w:lang w:val="ru-RU"/>
        </w:rPr>
      </w:pPr>
      <w:r w:rsidRPr="00622468">
        <w:rPr>
          <w:lang w:val="es-ES"/>
        </w:rPr>
        <w:t>ECE</w:t>
      </w:r>
      <w:r w:rsidRPr="00A02F11">
        <w:rPr>
          <w:lang w:val="ru-RU"/>
        </w:rPr>
        <w:t>/</w:t>
      </w:r>
      <w:r w:rsidRPr="00622468">
        <w:rPr>
          <w:lang w:val="es-ES"/>
        </w:rPr>
        <w:t>TRANS</w:t>
      </w:r>
      <w:r w:rsidRPr="00A02F11">
        <w:rPr>
          <w:lang w:val="ru-RU"/>
        </w:rPr>
        <w:t>/</w:t>
      </w:r>
      <w:r w:rsidRPr="00622468">
        <w:rPr>
          <w:lang w:val="es-ES"/>
        </w:rPr>
        <w:t>WP</w:t>
      </w:r>
      <w:r w:rsidRPr="00A02F11">
        <w:rPr>
          <w:lang w:val="ru-RU"/>
        </w:rPr>
        <w:t>.29/</w:t>
      </w:r>
      <w:r w:rsidRPr="00622468">
        <w:rPr>
          <w:lang w:val="es-ES"/>
        </w:rPr>
        <w:t>GRE</w:t>
      </w:r>
      <w:r w:rsidRPr="00A02F11">
        <w:rPr>
          <w:lang w:val="ru-RU"/>
        </w:rPr>
        <w:t xml:space="preserve">/79, пункт </w:t>
      </w:r>
      <w:r>
        <w:rPr>
          <w:lang w:val="ru-RU"/>
        </w:rPr>
        <w:t>6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lastRenderedPageBreak/>
        <w:tab/>
        <w:t>3.</w:t>
      </w:r>
      <w:r>
        <w:rPr>
          <w:lang w:val="ru-RU"/>
        </w:rPr>
        <w:tab/>
        <w:t>Соглашение 1997 года – предписания: разработка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 рассмотрит новые предложения по поправкам к предписаниям, если таковые будут представлены.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  <w:t>Упрощение правил ООН, касающихся освещения и световой сигнализации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 будет проинформирована о ходе работы неофициальной рабоче</w:t>
      </w:r>
      <w:r w:rsidR="00E97A90">
        <w:t>й группы по упрощению правил</w:t>
      </w:r>
      <w:r w:rsidR="00B83DF2">
        <w:t xml:space="preserve"> в области освещения и световой сигнализации (НРГ по УПО).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GRE, возможно, пожелает учесть, что на предыдущей сессии она приняла пакет предложений по поправкам, в том числе по трем новым упрощенным правилам ООН, касающимся устройств световой сигнализации (УСС), устройств освещения дороги (УОД) и светоотражающих устройств (СОУ), которые были подготовлены НРГ по УПО. В то же время GRE решила рассмотреть переходные положения в документе ECE/TRANS/WP.29/GRE/2018/11. В этой связи GRE предлагается обсудить пересмотренные переходные положения, представленные НРГ по УПО.</w:t>
      </w:r>
    </w:p>
    <w:p w:rsidR="00B83DF2" w:rsidRPr="00622468" w:rsidRDefault="00B83DF2" w:rsidP="00B83DF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 xml:space="preserve">ECE/TRANS/WP.29/GRE/2018/34 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GRE, возможно, пожелает также рассмотреть первые предложения по поправкам к первоначальным вариантам правил ООН, касающихся УСС, УОД и СОУ.</w:t>
      </w:r>
    </w:p>
    <w:p w:rsidR="00B83DF2" w:rsidRPr="00622468" w:rsidRDefault="00B83DF2" w:rsidP="00B83DF2">
      <w:pPr>
        <w:pStyle w:val="SingleTxtG"/>
        <w:ind w:left="2835" w:hanging="1701"/>
        <w:jc w:val="left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 xml:space="preserve">ECE/TRANS/WP.29/GRE/2018/33, ECE/TRANS/WP.29/GRE/2018/36, ECE/TRANS/WP.29/GRE/2018/37, ECE/TRANS/WP.29/GRE/2018/38 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 рассмотрит общие поправки к правилам ООН № 98, 112, 113 и 123 для целей недавно обновленного Федерального стандарта безопасности автот</w:t>
      </w:r>
      <w:r>
        <w:t>ранспорта Канады (CMVSS) № 108.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ECE/TRANS/WP.29/GRE/2018/32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GRE предлагается обсудить измененные определения в Правилах № 53 ООН.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ECE/TRANS/WP.29/GRE/2018/35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GRE рассмотрит предложение, представленное целевой группой по альтернативным и модифицированным устройствам (ЦГ по АМ), предусматривающее введение требований к альтернативным светодиодным источникам света (СИД) в новые правила ООН, касающиеся УСС.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ECE/TRANS/WP.29/GRE/2018/42</w:t>
      </w:r>
    </w:p>
    <w:p w:rsidR="00B83DF2" w:rsidRPr="00622468" w:rsidRDefault="00605C7B" w:rsidP="00B83DF2">
      <w:pPr>
        <w:pStyle w:val="H1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  <w:t>Правила</w:t>
      </w:r>
      <w:r w:rsidR="00B83DF2">
        <w:rPr>
          <w:lang w:val="ru-RU"/>
        </w:rPr>
        <w:t xml:space="preserve"> № 37 (лампы накаливания), № 99 (газоразрядные источники света), № 128 (источники света на светоизлучающих диодах) </w:t>
      </w:r>
      <w:r w:rsidR="00E97A90">
        <w:rPr>
          <w:lang w:val="ru-RU"/>
        </w:rPr>
        <w:t xml:space="preserve">ООН </w:t>
      </w:r>
      <w:r w:rsidR="00B83DF2">
        <w:rPr>
          <w:lang w:val="ru-RU"/>
        </w:rPr>
        <w:t>и Сводная резолюция по общей спецификации для категорий источников света</w:t>
      </w:r>
    </w:p>
    <w:p w:rsidR="00B83DF2" w:rsidRPr="00622468" w:rsidRDefault="004F397D" w:rsidP="004F397D">
      <w:pPr>
        <w:pStyle w:val="SingleTxtGR"/>
      </w:pPr>
      <w:r>
        <w:tab/>
      </w:r>
      <w:r w:rsidR="00B83DF2">
        <w:t>GRE, возможно, пожелает рассмотреть ряд предложений по использованию альтернативных светодиодных источников света, подготовленных ЦГ по АМ.</w:t>
      </w:r>
    </w:p>
    <w:p w:rsidR="00B83DF2" w:rsidRPr="00622468" w:rsidRDefault="00B83DF2" w:rsidP="00B83DF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ECE/TRANS/WP.29/GRE/2018/39, ECE/TRANS/WP.29/GRE/2018/40, ECE/TRANS/WP.29/GRE/2018/41</w:t>
      </w:r>
    </w:p>
    <w:p w:rsidR="00B83DF2" w:rsidRPr="00622468" w:rsidRDefault="004F397D" w:rsidP="003401D9">
      <w:pPr>
        <w:pStyle w:val="SingleTxtGR"/>
        <w:pageBreakBefore/>
      </w:pPr>
      <w:r>
        <w:lastRenderedPageBreak/>
        <w:tab/>
      </w:r>
      <w:r w:rsidR="00B83DF2">
        <w:t xml:space="preserve">GRE рассмотрит также предложения, представленные экспертом от Международной группы экспертов по вопросам автомобильного освещения и световой сигнализации (БРГ), с целью изменить </w:t>
      </w:r>
      <w:r>
        <w:t>категорию источника света LR4 в </w:t>
      </w:r>
      <w:r w:rsidR="00B83DF2">
        <w:t>Правилах № 128 ООН и в Сводной резолюции СР.5.</w:t>
      </w:r>
    </w:p>
    <w:p w:rsidR="00B83DF2" w:rsidRPr="00622468" w:rsidRDefault="00B83DF2" w:rsidP="00B83DF2">
      <w:pPr>
        <w:pStyle w:val="SingleTxtG"/>
        <w:spacing w:after="0"/>
        <w:ind w:left="2835" w:hanging="1701"/>
        <w:jc w:val="left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ECE/TRANS/WP.29/GRE/2018/48, ECE/TRANS/WP.29/GRE/2017/49</w:t>
      </w:r>
    </w:p>
    <w:p w:rsidR="00B83DF2" w:rsidRPr="00622468" w:rsidRDefault="00B83DF2" w:rsidP="00B83DF2">
      <w:pPr>
        <w:pStyle w:val="H1G"/>
        <w:rPr>
          <w:color w:val="000000"/>
          <w:lang w:val="ru-RU"/>
        </w:rPr>
      </w:pPr>
      <w:r>
        <w:rPr>
          <w:lang w:val="ru-RU"/>
        </w:rPr>
        <w:tab/>
        <w:t>6.</w:t>
      </w:r>
      <w:r>
        <w:rPr>
          <w:lang w:val="ru-RU"/>
        </w:rPr>
        <w:tab/>
        <w:t xml:space="preserve">Правила № 48 </w:t>
      </w:r>
      <w:r w:rsidR="002B4450" w:rsidRPr="002B4450">
        <w:rPr>
          <w:lang w:val="ru-RU"/>
        </w:rPr>
        <w:t xml:space="preserve">ООН </w:t>
      </w:r>
      <w:r>
        <w:rPr>
          <w:lang w:val="ru-RU"/>
        </w:rPr>
        <w:t>(установка устройств освещения и световой сигнализации)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  <w:t>Предложения по поправкам к поправкам серии 05 и 06</w:t>
      </w:r>
    </w:p>
    <w:p w:rsidR="00B83DF2" w:rsidRPr="00622468" w:rsidRDefault="004F397D" w:rsidP="004F397D">
      <w:pPr>
        <w:pStyle w:val="SingleTxtGR"/>
        <w:rPr>
          <w:color w:val="000000"/>
        </w:rPr>
      </w:pPr>
      <w:r>
        <w:tab/>
      </w:r>
      <w:r w:rsidR="00B83DF2">
        <w:t xml:space="preserve">GRE рассмотрит предложение эксперта от БРГ с целью ослабить дискомфортный свет задних сигнальных огней, когда на них приходится смотреть в непосредственной близости в условиях замедленного дорожного движения.  </w:t>
      </w:r>
    </w:p>
    <w:p w:rsidR="00B83DF2" w:rsidRPr="00622468" w:rsidRDefault="00B83DF2" w:rsidP="00B83DF2">
      <w:pPr>
        <w:pStyle w:val="SingleTxtG"/>
        <w:ind w:left="2835" w:hanging="1701"/>
        <w:rPr>
          <w:color w:val="000000"/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 xml:space="preserve">ECE/TRANS/WP.29/GRE/2018/51 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Прочие предложения по поправкам к Правилам № 48 ООН</w:t>
      </w:r>
    </w:p>
    <w:p w:rsidR="00B83DF2" w:rsidRPr="00622468" w:rsidRDefault="00B83DF2" w:rsidP="00B83DF2">
      <w:pPr>
        <w:pStyle w:val="SingleTxtGR"/>
        <w:rPr>
          <w:color w:val="000000"/>
        </w:rPr>
      </w:pPr>
      <w:r>
        <w:tab/>
        <w:t xml:space="preserve">GRE, возможно, пожелает рассмотреть предложение по новым поправкам серии 07, подготовленное целевой группой по включению фар (ЦГ по ВФ), для обновления требований к фарам и дневным ходовым огням (ДХО). </w:t>
      </w:r>
    </w:p>
    <w:p w:rsidR="00B83DF2" w:rsidRPr="00622468" w:rsidRDefault="00B83DF2" w:rsidP="00B83DF2">
      <w:pPr>
        <w:pStyle w:val="SingleTxtG"/>
        <w:ind w:left="2835" w:hanging="1701"/>
        <w:rPr>
          <w:color w:val="000000"/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 xml:space="preserve">ECE/TRANS/WP.29/GRE/2018/44   </w:t>
      </w:r>
    </w:p>
    <w:p w:rsidR="00B83DF2" w:rsidRPr="00622468" w:rsidRDefault="00B83DF2" w:rsidP="00B83DF2">
      <w:pPr>
        <w:pStyle w:val="SingleTxtGR"/>
        <w:rPr>
          <w:color w:val="000000"/>
        </w:rPr>
      </w:pPr>
      <w:r>
        <w:tab/>
        <w:t xml:space="preserve">GRE будет проинформирована о деятельности неофициальной рабочей группы по вопросам видимости, ослепления и регулировки фар (НРГ по ВОРФ), а также о проектах предложений, подготовленных НРГ по ВОРФ, если таковые будут представлены. GRE предлагается также рассмотреть круг ведения НРГ по ВОРФ.   </w:t>
      </w:r>
    </w:p>
    <w:p w:rsidR="00B83DF2" w:rsidRPr="00622468" w:rsidRDefault="00B83DF2" w:rsidP="00B83DF2">
      <w:pPr>
        <w:pStyle w:val="SingleTxtG"/>
        <w:ind w:left="2835" w:hanging="1701"/>
        <w:jc w:val="left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ECE/TRANS/WP.29/GRE/78, пункты 25–27,</w:t>
      </w:r>
      <w:r>
        <w:rPr>
          <w:lang w:val="ru-RU"/>
        </w:rPr>
        <w:br/>
        <w:t>неофициальный документ GRE-79-33</w:t>
      </w:r>
    </w:p>
    <w:p w:rsidR="00B83DF2" w:rsidRPr="00622468" w:rsidRDefault="00B83DF2" w:rsidP="00B83DF2">
      <w:pPr>
        <w:pStyle w:val="SingleTxtGR"/>
      </w:pPr>
      <w:r>
        <w:tab/>
        <w:t>GRE будет проинформирована об итогах Форума по вопросам ослепления и видимости, организуемого БРГ</w:t>
      </w:r>
      <w:r w:rsidR="004F397D">
        <w:t xml:space="preserve"> 22 октября 2018 года.</w:t>
      </w:r>
    </w:p>
    <w:p w:rsidR="00B83DF2" w:rsidRPr="00622468" w:rsidRDefault="00B83DF2" w:rsidP="00B83DF2">
      <w:pPr>
        <w:pStyle w:val="H1G"/>
        <w:rPr>
          <w:color w:val="000000"/>
          <w:lang w:val="ru-RU"/>
        </w:rPr>
      </w:pPr>
      <w:r>
        <w:rPr>
          <w:lang w:val="ru-RU"/>
        </w:rPr>
        <w:tab/>
        <w:t>7.</w:t>
      </w:r>
      <w:r>
        <w:rPr>
          <w:lang w:val="ru-RU"/>
        </w:rPr>
        <w:tab/>
        <w:t>Другие правила ООН</w:t>
      </w:r>
    </w:p>
    <w:p w:rsidR="00B83DF2" w:rsidRPr="00622468" w:rsidRDefault="00B83DF2" w:rsidP="00B83DF2">
      <w:pPr>
        <w:pStyle w:val="H23G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  <w:t>Правила № 10 ООН (электромагнитная совместимость)</w:t>
      </w:r>
    </w:p>
    <w:p w:rsidR="00B83DF2" w:rsidRPr="00641DFC" w:rsidRDefault="00B83DF2" w:rsidP="00B83DF2">
      <w:pPr>
        <w:pStyle w:val="SingleTxtGR"/>
        <w:rPr>
          <w:b/>
        </w:rPr>
      </w:pPr>
      <w:r>
        <w:tab/>
      </w:r>
      <w:r w:rsidRPr="00641DFC">
        <w:t>GRE будет проинформирована о деятельности целевой группы по электромагнитной совместимости (ЦГ по ЭМС) и обсудит обновленное предложение по поправкам серии 06, подготовленное ЦГ по ЭМС.</w:t>
      </w:r>
    </w:p>
    <w:p w:rsidR="00B83DF2" w:rsidRPr="00622468" w:rsidRDefault="00B83DF2" w:rsidP="00B83DF2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 w:rsidR="004F397D">
        <w:rPr>
          <w:lang w:val="ru-RU"/>
        </w:rPr>
        <w:tab/>
        <w:t>ECE/TRANS/WP.29/GRE/2018/43</w:t>
      </w:r>
    </w:p>
    <w:p w:rsidR="00B83DF2" w:rsidRPr="00622468" w:rsidRDefault="00B83DF2" w:rsidP="00B83DF2">
      <w:pPr>
        <w:pStyle w:val="H23G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Правила № 53 ООН (установка устройств освещения и световой сигнализации для транспортных средств категории L</w:t>
      </w:r>
      <w:r w:rsidRPr="00641DFC">
        <w:rPr>
          <w:vertAlign w:val="subscript"/>
          <w:lang w:val="ru-RU"/>
        </w:rPr>
        <w:t>3</w:t>
      </w:r>
      <w:r>
        <w:rPr>
          <w:lang w:val="ru-RU"/>
        </w:rPr>
        <w:t>)</w:t>
      </w:r>
    </w:p>
    <w:p w:rsidR="00B83DF2" w:rsidRPr="00622468" w:rsidRDefault="00B83DF2" w:rsidP="00B83DF2">
      <w:pPr>
        <w:pStyle w:val="SingleTxtGR"/>
      </w:pPr>
      <w:r>
        <w:tab/>
        <w:t>GRE обсудит пересмотренное предложение эксперта от специальной группы заинтересованных экспертов по ДХО для тран</w:t>
      </w:r>
      <w:r w:rsidR="003401D9">
        <w:t>спортных средств категории L, в </w:t>
      </w:r>
      <w:r>
        <w:t>соответствии с которым вводится новое требование об автоматическом переключении с ДХО на фары для категории L</w:t>
      </w:r>
      <w:r>
        <w:rPr>
          <w:vertAlign w:val="subscript"/>
        </w:rPr>
        <w:t>3</w:t>
      </w:r>
      <w:r>
        <w:t>.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: </w:t>
      </w:r>
      <w:r>
        <w:tab/>
        <w:t>ECE/TRANS/WP.29/GRE/2018/50</w:t>
      </w:r>
    </w:p>
    <w:p w:rsidR="00B83DF2" w:rsidRPr="00622468" w:rsidRDefault="00B83DF2" w:rsidP="00B83DF2">
      <w:pPr>
        <w:pStyle w:val="SingleTxtGR"/>
      </w:pPr>
      <w:r>
        <w:tab/>
        <w:t>GRE, возможно, пожелает рассмотреть предложение, представленное экспертом от Индии, с целью сделать факультативным требование об установке передних габаритных огней с учетом введения в Правила № 53 положений об автоматическом включении фар и в качестве альтернативы – ДХО.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: </w:t>
      </w:r>
      <w:r>
        <w:tab/>
        <w:t>ECE/TRANS/WP.29/GRE/2018/47</w:t>
      </w:r>
    </w:p>
    <w:p w:rsidR="00B83DF2" w:rsidRPr="00622468" w:rsidRDefault="00B83DF2" w:rsidP="00B83DF2">
      <w:pPr>
        <w:pStyle w:val="SingleTxtGR"/>
      </w:pPr>
      <w:r>
        <w:lastRenderedPageBreak/>
        <w:tab/>
        <w:t>GRE, возможно, пожелает рассмотреть предложение эксперта от Международной ассоциации заводов-изготовителей мотоциклов (МАЗМ), уточняющее применение указателей поворота для обозначения состояния устройства для защиты от несанкционированного использования транспортного средства.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: </w:t>
      </w:r>
      <w:r>
        <w:tab/>
        <w:t>ECE/TRANS/WP.29/GRE/2018/45</w:t>
      </w:r>
    </w:p>
    <w:p w:rsidR="00B83DF2" w:rsidRPr="00622468" w:rsidRDefault="00B83DF2" w:rsidP="00B83DF2">
      <w:pPr>
        <w:pStyle w:val="SingleTxtGR"/>
      </w:pPr>
      <w:r>
        <w:tab/>
        <w:t xml:space="preserve">GRE, возможно, пожелает обсудить пересмотренное предложение эксперта от МАЗМ о внешних фонарях освещения подножки. 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: </w:t>
      </w:r>
      <w:r>
        <w:tab/>
        <w:t>ECE/TRANS/WP.29/GRE/2018/46</w:t>
      </w:r>
    </w:p>
    <w:p w:rsidR="00B83DF2" w:rsidRPr="00622468" w:rsidRDefault="00B83DF2" w:rsidP="00B83DF2">
      <w:pPr>
        <w:pStyle w:val="H23G"/>
        <w:rPr>
          <w:lang w:val="ru-RU"/>
        </w:rPr>
      </w:pPr>
      <w:r>
        <w:rPr>
          <w:lang w:val="ru-RU"/>
        </w:rPr>
        <w:tab/>
        <w:t>с)</w:t>
      </w:r>
      <w:r>
        <w:rPr>
          <w:lang w:val="ru-RU"/>
        </w:rPr>
        <w:tab/>
        <w:t>Правила № 74 ООН (установка устройств освещения и световой сигнализации на мопедах)</w:t>
      </w:r>
    </w:p>
    <w:p w:rsidR="00B83DF2" w:rsidRPr="00622468" w:rsidRDefault="00B83DF2" w:rsidP="00B83DF2">
      <w:pPr>
        <w:pStyle w:val="SingleTxtGR"/>
      </w:pPr>
      <w:r>
        <w:tab/>
        <w:t>GRE рассмотрит обновленное предлож</w:t>
      </w:r>
      <w:r w:rsidR="003401D9">
        <w:t>ение эксперта от Нидерландов, в </w:t>
      </w:r>
      <w:r>
        <w:t>соответствии с которым требуется обязательная установка указателей поворота на мопедах.</w:t>
      </w:r>
    </w:p>
    <w:p w:rsidR="00B83DF2" w:rsidRPr="00622468" w:rsidRDefault="00B83DF2" w:rsidP="00B83DF2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: </w:t>
      </w:r>
      <w:r>
        <w:tab/>
        <w:t>ECE/TRANS/WP.29/GRE/2018/52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  <w:t>Прочие вопросы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  <w:t>Поправки к Конвенции о дорожном движении (Вена, 1968 год)</w:t>
      </w:r>
    </w:p>
    <w:p w:rsidR="00B83DF2" w:rsidRPr="00622468" w:rsidRDefault="00B83DF2" w:rsidP="00B83DF2">
      <w:pPr>
        <w:pStyle w:val="SingleTxtG"/>
        <w:rPr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GRE будет проинформирована об итогах обсуждения, проведенного Глобальным форумом по безопасности дорожного движения (WP.1) на его недавней сессии.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Десятилетие действий по обеспечению без</w:t>
      </w:r>
      <w:r w:rsidR="003401D9">
        <w:rPr>
          <w:lang w:val="ru-RU"/>
        </w:rPr>
        <w:t>опасности дорожного движения на </w:t>
      </w:r>
      <w:r>
        <w:rPr>
          <w:lang w:val="ru-RU"/>
        </w:rPr>
        <w:t>2011−2020 годы</w:t>
      </w:r>
    </w:p>
    <w:p w:rsidR="00B83DF2" w:rsidRPr="00622468" w:rsidRDefault="00B83DF2" w:rsidP="00B83DF2">
      <w:pPr>
        <w:pStyle w:val="SingleTxtG"/>
        <w:rPr>
          <w:rFonts w:eastAsia="MS Mincho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освещения и световой сигнализации.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с)</w:t>
      </w:r>
      <w:r>
        <w:rPr>
          <w:lang w:val="ru-RU"/>
        </w:rPr>
        <w:tab/>
        <w:t>Разработка международной системы официального утверждения типа комплектного транспортного средства</w:t>
      </w:r>
    </w:p>
    <w:p w:rsidR="00B83DF2" w:rsidRPr="00622468" w:rsidRDefault="00B83DF2" w:rsidP="00B83DF2">
      <w:pPr>
        <w:pStyle w:val="SingleTxtG"/>
        <w:rPr>
          <w:rFonts w:eastAsia="MS Mincho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GRE, возможно, заслушает устное сообщение Специального представителя GRE о деятельности, связанной с международной системой официального утверждения типа комплектного транспортного средства (МОУТКТС), и обо всех необходимых последующих шагах. </w:t>
      </w:r>
    </w:p>
    <w:p w:rsidR="00B83DF2" w:rsidRPr="00622468" w:rsidRDefault="00B83DF2" w:rsidP="00B83DF2">
      <w:pPr>
        <w:pStyle w:val="SingleTxtGR"/>
        <w:rPr>
          <w:rFonts w:eastAsia="MS Mincho"/>
        </w:rPr>
      </w:pPr>
      <w:r>
        <w:tab/>
        <w:t>GRE будет также проинформирована о разработке электронной базы данных для обмена документацией об официальном утверждении типа (ДЕТА).</w:t>
      </w:r>
    </w:p>
    <w:p w:rsidR="00B83DF2" w:rsidRPr="00622468" w:rsidRDefault="00B83DF2" w:rsidP="00B83DF2">
      <w:pPr>
        <w:pStyle w:val="H23G"/>
        <w:rPr>
          <w:color w:val="000000"/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  <w:t>Паразитный свет и обесцвечивание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GRE, возможно, пожелает заслушать информацию о ходе исследования по этому вопросу, проводимого в Германии.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неофициальный документ GRE-75-16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9.</w:t>
      </w:r>
      <w:r>
        <w:rPr>
          <w:lang w:val="ru-RU"/>
        </w:rPr>
        <w:tab/>
        <w:t>Новые вопросы и позднее представление документов</w:t>
      </w:r>
    </w:p>
    <w:p w:rsidR="00B83DF2" w:rsidRPr="00622468" w:rsidRDefault="00B83DF2" w:rsidP="00B83DF2">
      <w:pPr>
        <w:pStyle w:val="SingleTxtGR"/>
      </w:pPr>
      <w:r>
        <w:tab/>
        <w:t>GRE будет проинформирована об итогах обследования по вопросу об огнях с видимыми поверхностями в форме логотипа компании или другой фирменной символики, которое было проведено экспертами от Франции и Германии.</w:t>
      </w:r>
    </w:p>
    <w:p w:rsidR="00B83DF2" w:rsidRPr="00622468" w:rsidRDefault="00B83DF2" w:rsidP="00B83DF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 xml:space="preserve">: </w:t>
      </w:r>
      <w:r>
        <w:rPr>
          <w:lang w:val="ru-RU"/>
        </w:rPr>
        <w:tab/>
        <w:t>неофициальный документ GRE-78-03</w:t>
      </w:r>
    </w:p>
    <w:p w:rsidR="00B83DF2" w:rsidRPr="00622468" w:rsidRDefault="00B83DF2" w:rsidP="00B83DF2">
      <w:pPr>
        <w:pStyle w:val="SingleTxtGR"/>
      </w:pPr>
      <w:r>
        <w:tab/>
        <w:t>GRE рассмотрит также новые вопросы и/или документы, которые могут быть представлены после выпуска аннотированной предварительной повестки дня.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lastRenderedPageBreak/>
        <w:tab/>
        <w:t>10.</w:t>
      </w:r>
      <w:r>
        <w:rPr>
          <w:lang w:val="ru-RU"/>
        </w:rPr>
        <w:tab/>
        <w:t>Направления будущей работы GRE</w:t>
      </w:r>
      <w:r>
        <w:rPr>
          <w:lang w:val="ru-RU"/>
        </w:rPr>
        <w:tab/>
      </w:r>
    </w:p>
    <w:p w:rsidR="00B83DF2" w:rsidRPr="00622468" w:rsidRDefault="00B83DF2" w:rsidP="00B83DF2">
      <w:pPr>
        <w:pStyle w:val="SingleTxtGR"/>
        <w:rPr>
          <w:b/>
          <w:color w:val="000000"/>
        </w:rPr>
      </w:pPr>
      <w:r>
        <w:tab/>
      </w:r>
      <w:r w:rsidRPr="00622468">
        <w:t>GRE предлагается дать указания в от</w:t>
      </w:r>
      <w:r w:rsidR="003401D9">
        <w:t>ношении будущей деятельности, в </w:t>
      </w:r>
      <w:r w:rsidRPr="00622468">
        <w:t>частности с учетом того, что недавно была создана новая Рабочая группа по автоматизированным/автономным и подключенным</w:t>
      </w:r>
      <w:r>
        <w:t xml:space="preserve"> транспортным средствам (GRVA).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11.</w:t>
      </w:r>
      <w:r>
        <w:rPr>
          <w:lang w:val="ru-RU"/>
        </w:rPr>
        <w:tab/>
        <w:t xml:space="preserve">Предварительная повестка </w:t>
      </w:r>
      <w:r w:rsidR="003401D9">
        <w:rPr>
          <w:lang w:val="ru-RU"/>
        </w:rPr>
        <w:t xml:space="preserve">дня </w:t>
      </w:r>
      <w:r>
        <w:rPr>
          <w:lang w:val="ru-RU"/>
        </w:rPr>
        <w:t>следующей сессии</w:t>
      </w:r>
    </w:p>
    <w:p w:rsidR="00B83DF2" w:rsidRPr="00622468" w:rsidRDefault="00B83DF2" w:rsidP="00B83DF2">
      <w:pPr>
        <w:pStyle w:val="SingleTxtGR"/>
      </w:pPr>
      <w:r>
        <w:tab/>
        <w:t>GRE, возможно, пожелает дать указания по предварительной повестке дня следующей сессии.</w:t>
      </w:r>
    </w:p>
    <w:p w:rsidR="00B83DF2" w:rsidRPr="00622468" w:rsidRDefault="00B83DF2" w:rsidP="00B83DF2">
      <w:pPr>
        <w:pStyle w:val="H1G"/>
        <w:rPr>
          <w:lang w:val="ru-RU"/>
        </w:rPr>
      </w:pPr>
      <w:r>
        <w:rPr>
          <w:lang w:val="ru-RU"/>
        </w:rPr>
        <w:tab/>
        <w:t>12.</w:t>
      </w:r>
      <w:r>
        <w:rPr>
          <w:lang w:val="ru-RU"/>
        </w:rPr>
        <w:tab/>
        <w:t>Выборы должностных лиц</w:t>
      </w:r>
    </w:p>
    <w:p w:rsidR="00B83DF2" w:rsidRPr="00622468" w:rsidRDefault="00B83DF2" w:rsidP="00B83DF2">
      <w:pPr>
        <w:pStyle w:val="SingleTxtGR"/>
      </w:pPr>
      <w:r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2019 год.</w:t>
      </w:r>
      <w:r>
        <w:tab/>
      </w:r>
    </w:p>
    <w:p w:rsidR="00B83DF2" w:rsidRPr="00B83DF2" w:rsidRDefault="00B83DF2" w:rsidP="00B83D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3DF2" w:rsidRPr="00B83DF2" w:rsidSect="00B83D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6E" w:rsidRPr="00A312BC" w:rsidRDefault="00B0366E" w:rsidP="00A312BC"/>
  </w:endnote>
  <w:endnote w:type="continuationSeparator" w:id="0">
    <w:p w:rsidR="00B0366E" w:rsidRPr="00A312BC" w:rsidRDefault="00B036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2" w:rsidRPr="00B83DF2" w:rsidRDefault="00B83DF2">
    <w:pPr>
      <w:pStyle w:val="Footer"/>
    </w:pPr>
    <w:r w:rsidRPr="00B83DF2">
      <w:rPr>
        <w:b/>
        <w:sz w:val="18"/>
      </w:rPr>
      <w:fldChar w:fldCharType="begin"/>
    </w:r>
    <w:r w:rsidRPr="00B83DF2">
      <w:rPr>
        <w:b/>
        <w:sz w:val="18"/>
      </w:rPr>
      <w:instrText xml:space="preserve"> PAGE  \* MERGEFORMAT </w:instrText>
    </w:r>
    <w:r w:rsidRPr="00B83DF2">
      <w:rPr>
        <w:b/>
        <w:sz w:val="18"/>
      </w:rPr>
      <w:fldChar w:fldCharType="separate"/>
    </w:r>
    <w:r w:rsidR="00FD51CA">
      <w:rPr>
        <w:b/>
        <w:noProof/>
        <w:sz w:val="18"/>
      </w:rPr>
      <w:t>6</w:t>
    </w:r>
    <w:r w:rsidRPr="00B83DF2">
      <w:rPr>
        <w:b/>
        <w:sz w:val="18"/>
      </w:rPr>
      <w:fldChar w:fldCharType="end"/>
    </w:r>
    <w:r>
      <w:rPr>
        <w:b/>
        <w:sz w:val="18"/>
      </w:rPr>
      <w:tab/>
    </w:r>
    <w:r>
      <w:t>GE.18-13058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2" w:rsidRPr="00B83DF2" w:rsidRDefault="00B83DF2" w:rsidP="00B83DF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GE.18-13058</w:t>
    </w:r>
    <w:r>
      <w:tab/>
    </w:r>
    <w:r w:rsidRPr="00B83DF2">
      <w:rPr>
        <w:b/>
        <w:sz w:val="18"/>
      </w:rPr>
      <w:fldChar w:fldCharType="begin"/>
    </w:r>
    <w:r w:rsidRPr="00B83DF2">
      <w:rPr>
        <w:b/>
        <w:sz w:val="18"/>
      </w:rPr>
      <w:instrText xml:space="preserve"> PAGE  \* MERGEFORMAT </w:instrText>
    </w:r>
    <w:r w:rsidRPr="00B83DF2">
      <w:rPr>
        <w:b/>
        <w:sz w:val="18"/>
      </w:rPr>
      <w:fldChar w:fldCharType="separate"/>
    </w:r>
    <w:r w:rsidR="00FD51CA">
      <w:rPr>
        <w:b/>
        <w:noProof/>
        <w:sz w:val="18"/>
      </w:rPr>
      <w:t>5</w:t>
    </w:r>
    <w:r w:rsidRPr="00B83D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83DF2" w:rsidRDefault="00B83DF2" w:rsidP="00B83D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18-13058  (R)</w:t>
    </w:r>
    <w:r w:rsidR="00E97A90">
      <w:rPr>
        <w:lang w:val="en-US"/>
      </w:rPr>
      <w:t xml:space="preserve">  090818  29</w:t>
    </w:r>
    <w:r>
      <w:rPr>
        <w:lang w:val="en-US"/>
      </w:rPr>
      <w:t>0818</w:t>
    </w:r>
    <w:r>
      <w:br/>
    </w:r>
    <w:r w:rsidRPr="00B83DF2">
      <w:rPr>
        <w:rFonts w:ascii="C39T30Lfz" w:hAnsi="C39T30Lfz"/>
        <w:kern w:val="14"/>
        <w:sz w:val="56"/>
      </w:rPr>
      <w:t></w:t>
    </w:r>
    <w:r w:rsidRPr="00B83DF2">
      <w:rPr>
        <w:rFonts w:ascii="C39T30Lfz" w:hAnsi="C39T30Lfz"/>
        <w:kern w:val="14"/>
        <w:sz w:val="56"/>
      </w:rPr>
      <w:t></w:t>
    </w:r>
    <w:r w:rsidRPr="00B83DF2">
      <w:rPr>
        <w:rFonts w:ascii="C39T30Lfz" w:hAnsi="C39T30Lfz"/>
        <w:kern w:val="14"/>
        <w:sz w:val="56"/>
      </w:rPr>
      <w:t></w:t>
    </w:r>
    <w:r w:rsidRPr="00B83DF2">
      <w:rPr>
        <w:rFonts w:ascii="C39T30Lfz" w:hAnsi="C39T30Lfz"/>
        <w:kern w:val="14"/>
        <w:sz w:val="56"/>
      </w:rPr>
      <w:t></w:t>
    </w:r>
    <w:r w:rsidRPr="00B83DF2">
      <w:rPr>
        <w:rFonts w:ascii="C39T30Lfz" w:hAnsi="C39T30Lfz"/>
        <w:kern w:val="14"/>
        <w:sz w:val="56"/>
      </w:rPr>
      <w:t></w:t>
    </w:r>
    <w:r w:rsidRPr="00B83DF2">
      <w:rPr>
        <w:rFonts w:ascii="C39T30Lfz" w:hAnsi="C39T30Lfz"/>
        <w:kern w:val="14"/>
        <w:sz w:val="56"/>
      </w:rPr>
      <w:t></w:t>
    </w:r>
    <w:r w:rsidRPr="00B83DF2">
      <w:rPr>
        <w:rFonts w:ascii="C39T30Lfz" w:hAnsi="C39T30Lfz"/>
        <w:kern w:val="14"/>
        <w:sz w:val="56"/>
      </w:rPr>
      <w:t></w:t>
    </w:r>
    <w:r w:rsidRPr="00B83DF2">
      <w:rPr>
        <w:rFonts w:ascii="C39T30Lfz" w:hAnsi="C39T30Lfz"/>
        <w:kern w:val="14"/>
        <w:sz w:val="56"/>
      </w:rPr>
      <w:t></w:t>
    </w:r>
    <w:r w:rsidRPr="00B83DF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6E" w:rsidRPr="001075E9" w:rsidRDefault="00B036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366E" w:rsidRDefault="00B036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3DF2" w:rsidRPr="003401D9" w:rsidRDefault="00B83DF2" w:rsidP="00B83DF2">
      <w:pPr>
        <w:pStyle w:val="FootnoteText"/>
        <w:rPr>
          <w:color w:val="000000" w:themeColor="text1"/>
        </w:rPr>
      </w:pPr>
      <w:r>
        <w:tab/>
      </w:r>
      <w:r w:rsidRPr="00B83DF2">
        <w:t>*</w:t>
      </w:r>
      <w:r w:rsidRPr="00B83DF2">
        <w:tab/>
      </w:r>
      <w:r w:rsidRPr="003401D9">
        <w:rPr>
          <w:color w:val="000000" w:themeColor="text1"/>
        </w:rPr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3401D9" w:rsidRPr="003401D9">
          <w:rPr>
            <w:rStyle w:val="Hyperlink"/>
            <w:color w:val="000000" w:themeColor="text1"/>
          </w:rPr>
          <w:t>www.unece.org/trans/main/wp29/wp29wgs/wp29gre/greage.html</w:t>
        </w:r>
      </w:hyperlink>
      <w:r w:rsidRPr="003401D9">
        <w:rPr>
          <w:color w:val="000000" w:themeColor="text1"/>
        </w:rPr>
        <w:t>). В порядке исключения документы можно также получить по электронной почте (</w:t>
      </w:r>
      <w:hyperlink r:id="rId2" w:history="1">
        <w:r w:rsidR="003401D9" w:rsidRPr="002B4450">
          <w:rPr>
            <w:rStyle w:val="Hyperlink"/>
            <w:color w:val="auto"/>
          </w:rPr>
          <w:t>grе@unece.org</w:t>
        </w:r>
      </w:hyperlink>
      <w:r w:rsidRPr="003401D9">
        <w:rPr>
          <w:color w:val="000000" w:themeColor="text1"/>
        </w:rPr>
        <w:t>) или по факсу</w:t>
      </w:r>
      <w:r w:rsidRPr="003401D9">
        <w:rPr>
          <w:color w:val="000000" w:themeColor="text1"/>
        </w:rPr>
        <w:br/>
        <w:t xml:space="preserve">(41 22 917 00 39). В ходе сессии официальные документы можно получить в Секции распространения документов ЮНОГ (комната C.337, третий этаж, Дворец Наций). С 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2B4450">
          <w:rPr>
            <w:rStyle w:val="Hyperlink"/>
            <w:color w:val="auto"/>
          </w:rPr>
          <w:t>documents.un.org/</w:t>
        </w:r>
      </w:hyperlink>
      <w:r w:rsidRPr="003401D9">
        <w:rPr>
          <w:color w:val="000000" w:themeColor="text1"/>
        </w:rPr>
        <w:t>.</w:t>
      </w:r>
    </w:p>
  </w:footnote>
  <w:footnote w:id="2">
    <w:p w:rsidR="00B83DF2" w:rsidRPr="003401D9" w:rsidRDefault="00B83DF2" w:rsidP="00B83DF2">
      <w:pPr>
        <w:pStyle w:val="FootnoteText"/>
        <w:spacing w:after="240"/>
        <w:rPr>
          <w:color w:val="000000" w:themeColor="text1"/>
        </w:rPr>
      </w:pPr>
      <w:r w:rsidRPr="003401D9">
        <w:rPr>
          <w:color w:val="000000" w:themeColor="text1"/>
        </w:rPr>
        <w:tab/>
        <w:t>**</w:t>
      </w:r>
      <w:r w:rsidRPr="003401D9">
        <w:rPr>
          <w:color w:val="000000" w:themeColor="text1"/>
        </w:rPr>
        <w:tab/>
        <w:t>Делегатов просят зарегистрироваться онлайн с помощью новой системы регистрации</w:t>
      </w:r>
      <w:r w:rsidRPr="003401D9">
        <w:rPr>
          <w:color w:val="000000" w:themeColor="text1"/>
        </w:rPr>
        <w:br/>
        <w:t>на веб-сайте ЕЭК ООН (</w:t>
      </w:r>
      <w:hyperlink r:id="rId4" w:history="1">
        <w:r w:rsidRPr="002B4450">
          <w:rPr>
            <w:rStyle w:val="Hyperlink"/>
            <w:color w:val="auto"/>
          </w:rPr>
          <w:t>https://uncdb.unece.org/app/ext/meeting-registration?id=mAvJj2</w:t>
        </w:r>
      </w:hyperlink>
      <w:r w:rsidRPr="003401D9">
        <w:rPr>
          <w:color w:val="000000" w:themeColor="text1"/>
        </w:rPr>
        <w:t>).</w:t>
      </w:r>
      <w:r w:rsidRPr="003401D9">
        <w:rPr>
          <w:color w:val="000000" w:themeColor="text1"/>
        </w:rPr>
        <w:br/>
        <w:t>По прибытии во Дворец Наций делегатам следует пол</w:t>
      </w:r>
      <w:r w:rsidR="003401D9">
        <w:rPr>
          <w:color w:val="000000" w:themeColor="text1"/>
        </w:rPr>
        <w:t>учить пропуск в Секции охраны и </w:t>
      </w:r>
      <w:r w:rsidRPr="003401D9">
        <w:rPr>
          <w:color w:val="000000" w:themeColor="text1"/>
        </w:rPr>
        <w:t>безопасности ЮНОГ, которая находится у въезда со стороны Прени (Pregny Gate)</w:t>
      </w:r>
      <w:r w:rsidRPr="003401D9">
        <w:rPr>
          <w:color w:val="000000" w:themeColor="text1"/>
        </w:rPr>
        <w:br/>
        <w:t xml:space="preserve">(14, Avenue de la Paix). В случае затруднений просьба связаться с секретариатом ЕЭК ООН по телефону (внутренний номер 74323). Схему Дворца Наций и другую полезную информацию см. </w:t>
      </w:r>
      <w:hyperlink r:id="rId5" w:history="1">
        <w:r w:rsidR="003401D9" w:rsidRPr="002B4450">
          <w:rPr>
            <w:rStyle w:val="Hyperlink"/>
            <w:color w:val="auto"/>
          </w:rPr>
          <w:t>www.unece.org/meetings/practical.htm</w:t>
        </w:r>
      </w:hyperlink>
      <w:r w:rsidRPr="003401D9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2" w:rsidRPr="00B83DF2" w:rsidRDefault="00CB55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0883">
      <w:t>ECE/TRANS/WP.29/GRE/2018/31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2" w:rsidRPr="00B83DF2" w:rsidRDefault="00CB5520" w:rsidP="00B83D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0883">
      <w:t>ECE/TRANS/WP.29/GRE/2018/31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6E"/>
    <w:rsid w:val="00033EE1"/>
    <w:rsid w:val="00042B72"/>
    <w:rsid w:val="000558BD"/>
    <w:rsid w:val="0006370E"/>
    <w:rsid w:val="00065574"/>
    <w:rsid w:val="000A76D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D2A"/>
    <w:rsid w:val="00255343"/>
    <w:rsid w:val="0027151D"/>
    <w:rsid w:val="002A2EFC"/>
    <w:rsid w:val="002B0106"/>
    <w:rsid w:val="002B4450"/>
    <w:rsid w:val="002B74B1"/>
    <w:rsid w:val="002C0E18"/>
    <w:rsid w:val="002D5AAC"/>
    <w:rsid w:val="002D5D01"/>
    <w:rsid w:val="002E5067"/>
    <w:rsid w:val="002F405F"/>
    <w:rsid w:val="002F7EEC"/>
    <w:rsid w:val="00301299"/>
    <w:rsid w:val="00305C08"/>
    <w:rsid w:val="00307FB6"/>
    <w:rsid w:val="00317339"/>
    <w:rsid w:val="00322004"/>
    <w:rsid w:val="003401D9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397D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C7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77B7A"/>
    <w:rsid w:val="00A84021"/>
    <w:rsid w:val="00A84D35"/>
    <w:rsid w:val="00A917B3"/>
    <w:rsid w:val="00AB4B51"/>
    <w:rsid w:val="00B0366E"/>
    <w:rsid w:val="00B10CC7"/>
    <w:rsid w:val="00B36DF7"/>
    <w:rsid w:val="00B539E7"/>
    <w:rsid w:val="00B62458"/>
    <w:rsid w:val="00B83DF2"/>
    <w:rsid w:val="00BC18B2"/>
    <w:rsid w:val="00BD33EE"/>
    <w:rsid w:val="00BE1CC7"/>
    <w:rsid w:val="00C00883"/>
    <w:rsid w:val="00C106D6"/>
    <w:rsid w:val="00C119AE"/>
    <w:rsid w:val="00C26BA9"/>
    <w:rsid w:val="00C60F0C"/>
    <w:rsid w:val="00C805C9"/>
    <w:rsid w:val="00C85B07"/>
    <w:rsid w:val="00C92939"/>
    <w:rsid w:val="00CA1679"/>
    <w:rsid w:val="00CB151C"/>
    <w:rsid w:val="00CB5520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7A90"/>
    <w:rsid w:val="00EA2C9F"/>
    <w:rsid w:val="00EA420E"/>
    <w:rsid w:val="00ED0BDA"/>
    <w:rsid w:val="00EE142A"/>
    <w:rsid w:val="00EF1360"/>
    <w:rsid w:val="00EF3220"/>
    <w:rsid w:val="00F2523A"/>
    <w:rsid w:val="00F43903"/>
    <w:rsid w:val="00F7115F"/>
    <w:rsid w:val="00F94155"/>
    <w:rsid w:val="00F9783F"/>
    <w:rsid w:val="00FD2EF7"/>
    <w:rsid w:val="00FD51C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954730-68DB-4F30-AECC-3582DE22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B83DF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B83DF2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B83DF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B83DF2"/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B83DF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B83D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B83DF2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documents.un.org/" TargetMode="External"/><Relationship Id="rId2" Type="http://schemas.openxmlformats.org/officeDocument/2006/relationships/hyperlink" Target="http://undocs.org/ru/gr&#1077;@unece.org" TargetMode="External"/><Relationship Id="rId1" Type="http://schemas.openxmlformats.org/officeDocument/2006/relationships/hyperlink" Target="http://www.unece.org/trans/main/wp29/wp29wgs/wp29gre/greage.html" TargetMode="External"/><Relationship Id="rId5" Type="http://schemas.openxmlformats.org/officeDocument/2006/relationships/hyperlink" Target="http://undocs.org/ru/www.unece.org/meetings/practical.htm" TargetMode="External"/><Relationship Id="rId4" Type="http://schemas.openxmlformats.org/officeDocument/2006/relationships/hyperlink" Target="http://undocs.org/ru/https://uncdb.unece.org/app/ext/meeting-registration?id=mAvJj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ECE/TRANS/WP.29/GRE/2018/31</vt:lpstr>
      <vt:lpstr>ECE/TRANS/WP.29/GRE/2018/31</vt:lpstr>
      <vt:lpstr>A/</vt:lpstr>
    </vt:vector>
  </TitlesOfParts>
  <Company>DCM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ECE/TRANS/WP.29/GRE/2018/31</dc:title>
  <dc:subject/>
  <dc:creator>Anna KISSELEVA</dc:creator>
  <cp:keywords/>
  <cp:lastModifiedBy>Benedicte Boudol</cp:lastModifiedBy>
  <cp:revision>2</cp:revision>
  <cp:lastPrinted>2018-08-29T10:47:00Z</cp:lastPrinted>
  <dcterms:created xsi:type="dcterms:W3CDTF">2018-09-03T08:47:00Z</dcterms:created>
  <dcterms:modified xsi:type="dcterms:W3CDTF">2018-09-03T08:47:00Z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