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83A9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83A9F" w:rsidP="00B83A9F">
            <w:pPr>
              <w:jc w:val="right"/>
            </w:pPr>
            <w:r w:rsidRPr="00B83A9F">
              <w:rPr>
                <w:sz w:val="40"/>
              </w:rPr>
              <w:t>ECE</w:t>
            </w:r>
            <w:r>
              <w:t>/TRANS/WP.29/GRE/2018/30</w:t>
            </w:r>
          </w:p>
        </w:tc>
      </w:tr>
      <w:tr w:rsidR="002D5AAC" w:rsidRPr="00E0148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83A9F" w:rsidP="00387CD4">
            <w:pPr>
              <w:spacing w:before="240"/>
              <w:rPr>
                <w:lang w:val="en-US"/>
              </w:rPr>
            </w:pPr>
            <w:r>
              <w:rPr>
                <w:lang w:val="en-US"/>
              </w:rPr>
              <w:t>Distr.: General</w:t>
            </w:r>
          </w:p>
          <w:p w:rsidR="00B83A9F" w:rsidRDefault="00B83A9F" w:rsidP="00B83A9F">
            <w:pPr>
              <w:spacing w:line="240" w:lineRule="exact"/>
              <w:rPr>
                <w:lang w:val="en-US"/>
              </w:rPr>
            </w:pPr>
            <w:r>
              <w:rPr>
                <w:lang w:val="en-US"/>
              </w:rPr>
              <w:t>6 February 2018</w:t>
            </w:r>
          </w:p>
          <w:p w:rsidR="00B83A9F" w:rsidRDefault="00B83A9F" w:rsidP="00B83A9F">
            <w:pPr>
              <w:spacing w:line="240" w:lineRule="exact"/>
              <w:rPr>
                <w:lang w:val="en-US"/>
              </w:rPr>
            </w:pPr>
            <w:r>
              <w:rPr>
                <w:lang w:val="en-US"/>
              </w:rPr>
              <w:t>Russian</w:t>
            </w:r>
          </w:p>
          <w:p w:rsidR="00B83A9F" w:rsidRPr="008D53B6" w:rsidRDefault="00B83A9F" w:rsidP="00B83A9F">
            <w:pPr>
              <w:spacing w:line="240" w:lineRule="exact"/>
              <w:rPr>
                <w:lang w:val="en-US"/>
              </w:rPr>
            </w:pPr>
            <w:r>
              <w:rPr>
                <w:lang w:val="en-US"/>
              </w:rPr>
              <w:t>Original: English</w:t>
            </w:r>
          </w:p>
        </w:tc>
      </w:tr>
    </w:tbl>
    <w:p w:rsidR="008A37C8" w:rsidRPr="00B83A9F" w:rsidRDefault="008A37C8" w:rsidP="00255343">
      <w:pPr>
        <w:spacing w:before="120"/>
        <w:rPr>
          <w:b/>
          <w:spacing w:val="0"/>
          <w:w w:val="100"/>
          <w:kern w:val="0"/>
          <w:sz w:val="28"/>
          <w:szCs w:val="28"/>
        </w:rPr>
      </w:pPr>
      <w:r w:rsidRPr="00B83A9F">
        <w:rPr>
          <w:b/>
          <w:spacing w:val="0"/>
          <w:w w:val="100"/>
          <w:kern w:val="0"/>
          <w:sz w:val="28"/>
          <w:szCs w:val="28"/>
        </w:rPr>
        <w:t>Европейская экономическая комиссия</w:t>
      </w:r>
    </w:p>
    <w:p w:rsidR="00B83A9F" w:rsidRPr="00B83A9F" w:rsidRDefault="00B83A9F" w:rsidP="00B83A9F">
      <w:pPr>
        <w:spacing w:before="120"/>
        <w:rPr>
          <w:spacing w:val="0"/>
          <w:w w:val="100"/>
          <w:kern w:val="0"/>
          <w:sz w:val="28"/>
          <w:szCs w:val="28"/>
        </w:rPr>
      </w:pPr>
      <w:r w:rsidRPr="00B83A9F">
        <w:rPr>
          <w:spacing w:val="0"/>
          <w:w w:val="100"/>
          <w:kern w:val="0"/>
          <w:sz w:val="28"/>
          <w:szCs w:val="28"/>
        </w:rPr>
        <w:t>Комитет по внутреннему транспорту</w:t>
      </w:r>
    </w:p>
    <w:p w:rsidR="00B83A9F" w:rsidRPr="00B83A9F" w:rsidRDefault="00B83A9F" w:rsidP="00B83A9F">
      <w:pPr>
        <w:spacing w:before="120"/>
        <w:rPr>
          <w:b/>
          <w:bCs/>
          <w:spacing w:val="0"/>
          <w:w w:val="100"/>
          <w:kern w:val="0"/>
          <w:sz w:val="24"/>
          <w:szCs w:val="24"/>
        </w:rPr>
      </w:pPr>
      <w:r w:rsidRPr="00B83A9F">
        <w:rPr>
          <w:b/>
          <w:bCs/>
          <w:spacing w:val="0"/>
          <w:w w:val="100"/>
          <w:kern w:val="0"/>
          <w:sz w:val="24"/>
          <w:szCs w:val="24"/>
        </w:rPr>
        <w:t xml:space="preserve">Всемирный форум для согласования правил </w:t>
      </w:r>
      <w:r w:rsidRPr="00B83A9F">
        <w:rPr>
          <w:b/>
          <w:bCs/>
          <w:spacing w:val="0"/>
          <w:w w:val="100"/>
          <w:kern w:val="0"/>
          <w:sz w:val="24"/>
          <w:szCs w:val="24"/>
        </w:rPr>
        <w:br/>
        <w:t>в области транспортных средств</w:t>
      </w:r>
    </w:p>
    <w:p w:rsidR="00B83A9F" w:rsidRPr="00B83A9F" w:rsidRDefault="00B83A9F" w:rsidP="00B83A9F">
      <w:pPr>
        <w:spacing w:before="120" w:after="120"/>
        <w:rPr>
          <w:b/>
          <w:bCs/>
          <w:spacing w:val="0"/>
          <w:w w:val="100"/>
          <w:kern w:val="0"/>
        </w:rPr>
      </w:pPr>
      <w:r w:rsidRPr="00B83A9F">
        <w:rPr>
          <w:b/>
          <w:bCs/>
          <w:spacing w:val="0"/>
          <w:w w:val="100"/>
          <w:kern w:val="0"/>
        </w:rPr>
        <w:t xml:space="preserve">Рабочая группа по вопросам освещения </w:t>
      </w:r>
      <w:r w:rsidRPr="00B83A9F">
        <w:rPr>
          <w:b/>
          <w:bCs/>
          <w:spacing w:val="0"/>
          <w:w w:val="100"/>
          <w:kern w:val="0"/>
        </w:rPr>
        <w:br/>
        <w:t>и световой сигнализации</w:t>
      </w:r>
    </w:p>
    <w:p w:rsidR="00B83A9F" w:rsidRPr="00B83A9F" w:rsidRDefault="00B83A9F" w:rsidP="00B83A9F">
      <w:pPr>
        <w:rPr>
          <w:b/>
          <w:bCs/>
          <w:spacing w:val="0"/>
          <w:w w:val="100"/>
          <w:kern w:val="0"/>
        </w:rPr>
      </w:pPr>
      <w:r w:rsidRPr="00B83A9F">
        <w:rPr>
          <w:b/>
          <w:bCs/>
          <w:spacing w:val="0"/>
          <w:w w:val="100"/>
          <w:kern w:val="0"/>
        </w:rPr>
        <w:t>Семьдесят девятая сессия</w:t>
      </w:r>
    </w:p>
    <w:p w:rsidR="00B83A9F" w:rsidRPr="00B83A9F" w:rsidRDefault="00B83A9F" w:rsidP="00B83A9F">
      <w:pPr>
        <w:rPr>
          <w:spacing w:val="0"/>
          <w:w w:val="100"/>
          <w:kern w:val="0"/>
        </w:rPr>
      </w:pPr>
      <w:r w:rsidRPr="00B83A9F">
        <w:rPr>
          <w:spacing w:val="0"/>
          <w:w w:val="100"/>
          <w:kern w:val="0"/>
        </w:rPr>
        <w:t>Женева, 24–27 апреля 2018 года</w:t>
      </w:r>
    </w:p>
    <w:p w:rsidR="00B83A9F" w:rsidRPr="00B83A9F" w:rsidRDefault="00B83A9F" w:rsidP="00B83A9F">
      <w:pPr>
        <w:ind w:right="1134"/>
        <w:rPr>
          <w:spacing w:val="0"/>
          <w:w w:val="100"/>
          <w:kern w:val="0"/>
        </w:rPr>
      </w:pPr>
      <w:r w:rsidRPr="00B83A9F">
        <w:rPr>
          <w:spacing w:val="0"/>
          <w:w w:val="100"/>
          <w:kern w:val="0"/>
        </w:rPr>
        <w:t>Пункт 4 предварительной повестки дня</w:t>
      </w:r>
    </w:p>
    <w:p w:rsidR="00B83A9F" w:rsidRPr="00B83A9F" w:rsidRDefault="00B83A9F" w:rsidP="00B83A9F">
      <w:pPr>
        <w:ind w:right="1134"/>
        <w:rPr>
          <w:b/>
          <w:bCs/>
          <w:spacing w:val="0"/>
          <w:w w:val="100"/>
          <w:kern w:val="0"/>
        </w:rPr>
      </w:pPr>
      <w:r w:rsidRPr="00B83A9F">
        <w:rPr>
          <w:b/>
          <w:bCs/>
          <w:spacing w:val="0"/>
          <w:w w:val="100"/>
          <w:kern w:val="0"/>
        </w:rPr>
        <w:t xml:space="preserve">Упрощение правил, касающихся освещения </w:t>
      </w:r>
      <w:r w:rsidRPr="00B83A9F">
        <w:rPr>
          <w:b/>
          <w:bCs/>
          <w:spacing w:val="0"/>
          <w:w w:val="100"/>
          <w:kern w:val="0"/>
        </w:rPr>
        <w:br/>
        <w:t>и световой сигнализации</w:t>
      </w:r>
      <w:r w:rsidRPr="00B83A9F">
        <w:rPr>
          <w:spacing w:val="0"/>
          <w:w w:val="100"/>
          <w:kern w:val="0"/>
        </w:rPr>
        <w:t xml:space="preserve"> </w:t>
      </w:r>
    </w:p>
    <w:p w:rsidR="00B83A9F" w:rsidRPr="00B83A9F" w:rsidRDefault="00B83A9F" w:rsidP="00B83A9F">
      <w:pPr>
        <w:pStyle w:val="HChG"/>
        <w:rPr>
          <w:lang w:val="ru-RU"/>
        </w:rPr>
      </w:pPr>
      <w:r w:rsidRPr="00B83A9F">
        <w:rPr>
          <w:lang w:val="ru-RU"/>
        </w:rPr>
        <w:tab/>
      </w:r>
      <w:r w:rsidRPr="00B83A9F">
        <w:rPr>
          <w:lang w:val="ru-RU"/>
        </w:rPr>
        <w:tab/>
        <w:t>Предложение по дополнению [6] к поправкам серии 03 к</w:t>
      </w:r>
      <w:r w:rsidRPr="00B83A9F">
        <w:rPr>
          <w:lang w:val="en-US"/>
        </w:rPr>
        <w:t> </w:t>
      </w:r>
      <w:r w:rsidRPr="00B83A9F">
        <w:rPr>
          <w:lang w:val="ru-RU"/>
        </w:rPr>
        <w:t xml:space="preserve">Правилам № 48 </w:t>
      </w:r>
    </w:p>
    <w:p w:rsidR="00B83A9F" w:rsidRPr="00B83A9F" w:rsidRDefault="00B83A9F" w:rsidP="00B83A9F">
      <w:pPr>
        <w:pStyle w:val="H1G"/>
        <w:ind w:firstLine="0"/>
        <w:rPr>
          <w:szCs w:val="24"/>
          <w:lang w:val="ru-RU"/>
        </w:rPr>
      </w:pPr>
      <w:r w:rsidRPr="00B83A9F">
        <w:rPr>
          <w:lang w:val="ru-RU"/>
        </w:rPr>
        <w:t>Представлено Неофициальной группой по упрощению правил, касающихся освещения и световой сигнализации (НРГ по УПО)</w:t>
      </w:r>
      <w:r w:rsidRPr="00B83A9F">
        <w:rPr>
          <w:b w:val="0"/>
          <w:sz w:val="20"/>
          <w:lang w:val="ru-RU"/>
        </w:rPr>
        <w:footnoteReference w:customMarkFollows="1" w:id="1"/>
        <w:t xml:space="preserve">* </w:t>
      </w:r>
    </w:p>
    <w:p w:rsidR="00B83A9F" w:rsidRPr="00B83A9F" w:rsidRDefault="00B83A9F" w:rsidP="00B83A9F">
      <w:pPr>
        <w:pStyle w:val="SingleTxtG"/>
        <w:ind w:firstLine="567"/>
        <w:rPr>
          <w:lang w:val="ru-RU"/>
        </w:rPr>
      </w:pPr>
      <w:r w:rsidRPr="00B83A9F">
        <w:rPr>
          <w:lang w:val="ru-RU"/>
        </w:rPr>
        <w:t xml:space="preserve">Воспроизведенный ниже текст был подготовлен НРГ по УПО в целях включения в поправки серии 03 к Правилам № 48 ссылок на три новых упрощенных правила, касающиеся устройств световой сигнализации (УСС), устройств освещения дороги (УОД) и светоотражающих устройств (СОУ). Изменения к существующему тексту Правил № 48 выделены жирным шрифтом в случае новых положений или зачеркиванием в случае исключенных элементов. Часть текста заключена в квадратные скобки для указания на то, что требуется продолжить обсуждение и принять решение. </w:t>
      </w:r>
    </w:p>
    <w:p w:rsidR="00B83A9F" w:rsidRPr="00B83A9F" w:rsidRDefault="00B83A9F" w:rsidP="00B83A9F">
      <w:pPr>
        <w:tabs>
          <w:tab w:val="left" w:pos="8505"/>
        </w:tabs>
        <w:suppressAutoHyphens/>
        <w:ind w:left="1134" w:right="1275"/>
        <w:jc w:val="both"/>
        <w:rPr>
          <w:spacing w:val="0"/>
          <w:w w:val="100"/>
          <w:kern w:val="0"/>
        </w:rPr>
      </w:pPr>
    </w:p>
    <w:p w:rsidR="00B83A9F" w:rsidRPr="00B83A9F" w:rsidRDefault="00B83A9F" w:rsidP="00B83A9F">
      <w:pPr>
        <w:suppressAutoHyphens/>
        <w:spacing w:line="240" w:lineRule="auto"/>
        <w:rPr>
          <w:b/>
          <w:spacing w:val="0"/>
          <w:w w:val="100"/>
          <w:kern w:val="0"/>
          <w:sz w:val="28"/>
        </w:rPr>
      </w:pPr>
      <w:r w:rsidRPr="00B83A9F">
        <w:rPr>
          <w:spacing w:val="0"/>
          <w:w w:val="100"/>
          <w:kern w:val="0"/>
        </w:rPr>
        <w:br w:type="page"/>
      </w:r>
    </w:p>
    <w:p w:rsidR="00B83A9F" w:rsidRPr="00B83A9F" w:rsidRDefault="00B83A9F" w:rsidP="005433F9">
      <w:pPr>
        <w:pStyle w:val="HChGR"/>
      </w:pPr>
      <w:r w:rsidRPr="00B83A9F">
        <w:lastRenderedPageBreak/>
        <w:tab/>
        <w:t>I.</w:t>
      </w:r>
      <w:r w:rsidRPr="00B83A9F">
        <w:tab/>
        <w:t>Предложение</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2.7.16.4</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«2.7.16.4</w:t>
      </w:r>
      <w:r w:rsidRPr="005433F9">
        <w:rPr>
          <w:spacing w:val="0"/>
          <w:w w:val="100"/>
          <w:kern w:val="0"/>
        </w:rPr>
        <w:tab/>
        <w:t xml:space="preserve">Светоотражающие материалы, официально утвержденные в качестве класса D или Е в соответствии с Правилами № 104 </w:t>
      </w:r>
      <w:r w:rsidRPr="005433F9">
        <w:rPr>
          <w:b/>
          <w:bCs/>
          <w:spacing w:val="0"/>
          <w:w w:val="100"/>
          <w:kern w:val="0"/>
        </w:rPr>
        <w:t xml:space="preserve">или [СОУ] </w:t>
      </w:r>
      <w:r w:rsidRPr="005433F9">
        <w:rPr>
          <w:spacing w:val="0"/>
          <w:w w:val="100"/>
          <w:kern w:val="0"/>
        </w:rPr>
        <w:t>и используемые для других целей в силу национальных требований, например для рекламы».</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 xml:space="preserve">Пункт 2.7.28 </w:t>
      </w:r>
      <w:r w:rsidRPr="005433F9">
        <w:rPr>
          <w:spacing w:val="0"/>
          <w:w w:val="100"/>
          <w:kern w:val="0"/>
        </w:rPr>
        <w:t>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«2.7.28</w:t>
      </w:r>
      <w:r w:rsidRPr="005433F9">
        <w:rPr>
          <w:spacing w:val="0"/>
          <w:w w:val="100"/>
          <w:kern w:val="0"/>
        </w:rPr>
        <w:tab/>
        <w:t>"</w:t>
      </w:r>
      <w:r w:rsidRPr="005433F9">
        <w:rPr>
          <w:i/>
          <w:iCs/>
          <w:spacing w:val="0"/>
          <w:w w:val="100"/>
          <w:kern w:val="0"/>
        </w:rPr>
        <w:t>Адаптивная система переднего освещения</w:t>
      </w:r>
      <w:r w:rsidRPr="005433F9">
        <w:rPr>
          <w:spacing w:val="0"/>
          <w:w w:val="100"/>
          <w:kern w:val="0"/>
        </w:rPr>
        <w:t>" (или "</w:t>
      </w:r>
      <w:r w:rsidRPr="005433F9">
        <w:rPr>
          <w:i/>
          <w:iCs/>
          <w:spacing w:val="0"/>
          <w:w w:val="100"/>
          <w:kern w:val="0"/>
        </w:rPr>
        <w:t>АСПО</w:t>
      </w:r>
      <w:r w:rsidRPr="005433F9">
        <w:rPr>
          <w:spacing w:val="0"/>
          <w:w w:val="100"/>
          <w:kern w:val="0"/>
        </w:rPr>
        <w:t xml:space="preserve">") означает осветительное устройство, тип которого официально утвержден в соответствии с Правилами № 123 </w:t>
      </w:r>
      <w:r w:rsidRPr="005433F9">
        <w:rPr>
          <w:b/>
          <w:bCs/>
          <w:spacing w:val="0"/>
          <w:w w:val="100"/>
          <w:kern w:val="0"/>
        </w:rPr>
        <w:t>или [СОУ]</w:t>
      </w:r>
      <w:r w:rsidRPr="005433F9">
        <w:rPr>
          <w:spacing w:val="0"/>
          <w:w w:val="100"/>
          <w:kern w:val="0"/>
        </w:rPr>
        <w:t>, в котором используются лучи света с различными характеристиками для автоматической адаптации к изменяющимся условиям применения луча ближнего света и, если это применимо, луча дальнего света».</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3.2.6.2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«3.2.6.2</w:t>
      </w:r>
      <w:r w:rsidRPr="005433F9">
        <w:rPr>
          <w:spacing w:val="0"/>
          <w:w w:val="100"/>
          <w:kern w:val="0"/>
        </w:rPr>
        <w:tab/>
        <w:t xml:space="preserve">соответствующие управляющие сигналы АСПО и их технические характеристики, определенные в приложении 10 к Правилам № 123 </w:t>
      </w:r>
      <w:r w:rsidRPr="005433F9">
        <w:rPr>
          <w:b/>
          <w:bCs/>
          <w:spacing w:val="0"/>
          <w:w w:val="100"/>
          <w:kern w:val="0"/>
        </w:rPr>
        <w:t>или в приложении 14 к Правилам №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w:t>
      </w:r>
      <w:r w:rsidRPr="005433F9">
        <w:rPr>
          <w:spacing w:val="0"/>
          <w:w w:val="100"/>
          <w:kern w:val="0"/>
        </w:rPr>
        <w:tab/>
        <w:t xml:space="preserve">ФАРА ДАЛЬНЕГО СВЕТА (Правила № 98, </w:t>
      </w:r>
      <w:r w:rsidRPr="005433F9">
        <w:rPr>
          <w:strike/>
          <w:spacing w:val="0"/>
          <w:w w:val="100"/>
          <w:kern w:val="0"/>
        </w:rPr>
        <w:t>и</w:t>
      </w:r>
      <w:r w:rsidRPr="005433F9">
        <w:rPr>
          <w:spacing w:val="0"/>
          <w:w w:val="100"/>
          <w:kern w:val="0"/>
        </w:rPr>
        <w:t xml:space="preserve"> 112 </w:t>
      </w:r>
      <w:r w:rsidRPr="005433F9">
        <w:rPr>
          <w:b/>
          <w:bCs/>
          <w:spacing w:val="0"/>
          <w:w w:val="100"/>
          <w:kern w:val="0"/>
        </w:rPr>
        <w:t>и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w:t>
      </w:r>
      <w:r w:rsidRPr="005433F9">
        <w:rPr>
          <w:spacing w:val="0"/>
          <w:w w:val="100"/>
          <w:kern w:val="0"/>
        </w:rPr>
        <w:tab/>
        <w:t xml:space="preserve">ФАРА БЛИЖНЕГО СВЕТА (Правила № 98, </w:t>
      </w:r>
      <w:r w:rsidRPr="005433F9">
        <w:rPr>
          <w:strike/>
          <w:spacing w:val="0"/>
          <w:w w:val="100"/>
          <w:kern w:val="0"/>
        </w:rPr>
        <w:t>и</w:t>
      </w:r>
      <w:r w:rsidRPr="005433F9">
        <w:rPr>
          <w:spacing w:val="0"/>
          <w:w w:val="100"/>
          <w:kern w:val="0"/>
        </w:rPr>
        <w:t xml:space="preserve"> 112 </w:t>
      </w:r>
      <w:r w:rsidRPr="005433F9">
        <w:rPr>
          <w:b/>
          <w:bCs/>
          <w:spacing w:val="0"/>
          <w:w w:val="100"/>
          <w:kern w:val="0"/>
        </w:rPr>
        <w:t>и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6.2.7</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«6.2.7</w:t>
      </w:r>
      <w:r w:rsidRPr="005433F9">
        <w:rPr>
          <w:spacing w:val="0"/>
          <w:w w:val="100"/>
          <w:kern w:val="0"/>
        </w:rPr>
        <w:tab/>
        <w:t>Функциональная электрическая схема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Переключение на ближний свет должно вызывать одновременное выключение всех фар дальнего света.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Огни ближнего света могут оставаться включенными одновременно с огнями дальнего света.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В случае фар ближнего света, соответствующих Правилам № 98 </w:t>
      </w:r>
      <w:r w:rsidR="00B83A9F" w:rsidRPr="005433F9">
        <w:rPr>
          <w:b/>
          <w:bCs/>
          <w:spacing w:val="0"/>
          <w:w w:val="100"/>
          <w:kern w:val="0"/>
        </w:rPr>
        <w:t>или</w:t>
      </w:r>
      <w:r w:rsidR="000B3DBC" w:rsidRPr="005433F9">
        <w:rPr>
          <w:b/>
          <w:bCs/>
          <w:spacing w:val="0"/>
          <w:w w:val="100"/>
          <w:kern w:val="0"/>
          <w:lang w:val="en-US"/>
        </w:rPr>
        <w:t> </w:t>
      </w:r>
      <w:r w:rsidR="00B83A9F" w:rsidRPr="005433F9">
        <w:rPr>
          <w:b/>
          <w:bCs/>
          <w:spacing w:val="0"/>
          <w:w w:val="100"/>
          <w:kern w:val="0"/>
        </w:rPr>
        <w:t>[УОД]</w:t>
      </w:r>
      <w:r w:rsidR="00B83A9F" w:rsidRPr="005433F9">
        <w:rPr>
          <w:spacing w:val="0"/>
          <w:w w:val="100"/>
          <w:kern w:val="0"/>
        </w:rPr>
        <w:t>, газоразрядные источники света должны оставаться включенными при работающих огнях дальнего света.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Один дополнительный источник света либо один или более модулей СИД, расположенных внутри фар ближнего света или огня (за</w:t>
      </w:r>
      <w:r w:rsidR="000B3DBC" w:rsidRPr="005433F9">
        <w:rPr>
          <w:spacing w:val="0"/>
          <w:w w:val="100"/>
          <w:kern w:val="0"/>
          <w:lang w:val="en-US"/>
        </w:rPr>
        <w:t> </w:t>
      </w:r>
      <w:r w:rsidR="00B83A9F" w:rsidRPr="005433F9">
        <w:rPr>
          <w:spacing w:val="0"/>
          <w:w w:val="100"/>
          <w:kern w:val="0"/>
        </w:rPr>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ответственным за официальное утверждение типа.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6.2.9</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i/>
          <w:spacing w:val="0"/>
          <w:w w:val="100"/>
          <w:kern w:val="0"/>
        </w:rPr>
      </w:pPr>
      <w:r w:rsidRPr="005433F9">
        <w:rPr>
          <w:spacing w:val="0"/>
          <w:w w:val="100"/>
          <w:kern w:val="0"/>
        </w:rPr>
        <w:t>«6.2.9</w:t>
      </w:r>
      <w:r w:rsidRPr="005433F9">
        <w:rPr>
          <w:spacing w:val="0"/>
          <w:w w:val="100"/>
          <w:kern w:val="0"/>
        </w:rPr>
        <w:tab/>
        <w:t xml:space="preserve">Прочие требования </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Требования, содержащиеся в пункте 5.5.2, не применяют к фарам ближнего света.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lastRenderedPageBreak/>
        <w:tab/>
      </w:r>
      <w:r w:rsidR="00B83A9F" w:rsidRPr="005433F9">
        <w:rPr>
          <w:spacing w:val="0"/>
          <w:w w:val="100"/>
          <w:kern w:val="0"/>
        </w:rPr>
        <w:t>Фары ближнего света с источником света или модулем(ями) СИД, создающим(и) основной луч ближнего света и имеющим(и) номинальный световой поток более 2 000 люмен, устанавливаются только совместно с устройством(ами) для очистки фар в соответствии с Правилами № 45</w:t>
      </w:r>
      <w:r w:rsidR="00B83A9F" w:rsidRPr="005433F9">
        <w:rPr>
          <w:spacing w:val="0"/>
          <w:w w:val="100"/>
          <w:kern w:val="0"/>
          <w:sz w:val="18"/>
          <w:vertAlign w:val="superscript"/>
        </w:rPr>
        <w:t>9</w:t>
      </w:r>
      <w:r w:rsidR="00B83A9F" w:rsidRPr="005433F9">
        <w:rPr>
          <w:spacing w:val="0"/>
          <w:w w:val="100"/>
          <w:kern w:val="0"/>
        </w:rPr>
        <w:t>.</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В отношении вертикального наклона положения пункта 6.2.6.2.2 выше не применяют к фарам ближнего света:</w:t>
      </w:r>
    </w:p>
    <w:p w:rsidR="00B83A9F" w:rsidRPr="005433F9" w:rsidRDefault="00B83A9F" w:rsidP="005433F9">
      <w:pPr>
        <w:pStyle w:val="SingleTxtGR"/>
        <w:tabs>
          <w:tab w:val="clear" w:pos="1701"/>
        </w:tabs>
        <w:suppressAutoHyphens/>
        <w:ind w:left="2835" w:hanging="567"/>
        <w:rPr>
          <w:spacing w:val="0"/>
          <w:w w:val="100"/>
          <w:kern w:val="0"/>
        </w:rPr>
      </w:pPr>
      <w:r w:rsidRPr="005433F9">
        <w:rPr>
          <w:spacing w:val="0"/>
          <w:w w:val="100"/>
          <w:kern w:val="0"/>
          <w:lang w:val="en-US"/>
        </w:rPr>
        <w:t>a</w:t>
      </w:r>
      <w:r w:rsidRPr="005433F9">
        <w:rPr>
          <w:spacing w:val="0"/>
          <w:w w:val="100"/>
          <w:kern w:val="0"/>
        </w:rPr>
        <w:t>)</w:t>
      </w:r>
      <w:r w:rsidRPr="005433F9">
        <w:rPr>
          <w:spacing w:val="0"/>
          <w:w w:val="100"/>
          <w:kern w:val="0"/>
        </w:rPr>
        <w:tab/>
        <w:t>с модулем(ями) СИД, создающим(и) основной луч ближнего света, или</w:t>
      </w:r>
    </w:p>
    <w:p w:rsidR="00B83A9F" w:rsidRPr="005433F9" w:rsidRDefault="00B83A9F" w:rsidP="005433F9">
      <w:pPr>
        <w:pStyle w:val="SingleTxtGR"/>
        <w:tabs>
          <w:tab w:val="clear" w:pos="1701"/>
        </w:tabs>
        <w:suppressAutoHyphens/>
        <w:ind w:left="2835" w:hanging="567"/>
        <w:rPr>
          <w:spacing w:val="0"/>
          <w:w w:val="100"/>
          <w:kern w:val="0"/>
        </w:rPr>
      </w:pPr>
      <w:r w:rsidRPr="005433F9">
        <w:rPr>
          <w:spacing w:val="0"/>
          <w:w w:val="100"/>
          <w:kern w:val="0"/>
          <w:lang w:val="en-US"/>
        </w:rPr>
        <w:t>b</w:t>
      </w:r>
      <w:r w:rsidRPr="005433F9">
        <w:rPr>
          <w:spacing w:val="0"/>
          <w:w w:val="100"/>
          <w:kern w:val="0"/>
        </w:rPr>
        <w:t>)</w:t>
      </w:r>
      <w:r w:rsidRPr="005433F9">
        <w:rPr>
          <w:spacing w:val="0"/>
          <w:w w:val="100"/>
          <w:kern w:val="0"/>
        </w:rPr>
        <w:tab/>
        <w:t>с источником света, создающим основной луч ближнего света и имеющим номинальный световой поток более 2 000 люмен.</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ab/>
        <w:t xml:space="preserve">Для обеспечения поворотного освещения могут использоваться только фары ближнего света, отвечающие требованиям Правил № 98, </w:t>
      </w:r>
      <w:r w:rsidRPr="005433F9">
        <w:rPr>
          <w:strike/>
          <w:spacing w:val="0"/>
          <w:w w:val="100"/>
          <w:kern w:val="0"/>
        </w:rPr>
        <w:t>и</w:t>
      </w:r>
      <w:r w:rsidRPr="005433F9">
        <w:rPr>
          <w:spacing w:val="0"/>
          <w:w w:val="100"/>
          <w:kern w:val="0"/>
        </w:rPr>
        <w:t xml:space="preserve"> 112 </w:t>
      </w:r>
      <w:r w:rsidRPr="005433F9">
        <w:rPr>
          <w:b/>
          <w:bCs/>
          <w:spacing w:val="0"/>
          <w:w w:val="100"/>
          <w:kern w:val="0"/>
        </w:rPr>
        <w:t>или [УОД]</w:t>
      </w:r>
      <w:r w:rsidRPr="00E52031">
        <w:rPr>
          <w:bCs/>
          <w:spacing w:val="0"/>
          <w:w w:val="100"/>
          <w:kern w:val="0"/>
        </w:rPr>
        <w:t>»</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6.3</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«6.3</w:t>
      </w:r>
      <w:r w:rsidRPr="005433F9">
        <w:rPr>
          <w:spacing w:val="0"/>
          <w:w w:val="100"/>
          <w:kern w:val="0"/>
        </w:rPr>
        <w:tab/>
        <w:t xml:space="preserve">ПЕРЕДНЯЯ ПРОТИВОТУМАННАЯ ФАРА (Правила № 19 </w:t>
      </w:r>
      <w:r w:rsidRPr="005433F9">
        <w:rPr>
          <w:b/>
          <w:bCs/>
          <w:spacing w:val="0"/>
          <w:w w:val="100"/>
          <w:kern w:val="0"/>
        </w:rPr>
        <w:t>или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6.3.2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iCs/>
          <w:spacing w:val="0"/>
          <w:w w:val="100"/>
          <w:kern w:val="0"/>
        </w:rPr>
      </w:pPr>
      <w:r w:rsidRPr="005433F9">
        <w:rPr>
          <w:spacing w:val="0"/>
          <w:w w:val="100"/>
          <w:kern w:val="0"/>
        </w:rPr>
        <w:t>«6.3.2</w:t>
      </w:r>
      <w:r w:rsidRPr="005433F9">
        <w:rPr>
          <w:spacing w:val="0"/>
          <w:w w:val="100"/>
          <w:kern w:val="0"/>
        </w:rPr>
        <w:tab/>
        <w:t>Число</w:t>
      </w:r>
    </w:p>
    <w:p w:rsidR="00B83A9F" w:rsidRPr="005433F9" w:rsidRDefault="005433F9" w:rsidP="005433F9">
      <w:pPr>
        <w:pStyle w:val="SingleTxtGR"/>
        <w:tabs>
          <w:tab w:val="clear" w:pos="1701"/>
        </w:tabs>
        <w:suppressAutoHyphens/>
        <w:ind w:left="2268" w:hanging="1134"/>
        <w:rPr>
          <w:bCs/>
          <w:spacing w:val="0"/>
          <w:w w:val="100"/>
          <w:kern w:val="0"/>
        </w:rPr>
      </w:pPr>
      <w:r>
        <w:rPr>
          <w:spacing w:val="0"/>
          <w:w w:val="100"/>
          <w:kern w:val="0"/>
        </w:rPr>
        <w:tab/>
      </w:r>
      <w:r w:rsidR="00B83A9F" w:rsidRPr="005433F9">
        <w:rPr>
          <w:spacing w:val="0"/>
          <w:w w:val="100"/>
          <w:kern w:val="0"/>
        </w:rPr>
        <w:t xml:space="preserve">Две; в соответствии с требованиями </w:t>
      </w:r>
      <w:r w:rsidR="00B83A9F" w:rsidRPr="005433F9">
        <w:rPr>
          <w:b/>
          <w:bCs/>
          <w:spacing w:val="0"/>
          <w:w w:val="100"/>
          <w:kern w:val="0"/>
        </w:rPr>
        <w:t>либо</w:t>
      </w:r>
      <w:r w:rsidR="00B83A9F" w:rsidRPr="005433F9">
        <w:rPr>
          <w:spacing w:val="0"/>
          <w:w w:val="100"/>
          <w:kern w:val="0"/>
        </w:rPr>
        <w:t xml:space="preserve"> поправок серии 03 и</w:t>
      </w:r>
      <w:r w:rsidR="000B3DBC" w:rsidRPr="005433F9">
        <w:rPr>
          <w:spacing w:val="0"/>
          <w:w w:val="100"/>
          <w:kern w:val="0"/>
          <w:lang w:val="en-US"/>
        </w:rPr>
        <w:t> </w:t>
      </w:r>
      <w:r w:rsidR="00B83A9F" w:rsidRPr="005433F9">
        <w:rPr>
          <w:spacing w:val="0"/>
          <w:w w:val="100"/>
          <w:kern w:val="0"/>
        </w:rPr>
        <w:t xml:space="preserve">последующих серий поправок к Правилам № 19, </w:t>
      </w:r>
      <w:r w:rsidR="00B83A9F" w:rsidRPr="005433F9">
        <w:rPr>
          <w:b/>
          <w:bCs/>
          <w:spacing w:val="0"/>
          <w:w w:val="100"/>
          <w:kern w:val="0"/>
        </w:rPr>
        <w:t>либо Правил</w:t>
      </w:r>
      <w:r w:rsidR="000B3DBC" w:rsidRPr="005433F9">
        <w:rPr>
          <w:b/>
          <w:bCs/>
          <w:spacing w:val="0"/>
          <w:w w:val="100"/>
          <w:kern w:val="0"/>
          <w:lang w:val="en-US"/>
        </w:rPr>
        <w:t> </w:t>
      </w:r>
      <w:r w:rsidR="00B83A9F" w:rsidRPr="005433F9">
        <w:rPr>
          <w:b/>
          <w:bCs/>
          <w:spacing w:val="0"/>
          <w:w w:val="100"/>
          <w:kern w:val="0"/>
        </w:rPr>
        <w:t>№</w:t>
      </w:r>
      <w:r w:rsidR="000B3DBC" w:rsidRPr="005433F9">
        <w:rPr>
          <w:b/>
          <w:bCs/>
          <w:spacing w:val="0"/>
          <w:w w:val="100"/>
          <w:kern w:val="0"/>
          <w:lang w:val="en-US"/>
        </w:rPr>
        <w:t> </w:t>
      </w:r>
      <w:r w:rsidR="00B83A9F" w:rsidRPr="005433F9">
        <w:rPr>
          <w:b/>
          <w:bCs/>
          <w:spacing w:val="0"/>
          <w:w w:val="100"/>
          <w:kern w:val="0"/>
        </w:rPr>
        <w:t>[УОД]</w:t>
      </w:r>
      <w:r w:rsidR="00B83A9F"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6.3.9</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u w:val="single"/>
        </w:rPr>
      </w:pPr>
      <w:r w:rsidRPr="005433F9">
        <w:rPr>
          <w:spacing w:val="0"/>
          <w:w w:val="100"/>
          <w:kern w:val="0"/>
        </w:rPr>
        <w:t>«6.3.9</w:t>
      </w:r>
      <w:r w:rsidRPr="005433F9">
        <w:rPr>
          <w:spacing w:val="0"/>
          <w:w w:val="100"/>
          <w:kern w:val="0"/>
        </w:rPr>
        <w:tab/>
        <w:t>Прочие требования</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В случае утвердительного ответа по пункту 10.9 в карточке сообщения, приведенной в приложении 1 к Правилам № 19 </w:t>
      </w:r>
      <w:r w:rsidR="00B83A9F" w:rsidRPr="005433F9">
        <w:rPr>
          <w:b/>
          <w:bCs/>
          <w:spacing w:val="0"/>
          <w:w w:val="100"/>
          <w:kern w:val="0"/>
        </w:rPr>
        <w:t>или пункте 9.5.8</w:t>
      </w:r>
      <w:r w:rsidR="00B83A9F" w:rsidRPr="005433F9">
        <w:rPr>
          <w:spacing w:val="0"/>
          <w:w w:val="100"/>
          <w:kern w:val="0"/>
        </w:rPr>
        <w:t xml:space="preserve"> </w:t>
      </w:r>
      <w:r w:rsidR="00B83A9F" w:rsidRPr="005433F9">
        <w:rPr>
          <w:b/>
          <w:bCs/>
          <w:spacing w:val="0"/>
          <w:w w:val="100"/>
          <w:kern w:val="0"/>
        </w:rPr>
        <w:t>приложения 1 к Правилам № [УОД]</w:t>
      </w:r>
      <w:r w:rsidR="00B83A9F" w:rsidRPr="005433F9">
        <w:rPr>
          <w:spacing w:val="0"/>
          <w:w w:val="100"/>
          <w:kern w:val="0"/>
        </w:rPr>
        <w:t>,</w:t>
      </w:r>
      <w:r w:rsidR="00B83A9F" w:rsidRPr="005433F9">
        <w:rPr>
          <w:b/>
          <w:bCs/>
          <w:spacing w:val="0"/>
          <w:w w:val="100"/>
          <w:kern w:val="0"/>
        </w:rPr>
        <w:t xml:space="preserve"> </w:t>
      </w:r>
      <w:r w:rsidR="00B83A9F" w:rsidRPr="005433F9">
        <w:rPr>
          <w:spacing w:val="0"/>
          <w:w w:val="100"/>
          <w:kern w:val="0"/>
        </w:rPr>
        <w:t>ориентация и сила света луча передней противотуманной фары класса "F3" могут автоматически корректироваться в зависимости от преобладающих окружающих условий. Любое изменение силы света или ориентации производятся автоматически, причем таким образом, чтобы это не причиняло неудобства ни водителю, ни другим участникам дорожного движения».</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6.4</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b/>
          <w:spacing w:val="0"/>
          <w:w w:val="100"/>
          <w:kern w:val="0"/>
        </w:rPr>
      </w:pPr>
      <w:r w:rsidRPr="005433F9">
        <w:rPr>
          <w:spacing w:val="0"/>
          <w:w w:val="100"/>
          <w:kern w:val="0"/>
        </w:rPr>
        <w:t>«6.4</w:t>
      </w:r>
      <w:r w:rsidRPr="005433F9">
        <w:rPr>
          <w:spacing w:val="0"/>
          <w:w w:val="100"/>
          <w:kern w:val="0"/>
        </w:rPr>
        <w:tab/>
        <w:t xml:space="preserve">ЗАДНЯЯ ФАРА (Правила № 23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6.5</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«6.5</w:t>
      </w:r>
      <w:r w:rsidRPr="005433F9">
        <w:rPr>
          <w:spacing w:val="0"/>
          <w:w w:val="100"/>
          <w:kern w:val="0"/>
        </w:rPr>
        <w:tab/>
        <w:t xml:space="preserve">УКАЗАТЕЛЬ ПОВОРОТА (Правила № 6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6.5.8</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«6.5.8</w:t>
      </w:r>
      <w:r w:rsidRPr="005433F9">
        <w:rPr>
          <w:spacing w:val="0"/>
          <w:w w:val="100"/>
          <w:kern w:val="0"/>
        </w:rPr>
        <w:tab/>
        <w:t>Контрольный сигнал</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ab/>
        <w:t>Контрольный сигнал функционирования является обязательным для указателей поворота категорий 1, 1a, 1b, 2a и 2b. Он может быть визуальным, звуковым или визуально-звуковым. Если он является визуальным, то он должен быть мигающим и, по крайней мере в случае неисправности любого из этих указателей поворота, должен отключаться или оставаться включенным и не мигать или заметно менять установленную частоту мигания. Если он является полностью звуковым, то он должен быть отчетливо слышен и должен заметно менять установленную частоту подачи звукового сигнала, по крайней мере в случае неисправности любого из этих указателей поворота.</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Он должен включаться сигналом, генерируемым в соответствии с пунктом 6.4.2 Правил № 6 </w:t>
      </w:r>
      <w:r w:rsidR="00B83A9F" w:rsidRPr="005433F9">
        <w:rPr>
          <w:b/>
          <w:bCs/>
          <w:spacing w:val="0"/>
          <w:w w:val="100"/>
          <w:kern w:val="0"/>
        </w:rPr>
        <w:t>или с пунктом 5.6.3 Правил № [УСС]</w:t>
      </w:r>
      <w:r w:rsidR="00B83A9F" w:rsidRPr="005433F9">
        <w:rPr>
          <w:spacing w:val="0"/>
          <w:w w:val="100"/>
          <w:kern w:val="0"/>
        </w:rPr>
        <w:t xml:space="preserve"> либо иным подходящим способом</w:t>
      </w:r>
      <w:r w:rsidR="00B83A9F" w:rsidRPr="005433F9">
        <w:rPr>
          <w:spacing w:val="0"/>
          <w:w w:val="100"/>
          <w:kern w:val="0"/>
          <w:vertAlign w:val="superscript"/>
        </w:rPr>
        <w:t>15</w:t>
      </w:r>
      <w:r w:rsidR="00B83A9F" w:rsidRPr="005433F9">
        <w:rPr>
          <w:spacing w:val="0"/>
          <w:w w:val="100"/>
          <w:kern w:val="0"/>
        </w:rPr>
        <w:t>.</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Если автомобиль оборудован для буксировки прицепа, то в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на нем должен быть установлен специальный визуальный контрольный сигнал функционирования для указателей поворота, установленных на прицепе.</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Для факультативных указателей поворота на автомобилях и прицепах функционирующий контрольный сигнал является необязательным».</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6.7</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«6.7</w:t>
      </w:r>
      <w:r w:rsidRPr="005433F9">
        <w:rPr>
          <w:spacing w:val="0"/>
          <w:w w:val="100"/>
          <w:kern w:val="0"/>
        </w:rPr>
        <w:tab/>
        <w:t xml:space="preserve">СИГНАЛ ТОРМОЖЕНИЯ (Правила № 7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6.8</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«6.8</w:t>
      </w:r>
      <w:r w:rsidRPr="005433F9">
        <w:rPr>
          <w:spacing w:val="0"/>
          <w:w w:val="100"/>
          <w:kern w:val="0"/>
        </w:rPr>
        <w:tab/>
        <w:t xml:space="preserve">ФОНАРЬ ОСВЕЩЕНИЯ ЗАДНЕГО РЕГИСТРАЦИОННОГО ЗНАКА (Правила № 4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6.9</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b/>
          <w:spacing w:val="0"/>
          <w:w w:val="100"/>
          <w:kern w:val="0"/>
        </w:rPr>
      </w:pPr>
      <w:r w:rsidRPr="005433F9">
        <w:rPr>
          <w:spacing w:val="0"/>
          <w:w w:val="100"/>
          <w:kern w:val="0"/>
        </w:rPr>
        <w:t>«6.9</w:t>
      </w:r>
      <w:r w:rsidRPr="005433F9">
        <w:rPr>
          <w:spacing w:val="0"/>
          <w:w w:val="100"/>
          <w:kern w:val="0"/>
        </w:rPr>
        <w:tab/>
        <w:t xml:space="preserve">ПЕРЕДНИЙ ГАБАРИТНЫЙ ОГОНЬ (Правила № 7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6.10</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«6.10</w:t>
      </w:r>
      <w:r w:rsidRPr="005433F9">
        <w:rPr>
          <w:spacing w:val="0"/>
          <w:w w:val="100"/>
          <w:kern w:val="0"/>
        </w:rPr>
        <w:tab/>
        <w:t xml:space="preserve">ЗАДНИЙ ГАБАРИТНЫЙ ОГОНЬ (Правила № 7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6.11</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«6.11</w:t>
      </w:r>
      <w:r w:rsidRPr="005433F9">
        <w:rPr>
          <w:spacing w:val="0"/>
          <w:w w:val="100"/>
          <w:kern w:val="0"/>
        </w:rPr>
        <w:tab/>
        <w:t xml:space="preserve">ЗАДНИЙ ПРОТИВОТУМАННЫЙ ОГОНЬ (Правила № 3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b/>
          <w:spacing w:val="0"/>
          <w:w w:val="100"/>
          <w:kern w:val="0"/>
        </w:rPr>
      </w:pPr>
      <w:r w:rsidRPr="005433F9">
        <w:rPr>
          <w:spacing w:val="0"/>
          <w:w w:val="100"/>
          <w:kern w:val="0"/>
        </w:rPr>
        <w:t>«6.12</w:t>
      </w:r>
      <w:r w:rsidRPr="005433F9">
        <w:rPr>
          <w:spacing w:val="0"/>
          <w:w w:val="100"/>
          <w:kern w:val="0"/>
        </w:rPr>
        <w:tab/>
        <w:t xml:space="preserve">СТОЯНОЧНЫЙ ОГОНЬ (Правила № 77, </w:t>
      </w:r>
      <w:r w:rsidRPr="005433F9">
        <w:rPr>
          <w:strike/>
          <w:spacing w:val="0"/>
          <w:w w:val="100"/>
          <w:kern w:val="0"/>
        </w:rPr>
        <w:t>или</w:t>
      </w:r>
      <w:r w:rsidRPr="005433F9">
        <w:rPr>
          <w:spacing w:val="0"/>
          <w:w w:val="100"/>
          <w:kern w:val="0"/>
        </w:rPr>
        <w:t xml:space="preserve"> 7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6.13</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«6.13</w:t>
      </w:r>
      <w:r w:rsidRPr="005433F9">
        <w:rPr>
          <w:spacing w:val="0"/>
          <w:w w:val="100"/>
          <w:kern w:val="0"/>
        </w:rPr>
        <w:tab/>
        <w:t xml:space="preserve">КОНТУРНЫЙ ОГОНЬ (Правила № 7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6.14</w:t>
      </w:r>
      <w:r w:rsidRPr="005433F9">
        <w:rPr>
          <w:spacing w:val="0"/>
          <w:w w:val="100"/>
          <w:kern w:val="0"/>
        </w:rPr>
        <w:t xml:space="preserve"> изменить следующим образом:</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w:t>
      </w:r>
      <w:r w:rsidR="00B83A9F" w:rsidRPr="005433F9">
        <w:rPr>
          <w:spacing w:val="0"/>
          <w:w w:val="100"/>
          <w:kern w:val="0"/>
        </w:rPr>
        <w:t>6.14</w:t>
      </w:r>
      <w:r w:rsidR="00B83A9F" w:rsidRPr="005433F9">
        <w:rPr>
          <w:spacing w:val="0"/>
          <w:w w:val="100"/>
          <w:kern w:val="0"/>
        </w:rPr>
        <w:tab/>
        <w:t xml:space="preserve">ЗАДНЕЕ СВЕТООТРАЖАЮЩЕЕ УСТРОЙСТВО НЕТРЕУГОЛЬНОЙ ФОРМЫ (Правила № 3 </w:t>
      </w:r>
      <w:r w:rsidR="00B83A9F" w:rsidRPr="005433F9">
        <w:rPr>
          <w:b/>
          <w:bCs/>
          <w:spacing w:val="0"/>
          <w:w w:val="100"/>
          <w:kern w:val="0"/>
        </w:rPr>
        <w:t>или [СОУ]</w:t>
      </w:r>
      <w:r w:rsidR="00B83A9F"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6.14.2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«6.14.2</w:t>
      </w:r>
      <w:r w:rsidRPr="005433F9">
        <w:rPr>
          <w:spacing w:val="0"/>
          <w:w w:val="100"/>
          <w:kern w:val="0"/>
        </w:rPr>
        <w:tab/>
        <w:t>Число</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00B83A9F" w:rsidRPr="005433F9">
        <w:rPr>
          <w:b/>
          <w:bCs/>
          <w:spacing w:val="0"/>
          <w:w w:val="100"/>
          <w:kern w:val="0"/>
        </w:rPr>
        <w:t>или [СОУ]</w:t>
      </w:r>
      <w:r w:rsidR="00B83A9F" w:rsidRPr="005433F9">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6.15</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«6.15</w:t>
      </w:r>
      <w:r w:rsidRPr="005433F9">
        <w:rPr>
          <w:spacing w:val="0"/>
          <w:w w:val="100"/>
          <w:kern w:val="0"/>
        </w:rPr>
        <w:tab/>
        <w:t xml:space="preserve">ЗАДНЕЕ СВЕТООТРАЖАЮЩЕЕ УСТРОЙСТВО ТРЕУГОЛЬНОЙ ФОРМЫ (Правила № 3 </w:t>
      </w:r>
      <w:r w:rsidRPr="005433F9">
        <w:rPr>
          <w:b/>
          <w:bCs/>
          <w:spacing w:val="0"/>
          <w:w w:val="100"/>
          <w:kern w:val="0"/>
        </w:rPr>
        <w:t>или [СОУ]</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6.15.2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«6.15.2</w:t>
      </w:r>
      <w:r w:rsidRPr="005433F9">
        <w:rPr>
          <w:spacing w:val="0"/>
          <w:w w:val="100"/>
          <w:kern w:val="0"/>
        </w:rPr>
        <w:tab/>
        <w:t>Число</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Два устройства, рабочие характеристики которых должны соответствовать требованиям для светоотражающих устройств класса</w:t>
      </w:r>
      <w:r w:rsidR="00D2147B">
        <w:rPr>
          <w:spacing w:val="0"/>
          <w:w w:val="100"/>
          <w:kern w:val="0"/>
        </w:rPr>
        <w:t> </w:t>
      </w:r>
      <w:r w:rsidR="00B83A9F" w:rsidRPr="005433F9">
        <w:rPr>
          <w:spacing w:val="0"/>
          <w:w w:val="100"/>
          <w:kern w:val="0"/>
        </w:rPr>
        <w:t xml:space="preserve">IIIA или IIIВ, изложенным в Правилах № 3 </w:t>
      </w:r>
      <w:r w:rsidR="00B83A9F" w:rsidRPr="005433F9">
        <w:rPr>
          <w:b/>
          <w:bCs/>
          <w:spacing w:val="0"/>
          <w:w w:val="100"/>
          <w:kern w:val="0"/>
        </w:rPr>
        <w:t>или [СОУ]</w:t>
      </w:r>
      <w:r w:rsidR="00B83A9F" w:rsidRPr="005433F9">
        <w:rPr>
          <w:spacing w:val="0"/>
          <w:w w:val="100"/>
          <w:kern w:val="0"/>
        </w:rPr>
        <w:t>.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6.16</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«6.16</w:t>
      </w:r>
      <w:r w:rsidRPr="005433F9">
        <w:rPr>
          <w:spacing w:val="0"/>
          <w:w w:val="100"/>
          <w:kern w:val="0"/>
        </w:rPr>
        <w:tab/>
        <w:t xml:space="preserve">ЗАДНЕЕ СВЕТООТРАЖАЮЩЕЕ УСТРОЙСТВО НЕТРЕУГОЛЬНОЙ ФОРМЫ (Правила № 3 </w:t>
      </w:r>
      <w:r w:rsidRPr="005433F9">
        <w:rPr>
          <w:b/>
          <w:bCs/>
          <w:spacing w:val="0"/>
          <w:w w:val="100"/>
          <w:kern w:val="0"/>
        </w:rPr>
        <w:t>или [СОУ]</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6.16.2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«6.16.2</w:t>
      </w:r>
      <w:r w:rsidRPr="005433F9">
        <w:rPr>
          <w:spacing w:val="0"/>
          <w:w w:val="100"/>
          <w:kern w:val="0"/>
        </w:rPr>
        <w:tab/>
        <w:t>Число</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Два устройства, рабочие характеристики которых должны соответствовать требованиям для светоотражающих устройств класса IA или IB, изложенным в Правилах № 3 </w:t>
      </w:r>
      <w:r w:rsidR="00B83A9F" w:rsidRPr="005433F9">
        <w:rPr>
          <w:b/>
          <w:bCs/>
          <w:spacing w:val="0"/>
          <w:w w:val="100"/>
          <w:kern w:val="0"/>
        </w:rPr>
        <w:t>или [СОУ]</w:t>
      </w:r>
      <w:r w:rsidR="00B83A9F" w:rsidRPr="005433F9">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6.17</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«6.17</w:t>
      </w:r>
      <w:r w:rsidRPr="005433F9">
        <w:rPr>
          <w:spacing w:val="0"/>
          <w:w w:val="100"/>
          <w:kern w:val="0"/>
        </w:rPr>
        <w:tab/>
        <w:t xml:space="preserve">БОКОВОЕ СВЕТООТРАЖАЮЩЕЕ УСТРОЙСТВО НЕТРЕУГОЛЬНОЙ ФОРМЫ (Правила № 3 </w:t>
      </w:r>
      <w:r w:rsidRPr="005433F9">
        <w:rPr>
          <w:b/>
          <w:bCs/>
          <w:spacing w:val="0"/>
          <w:w w:val="100"/>
          <w:kern w:val="0"/>
        </w:rPr>
        <w:t>или [СОУ]</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spacing w:val="0"/>
          <w:w w:val="100"/>
          <w:kern w:val="0"/>
        </w:rPr>
        <w:t>Пункт 6.17.2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«6.17.2</w:t>
      </w:r>
      <w:r w:rsidRPr="005433F9">
        <w:rPr>
          <w:spacing w:val="0"/>
          <w:w w:val="100"/>
          <w:kern w:val="0"/>
        </w:rPr>
        <w:tab/>
        <w:t>Число</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Число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w:t>
      </w:r>
      <w:r w:rsidR="00B83A9F" w:rsidRPr="005433F9">
        <w:rPr>
          <w:b/>
          <w:bCs/>
          <w:spacing w:val="0"/>
          <w:w w:val="100"/>
          <w:kern w:val="0"/>
        </w:rPr>
        <w:t>или [СОУ]</w:t>
      </w:r>
      <w:r w:rsidR="00B83A9F" w:rsidRPr="005433F9">
        <w:rPr>
          <w:spacing w:val="0"/>
          <w:w w:val="100"/>
          <w:kern w:val="0"/>
        </w:rPr>
        <w:t>.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6.18</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«6.18</w:t>
      </w:r>
      <w:r w:rsidRPr="005433F9">
        <w:rPr>
          <w:spacing w:val="0"/>
          <w:w w:val="100"/>
          <w:kern w:val="0"/>
        </w:rPr>
        <w:tab/>
        <w:t xml:space="preserve">Боковые габаритные огни (Правила № 91 </w:t>
      </w:r>
      <w:r w:rsidRPr="005433F9">
        <w:rPr>
          <w:b/>
          <w:bCs/>
          <w:spacing w:val="0"/>
          <w:w w:val="100"/>
          <w:kern w:val="0"/>
        </w:rPr>
        <w:t>или [УСС]</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6.19</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«6.19</w:t>
      </w:r>
      <w:r w:rsidRPr="005433F9">
        <w:rPr>
          <w:spacing w:val="0"/>
          <w:w w:val="100"/>
          <w:kern w:val="0"/>
        </w:rPr>
        <w:tab/>
        <w:t xml:space="preserve">Дневной ходовой огонь (Правила № 87 </w:t>
      </w:r>
      <w:r w:rsidRPr="005433F9">
        <w:rPr>
          <w:b/>
          <w:bCs/>
          <w:spacing w:val="0"/>
          <w:w w:val="100"/>
          <w:kern w:val="0"/>
        </w:rPr>
        <w:t>или [УСС]</w:t>
      </w:r>
      <w:r w:rsidRPr="005433F9">
        <w:rPr>
          <w:spacing w:val="0"/>
          <w:w w:val="100"/>
          <w:kern w:val="0"/>
        </w:rPr>
        <w:t>)</w:t>
      </w:r>
      <w:r w:rsidRPr="005433F9">
        <w:rPr>
          <w:spacing w:val="0"/>
          <w:w w:val="100"/>
          <w:kern w:val="0"/>
          <w:vertAlign w:val="superscript"/>
        </w:rPr>
        <w:t>1</w:t>
      </w:r>
      <w:r w:rsidR="00D2147B">
        <w:rPr>
          <w:spacing w:val="0"/>
          <w:w w:val="100"/>
          <w:kern w:val="0"/>
          <w:vertAlign w:val="superscript"/>
        </w:rPr>
        <w:t>6</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6.20</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«6.20</w:t>
      </w:r>
      <w:r w:rsidRPr="005433F9">
        <w:rPr>
          <w:spacing w:val="0"/>
          <w:w w:val="100"/>
          <w:kern w:val="0"/>
        </w:rPr>
        <w:tab/>
        <w:t xml:space="preserve">Огонь подсветки поворота (Правила № 119 </w:t>
      </w:r>
      <w:r w:rsidRPr="005433F9">
        <w:rPr>
          <w:b/>
          <w:bCs/>
          <w:spacing w:val="0"/>
          <w:w w:val="100"/>
          <w:kern w:val="0"/>
        </w:rPr>
        <w:t>или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spacing w:val="0"/>
          <w:w w:val="100"/>
          <w:kern w:val="0"/>
        </w:rPr>
        <w:t>Пункт 6.21</w:t>
      </w:r>
      <w:r w:rsidRPr="005433F9">
        <w:rPr>
          <w:spacing w:val="0"/>
          <w:w w:val="100"/>
          <w:kern w:val="0"/>
        </w:rPr>
        <w:t xml:space="preserve"> изменить следующим образом:</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w:t>
      </w:r>
      <w:r w:rsidR="00B83A9F" w:rsidRPr="005433F9">
        <w:rPr>
          <w:spacing w:val="0"/>
          <w:w w:val="100"/>
          <w:kern w:val="0"/>
        </w:rPr>
        <w:t>6.21.</w:t>
      </w:r>
      <w:r w:rsidR="00B83A9F" w:rsidRPr="005433F9">
        <w:rPr>
          <w:spacing w:val="0"/>
          <w:w w:val="100"/>
          <w:kern w:val="0"/>
        </w:rPr>
        <w:tab/>
        <w:t xml:space="preserve">Маркировка с улучшенными светоотражающими характеристиками (Правила № 104 </w:t>
      </w:r>
      <w:r w:rsidR="00B83A9F" w:rsidRPr="005433F9">
        <w:rPr>
          <w:b/>
          <w:bCs/>
          <w:spacing w:val="0"/>
          <w:w w:val="100"/>
          <w:kern w:val="0"/>
        </w:rPr>
        <w:t>или [СОУ]</w:t>
      </w:r>
      <w:r w:rsidR="00B83A9F"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6.21.1.2.5</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«6.21.1.2.5</w:t>
      </w:r>
      <w:r w:rsidRPr="005433F9">
        <w:rPr>
          <w:spacing w:val="0"/>
          <w:w w:val="100"/>
          <w:kern w:val="0"/>
        </w:rPr>
        <w:tab/>
        <w:t xml:space="preserve">В тех случаях, когда изготовитель − после проверки технической службой − может доказать к удовлетворению органа, ответственного за официальное утверждение типа, что соблюсти требования, содержащиеся в пунктах 6.21.2−6.21.7.5,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w:t>
      </w:r>
      <w:r w:rsidRPr="005433F9">
        <w:rPr>
          <w:b/>
          <w:bCs/>
          <w:spacing w:val="0"/>
          <w:w w:val="100"/>
          <w:kern w:val="0"/>
        </w:rPr>
        <w:t>или [СОУ]</w:t>
      </w:r>
      <w:r w:rsidRPr="005433F9">
        <w:rPr>
          <w:spacing w:val="0"/>
          <w:w w:val="100"/>
          <w:kern w:val="0"/>
        </w:rPr>
        <w:t>, чтобы сигнализация была четкой и единообразной и отвечала цели обеспечения видимости.</w:t>
      </w:r>
    </w:p>
    <w:p w:rsidR="00B83A9F" w:rsidRPr="005433F9" w:rsidRDefault="00184ABF"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 xml:space="preserve">Если частичное соблюдение требований считается приемлемым, то для замена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 предусмотренные Правилами № 3 </w:t>
      </w:r>
      <w:r w:rsidR="00B83A9F" w:rsidRPr="005433F9">
        <w:rPr>
          <w:b/>
          <w:bCs/>
          <w:spacing w:val="0"/>
          <w:w w:val="100"/>
          <w:kern w:val="0"/>
        </w:rPr>
        <w:t>или [СОУ]</w:t>
      </w:r>
      <w:r w:rsidR="00B83A9F" w:rsidRPr="005433F9">
        <w:rPr>
          <w:spacing w:val="0"/>
          <w:w w:val="100"/>
          <w:kern w:val="0"/>
        </w:rPr>
        <w:t>, или накладки, содержащие светоотражающие материалы, удовлетворяющие фотометрическим требованиям класса</w:t>
      </w:r>
      <w:r>
        <w:rPr>
          <w:spacing w:val="0"/>
          <w:w w:val="100"/>
          <w:kern w:val="0"/>
        </w:rPr>
        <w:t> </w:t>
      </w:r>
      <w:r w:rsidR="00B83A9F" w:rsidRPr="005433F9">
        <w:rPr>
          <w:spacing w:val="0"/>
          <w:w w:val="100"/>
          <w:kern w:val="0"/>
        </w:rPr>
        <w:t>С Правил</w:t>
      </w:r>
      <w:r w:rsidR="005433F9">
        <w:rPr>
          <w:spacing w:val="0"/>
          <w:w w:val="100"/>
          <w:kern w:val="0"/>
        </w:rPr>
        <w:t> </w:t>
      </w:r>
      <w:r w:rsidR="00B83A9F" w:rsidRPr="005433F9">
        <w:rPr>
          <w:spacing w:val="0"/>
          <w:w w:val="100"/>
          <w:kern w:val="0"/>
        </w:rPr>
        <w:t>№</w:t>
      </w:r>
      <w:r w:rsidR="005433F9">
        <w:rPr>
          <w:spacing w:val="0"/>
          <w:w w:val="100"/>
          <w:kern w:val="0"/>
        </w:rPr>
        <w:t> </w:t>
      </w:r>
      <w:r w:rsidR="00B83A9F" w:rsidRPr="005433F9">
        <w:rPr>
          <w:spacing w:val="0"/>
          <w:w w:val="100"/>
          <w:kern w:val="0"/>
        </w:rPr>
        <w:t xml:space="preserve">104 </w:t>
      </w:r>
      <w:r w:rsidR="00B83A9F" w:rsidRPr="005433F9">
        <w:rPr>
          <w:b/>
          <w:bCs/>
          <w:spacing w:val="0"/>
          <w:w w:val="100"/>
          <w:kern w:val="0"/>
        </w:rPr>
        <w:t>или [СОУ]</w:t>
      </w:r>
      <w:r w:rsidR="00B83A9F" w:rsidRPr="005433F9">
        <w:rPr>
          <w:spacing w:val="0"/>
          <w:w w:val="100"/>
          <w:kern w:val="0"/>
        </w:rPr>
        <w:t>. В этом случае по одному из таких светоотражающих устройств надлежит устанавливать как минимум на каждые 1 500 мм.</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Необходимую информацию указывают в карточке сообщения».</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6.21.7.4</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«6.21.7.4</w:t>
      </w:r>
      <w:r w:rsidRPr="005433F9">
        <w:rPr>
          <w:spacing w:val="0"/>
          <w:w w:val="100"/>
          <w:kern w:val="0"/>
        </w:rPr>
        <w:tab/>
        <w:t xml:space="preserve">В случае установки задних опознавательных знаков, соответствующих </w:t>
      </w:r>
      <w:r w:rsidRPr="005433F9">
        <w:rPr>
          <w:b/>
          <w:bCs/>
          <w:spacing w:val="0"/>
          <w:w w:val="100"/>
          <w:kern w:val="0"/>
        </w:rPr>
        <w:t>либо</w:t>
      </w:r>
      <w:r w:rsidRPr="005433F9">
        <w:rPr>
          <w:spacing w:val="0"/>
          <w:w w:val="100"/>
          <w:kern w:val="0"/>
        </w:rPr>
        <w:t xml:space="preserve"> поправкам серии 01 к Правилам № 70</w:t>
      </w:r>
      <w:r w:rsidRPr="005433F9">
        <w:rPr>
          <w:b/>
          <w:bCs/>
          <w:spacing w:val="0"/>
          <w:w w:val="100"/>
          <w:kern w:val="0"/>
        </w:rPr>
        <w:t>, либо Правилам № [СОУ]</w:t>
      </w:r>
      <w:r w:rsidRPr="005433F9">
        <w:rPr>
          <w:spacing w:val="0"/>
          <w:w w:val="100"/>
          <w:kern w:val="0"/>
        </w:rPr>
        <w:t>,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w:t>
      </w:r>
      <w:r w:rsidRPr="005433F9">
        <w:rPr>
          <w:spacing w:val="0"/>
          <w:w w:val="100"/>
          <w:kern w:val="0"/>
        </w:rPr>
        <w:tab/>
        <w:t xml:space="preserve">АДАПТИВНАЯ СИСТЕМА ПЕРЕДНЕГО ОСВЕЩЕНИЯ (АСПО) (Правила № 123 </w:t>
      </w:r>
      <w:r w:rsidRPr="005433F9">
        <w:rPr>
          <w:b/>
          <w:bCs/>
          <w:spacing w:val="0"/>
          <w:w w:val="100"/>
          <w:kern w:val="0"/>
        </w:rPr>
        <w:t>или [УОД]</w:t>
      </w:r>
      <w:r w:rsidRPr="005433F9">
        <w:rPr>
          <w:spacing w:val="0"/>
          <w:w w:val="100"/>
          <w:kern w:val="0"/>
        </w:rPr>
        <w:t>)</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ab/>
      </w:r>
      <w:r w:rsidR="00B83A9F" w:rsidRPr="005433F9">
        <w:rPr>
          <w:spacing w:val="0"/>
          <w:w w:val="100"/>
          <w:kern w:val="0"/>
        </w:rPr>
        <w:t>Если ниже не указано иное, то к соответствующей части АСПО применяют требования настоящих Правил для фар дальнего света (пункт</w:t>
      </w:r>
      <w:r>
        <w:rPr>
          <w:spacing w:val="0"/>
          <w:w w:val="100"/>
          <w:kern w:val="0"/>
        </w:rPr>
        <w:t> </w:t>
      </w:r>
      <w:r w:rsidR="00B83A9F" w:rsidRPr="005433F9">
        <w:rPr>
          <w:spacing w:val="0"/>
          <w:w w:val="100"/>
          <w:kern w:val="0"/>
        </w:rPr>
        <w:t>6.1) и для фар ближнего света (пункт 6.2)».</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6.22.6.1.2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«6.22.6.1.2</w:t>
      </w:r>
      <w:r w:rsidRPr="005433F9">
        <w:rPr>
          <w:spacing w:val="0"/>
          <w:w w:val="100"/>
          <w:kern w:val="0"/>
        </w:rPr>
        <w:tab/>
        <w:t xml:space="preserve">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 123 </w:t>
      </w:r>
      <w:r w:rsidRPr="005433F9">
        <w:rPr>
          <w:b/>
          <w:bCs/>
          <w:spacing w:val="0"/>
          <w:w w:val="100"/>
          <w:kern w:val="0"/>
        </w:rPr>
        <w:t>или [УОД]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6.22.6.3</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«6.22.6.3</w:t>
      </w:r>
      <w:r w:rsidRPr="005433F9">
        <w:rPr>
          <w:spacing w:val="0"/>
          <w:w w:val="100"/>
          <w:kern w:val="0"/>
        </w:rPr>
        <w:tab/>
        <w:t>Горизонтальная направленность</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ab/>
        <w:t xml:space="preserve">Для каждого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w:t>
      </w:r>
      <w:r w:rsidRPr="005433F9">
        <w:rPr>
          <w:b/>
          <w:bCs/>
          <w:spacing w:val="0"/>
          <w:w w:val="100"/>
          <w:kern w:val="0"/>
        </w:rPr>
        <w:t>или в приложении</w:t>
      </w:r>
      <w:r w:rsidR="004B40E0" w:rsidRPr="005433F9">
        <w:rPr>
          <w:b/>
          <w:bCs/>
          <w:spacing w:val="0"/>
          <w:w w:val="100"/>
          <w:kern w:val="0"/>
          <w:lang w:val="en-US"/>
        </w:rPr>
        <w:t> </w:t>
      </w:r>
      <w:r w:rsidRPr="005433F9">
        <w:rPr>
          <w:b/>
          <w:bCs/>
          <w:spacing w:val="0"/>
          <w:w w:val="100"/>
          <w:kern w:val="0"/>
        </w:rPr>
        <w:t>14 к Правилам</w:t>
      </w:r>
      <w:r w:rsidR="005433F9">
        <w:rPr>
          <w:b/>
          <w:bCs/>
          <w:spacing w:val="0"/>
          <w:w w:val="100"/>
          <w:kern w:val="0"/>
        </w:rPr>
        <w:t> </w:t>
      </w:r>
      <w:r w:rsidRPr="005433F9">
        <w:rPr>
          <w:b/>
          <w:bCs/>
          <w:spacing w:val="0"/>
          <w:w w:val="100"/>
          <w:kern w:val="0"/>
        </w:rPr>
        <w:t>№</w:t>
      </w:r>
      <w:r w:rsidR="005433F9">
        <w:rPr>
          <w:b/>
          <w:bCs/>
          <w:spacing w:val="0"/>
          <w:w w:val="100"/>
          <w:kern w:val="0"/>
        </w:rPr>
        <w:t> </w:t>
      </w:r>
      <w:r w:rsidRPr="005433F9">
        <w:rPr>
          <w:b/>
          <w:bCs/>
          <w:spacing w:val="0"/>
          <w:w w:val="100"/>
          <w:kern w:val="0"/>
        </w:rPr>
        <w:t>[УОД]</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6.22.7.4.3</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«6.22.7.4.3</w:t>
      </w:r>
      <w:r w:rsidRPr="005433F9">
        <w:rPr>
          <w:spacing w:val="0"/>
          <w:w w:val="100"/>
          <w:kern w:val="0"/>
        </w:rPr>
        <w:tab/>
        <w:t>Способ(ы)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B83A9F" w:rsidRPr="005433F9" w:rsidRDefault="00B83A9F" w:rsidP="005433F9">
      <w:pPr>
        <w:pStyle w:val="SingleTxtGR"/>
        <w:tabs>
          <w:tab w:val="clear" w:pos="1701"/>
        </w:tabs>
        <w:suppressAutoHyphens/>
        <w:ind w:left="2835" w:hanging="567"/>
        <w:rPr>
          <w:spacing w:val="0"/>
          <w:w w:val="100"/>
          <w:kern w:val="0"/>
        </w:rPr>
      </w:pPr>
      <w:r w:rsidRPr="005433F9">
        <w:rPr>
          <w:spacing w:val="0"/>
          <w:w w:val="100"/>
          <w:kern w:val="0"/>
        </w:rPr>
        <w:t>a)</w:t>
      </w:r>
      <w:r w:rsidRPr="005433F9">
        <w:rPr>
          <w:spacing w:val="0"/>
          <w:w w:val="100"/>
          <w:kern w:val="0"/>
        </w:rPr>
        <w:tab/>
        <w:t>характеристики дороги соответствуют условиям</w:t>
      </w:r>
      <w:r w:rsidRPr="005433F9">
        <w:rPr>
          <w:spacing w:val="0"/>
          <w:w w:val="100"/>
          <w:kern w:val="0"/>
          <w:vertAlign w:val="superscript"/>
        </w:rPr>
        <w:t>20</w:t>
      </w:r>
      <w:r w:rsidRPr="005433F9">
        <w:rPr>
          <w:spacing w:val="0"/>
          <w:w w:val="100"/>
          <w:kern w:val="0"/>
        </w:rPr>
        <w:t xml:space="preserve"> движения по автомагистрали и/или скорость транспортных средств превышает 110 км/ч (применяется сигнал Е); </w:t>
      </w:r>
    </w:p>
    <w:p w:rsidR="00B83A9F" w:rsidRPr="005433F9" w:rsidRDefault="00B83A9F" w:rsidP="005433F9">
      <w:pPr>
        <w:pStyle w:val="SingleTxtGR"/>
        <w:tabs>
          <w:tab w:val="clear" w:pos="1701"/>
        </w:tabs>
        <w:suppressAutoHyphens/>
        <w:ind w:left="2835" w:hanging="567"/>
        <w:rPr>
          <w:spacing w:val="0"/>
          <w:w w:val="100"/>
          <w:kern w:val="0"/>
        </w:rPr>
      </w:pPr>
      <w:r w:rsidRPr="005433F9">
        <w:rPr>
          <w:spacing w:val="0"/>
          <w:w w:val="100"/>
          <w:kern w:val="0"/>
        </w:rPr>
        <w:t>b)</w:t>
      </w:r>
      <w:r w:rsidRPr="005433F9">
        <w:rPr>
          <w:spacing w:val="0"/>
          <w:w w:val="100"/>
          <w:kern w:val="0"/>
        </w:rPr>
        <w:tab/>
        <w:t>только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sidR="004B40E0" w:rsidRPr="005433F9">
        <w:rPr>
          <w:spacing w:val="0"/>
          <w:w w:val="100"/>
          <w:kern w:val="0"/>
          <w:lang w:val="en-US"/>
        </w:rPr>
        <w:t> </w:t>
      </w:r>
      <w:r w:rsidRPr="005433F9">
        <w:rPr>
          <w:spacing w:val="0"/>
          <w:w w:val="100"/>
          <w:kern w:val="0"/>
        </w:rPr>
        <w:t>№</w:t>
      </w:r>
      <w:r w:rsidR="004B40E0" w:rsidRPr="005433F9">
        <w:rPr>
          <w:spacing w:val="0"/>
          <w:w w:val="100"/>
          <w:kern w:val="0"/>
          <w:lang w:val="en-US"/>
        </w:rPr>
        <w:t> </w:t>
      </w:r>
      <w:r w:rsidRPr="005433F9">
        <w:rPr>
          <w:spacing w:val="0"/>
          <w:w w:val="100"/>
          <w:kern w:val="0"/>
        </w:rPr>
        <w:t xml:space="preserve">123 </w:t>
      </w:r>
      <w:r w:rsidRPr="00D2147B">
        <w:rPr>
          <w:spacing w:val="0"/>
          <w:w w:val="100"/>
          <w:kern w:val="0"/>
        </w:rPr>
        <w:t>или в таблице 14 Правил № [УОД]</w:t>
      </w:r>
      <w:r w:rsidRPr="005433F9">
        <w:rPr>
          <w:spacing w:val="0"/>
          <w:w w:val="100"/>
          <w:kern w:val="0"/>
        </w:rPr>
        <w:t>.</w:t>
      </w:r>
    </w:p>
    <w:p w:rsidR="00B83A9F" w:rsidRPr="005433F9" w:rsidRDefault="00B83A9F" w:rsidP="00D2147B">
      <w:pPr>
        <w:pStyle w:val="SingleTxtGR"/>
        <w:tabs>
          <w:tab w:val="clear" w:pos="1701"/>
        </w:tabs>
        <w:suppressAutoHyphens/>
        <w:ind w:left="2268"/>
        <w:rPr>
          <w:spacing w:val="0"/>
          <w:w w:val="100"/>
          <w:kern w:val="0"/>
        </w:rPr>
      </w:pPr>
      <w:r w:rsidRPr="005433F9">
        <w:rPr>
          <w:spacing w:val="0"/>
          <w:w w:val="100"/>
          <w:kern w:val="0"/>
        </w:rPr>
        <w:t>Набор данных E1: скорость транспортного средства превышает 100 км/ч (применяется сигнал E1);</w:t>
      </w:r>
    </w:p>
    <w:p w:rsidR="00B83A9F" w:rsidRPr="005433F9" w:rsidRDefault="00B83A9F" w:rsidP="00D2147B">
      <w:pPr>
        <w:pStyle w:val="SingleTxtGR"/>
        <w:tabs>
          <w:tab w:val="clear" w:pos="1701"/>
        </w:tabs>
        <w:suppressAutoHyphens/>
        <w:ind w:left="2268"/>
        <w:rPr>
          <w:spacing w:val="0"/>
          <w:w w:val="100"/>
          <w:kern w:val="0"/>
        </w:rPr>
      </w:pPr>
      <w:r w:rsidRPr="005433F9">
        <w:rPr>
          <w:spacing w:val="0"/>
          <w:w w:val="100"/>
          <w:kern w:val="0"/>
        </w:rPr>
        <w:t>набор данных Е2: скорость транспортного средства превышает 90 км/ч (применяется сигнал Е2);</w:t>
      </w:r>
    </w:p>
    <w:p w:rsidR="00B83A9F" w:rsidRPr="005433F9" w:rsidRDefault="00B83A9F" w:rsidP="00D2147B">
      <w:pPr>
        <w:pStyle w:val="SingleTxtGR"/>
        <w:tabs>
          <w:tab w:val="clear" w:pos="1701"/>
        </w:tabs>
        <w:suppressAutoHyphens/>
        <w:ind w:left="2268"/>
        <w:rPr>
          <w:spacing w:val="0"/>
          <w:w w:val="100"/>
          <w:kern w:val="0"/>
        </w:rPr>
      </w:pPr>
      <w:r w:rsidRPr="005433F9">
        <w:rPr>
          <w:spacing w:val="0"/>
          <w:w w:val="100"/>
          <w:kern w:val="0"/>
        </w:rPr>
        <w:t>набор данных Е3: скорость транспортного средства превышает 80 км/ч (применяется сигнал Е3)».</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6.22.8.2</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«6.22.8.2</w:t>
      </w:r>
      <w:r w:rsidRPr="005433F9">
        <w:rPr>
          <w:spacing w:val="0"/>
          <w:w w:val="100"/>
          <w:kern w:val="0"/>
        </w:rPr>
        <w:tab/>
        <w:t xml:space="preserve">Визуальное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w:t>
      </w:r>
      <w:r w:rsidRPr="005433F9">
        <w:rPr>
          <w:b/>
          <w:bCs/>
          <w:spacing w:val="0"/>
          <w:w w:val="100"/>
          <w:kern w:val="0"/>
        </w:rPr>
        <w:t>или с пунктом 4.13 Правил № [УОД]</w:t>
      </w:r>
      <w:r w:rsidRPr="005433F9">
        <w:rPr>
          <w:spacing w:val="0"/>
          <w:w w:val="100"/>
          <w:kern w:val="0"/>
        </w:rPr>
        <w:t>.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отключается устройство для запуска и остановки двигателя».</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6.22.8.3</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«6.22.8.3</w:t>
      </w:r>
      <w:r w:rsidRPr="005433F9">
        <w:rPr>
          <w:spacing w:val="0"/>
          <w:w w:val="100"/>
          <w:kern w:val="0"/>
        </w:rPr>
        <w:tab/>
        <w:t xml:space="preserve">Контрольный сигнал для указания того, что водитель установил систему в состояние, определенное в пункте 5.8 Правил № 123 </w:t>
      </w:r>
      <w:r w:rsidRPr="005433F9">
        <w:rPr>
          <w:b/>
          <w:bCs/>
          <w:spacing w:val="0"/>
          <w:w w:val="100"/>
          <w:kern w:val="0"/>
        </w:rPr>
        <w:t>или пункте 4.12 Правил № [УОД]</w:t>
      </w:r>
      <w:r w:rsidRPr="005433F9">
        <w:rPr>
          <w:spacing w:val="0"/>
          <w:w w:val="100"/>
          <w:kern w:val="0"/>
        </w:rPr>
        <w:t>, является факультативным».</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6.22.9.1</w:t>
      </w:r>
      <w:r w:rsidRPr="005433F9">
        <w:rPr>
          <w:spacing w:val="0"/>
          <w:w w:val="100"/>
          <w:kern w:val="0"/>
        </w:rPr>
        <w:t xml:space="preserve"> изменить следующим образом:</w:t>
      </w:r>
    </w:p>
    <w:p w:rsidR="00B83A9F" w:rsidRPr="005433F9" w:rsidRDefault="00B83A9F" w:rsidP="005433F9">
      <w:pPr>
        <w:pStyle w:val="SingleTxtGR"/>
        <w:tabs>
          <w:tab w:val="clear" w:pos="1701"/>
        </w:tabs>
        <w:suppressAutoHyphens/>
        <w:ind w:left="2268" w:hanging="1134"/>
        <w:rPr>
          <w:spacing w:val="0"/>
          <w:w w:val="100"/>
          <w:kern w:val="0"/>
        </w:rPr>
      </w:pPr>
      <w:r w:rsidRPr="005433F9">
        <w:rPr>
          <w:spacing w:val="0"/>
          <w:w w:val="100"/>
          <w:kern w:val="0"/>
        </w:rPr>
        <w:t>«6.22.9.1</w:t>
      </w:r>
      <w:r w:rsidRPr="005433F9">
        <w:rPr>
          <w:spacing w:val="0"/>
          <w:w w:val="100"/>
          <w:kern w:val="0"/>
        </w:rPr>
        <w:tab/>
        <w:t>АСПО разрешается использовать только при установке устройств(а) для очистки фар в соответствии с Правилами № 45</w:t>
      </w:r>
      <w:r w:rsidRPr="005433F9">
        <w:rPr>
          <w:spacing w:val="0"/>
          <w:w w:val="100"/>
          <w:kern w:val="0"/>
          <w:vertAlign w:val="superscript"/>
        </w:rPr>
        <w:t>22</w:t>
      </w:r>
      <w:r w:rsidRPr="005433F9">
        <w:rPr>
          <w:spacing w:val="0"/>
          <w:w w:val="100"/>
          <w:kern w:val="0"/>
        </w:rPr>
        <w:t>, по крайней мере в случае тех световых модулей, которые указаны в пункте 9.3 карточки сообщения согласно образцу, приведенному в приложении</w:t>
      </w:r>
      <w:r w:rsidR="004B40E0" w:rsidRPr="005433F9">
        <w:rPr>
          <w:spacing w:val="0"/>
          <w:w w:val="100"/>
          <w:kern w:val="0"/>
          <w:lang w:val="en-US"/>
        </w:rPr>
        <w:t> </w:t>
      </w:r>
      <w:r w:rsidRPr="005433F9">
        <w:rPr>
          <w:spacing w:val="0"/>
          <w:w w:val="100"/>
          <w:kern w:val="0"/>
        </w:rPr>
        <w:t>1 к Правилам</w:t>
      </w:r>
      <w:r w:rsidR="005433F9">
        <w:rPr>
          <w:spacing w:val="0"/>
          <w:w w:val="100"/>
          <w:kern w:val="0"/>
        </w:rPr>
        <w:t> </w:t>
      </w:r>
      <w:r w:rsidRPr="005433F9">
        <w:rPr>
          <w:spacing w:val="0"/>
          <w:w w:val="100"/>
          <w:kern w:val="0"/>
        </w:rPr>
        <w:t xml:space="preserve">№ 123 </w:t>
      </w:r>
      <w:r w:rsidRPr="005433F9">
        <w:rPr>
          <w:b/>
          <w:bCs/>
          <w:spacing w:val="0"/>
          <w:w w:val="100"/>
          <w:kern w:val="0"/>
        </w:rPr>
        <w:t>или в пункте 9.3.3 приложения 1 к Правилам</w:t>
      </w:r>
      <w:r w:rsidR="005433F9">
        <w:rPr>
          <w:b/>
          <w:bCs/>
          <w:spacing w:val="0"/>
          <w:w w:val="100"/>
          <w:kern w:val="0"/>
        </w:rPr>
        <w:t> </w:t>
      </w:r>
      <w:r w:rsidRPr="005433F9">
        <w:rPr>
          <w:b/>
          <w:bCs/>
          <w:spacing w:val="0"/>
          <w:w w:val="100"/>
          <w:kern w:val="0"/>
        </w:rPr>
        <w:t>№</w:t>
      </w:r>
      <w:r w:rsidR="005433F9">
        <w:rPr>
          <w:b/>
          <w:bCs/>
          <w:spacing w:val="0"/>
          <w:w w:val="100"/>
          <w:kern w:val="0"/>
        </w:rPr>
        <w:t> </w:t>
      </w:r>
      <w:r w:rsidRPr="005433F9">
        <w:rPr>
          <w:b/>
          <w:bCs/>
          <w:spacing w:val="0"/>
          <w:w w:val="100"/>
          <w:kern w:val="0"/>
        </w:rPr>
        <w:t>[УОД]</w:t>
      </w:r>
      <w:r w:rsidRPr="005433F9">
        <w:rPr>
          <w:spacing w:val="0"/>
          <w:w w:val="100"/>
          <w:kern w:val="0"/>
        </w:rPr>
        <w:t>,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5433F9">
        <w:rPr>
          <w:spacing w:val="0"/>
          <w:w w:val="100"/>
          <w:kern w:val="0"/>
        </w:rPr>
        <w:t>»</w:t>
      </w:r>
      <w:r w:rsidRPr="005433F9">
        <w:rPr>
          <w:spacing w:val="0"/>
          <w:w w:val="100"/>
          <w:kern w:val="0"/>
        </w:rPr>
        <w:t>.</w:t>
      </w:r>
    </w:p>
    <w:p w:rsidR="00B83A9F" w:rsidRPr="005433F9" w:rsidRDefault="00B83A9F" w:rsidP="005433F9">
      <w:pPr>
        <w:pStyle w:val="SingleTxtGR"/>
        <w:tabs>
          <w:tab w:val="clear" w:pos="1701"/>
        </w:tabs>
        <w:suppressAutoHyphens/>
        <w:ind w:left="2268" w:hanging="1134"/>
        <w:rPr>
          <w:spacing w:val="0"/>
          <w:w w:val="100"/>
          <w:kern w:val="0"/>
        </w:rPr>
      </w:pPr>
      <w:r w:rsidRPr="005433F9">
        <w:rPr>
          <w:i/>
          <w:iCs/>
          <w:spacing w:val="0"/>
          <w:w w:val="100"/>
          <w:kern w:val="0"/>
        </w:rPr>
        <w:t>Пункт 6.22.9.4</w:t>
      </w:r>
      <w:r w:rsidRPr="005433F9">
        <w:rPr>
          <w:spacing w:val="0"/>
          <w:w w:val="100"/>
          <w:kern w:val="0"/>
        </w:rPr>
        <w:t xml:space="preserve"> изменить следующим образом:</w:t>
      </w:r>
    </w:p>
    <w:p w:rsidR="00B83A9F" w:rsidRPr="005433F9" w:rsidRDefault="005433F9" w:rsidP="005433F9">
      <w:pPr>
        <w:pStyle w:val="SingleTxtGR"/>
        <w:tabs>
          <w:tab w:val="clear" w:pos="1701"/>
        </w:tabs>
        <w:suppressAutoHyphens/>
        <w:ind w:left="2268" w:hanging="1134"/>
        <w:rPr>
          <w:spacing w:val="0"/>
          <w:w w:val="100"/>
          <w:kern w:val="0"/>
        </w:rPr>
      </w:pPr>
      <w:r>
        <w:rPr>
          <w:spacing w:val="0"/>
          <w:w w:val="100"/>
          <w:kern w:val="0"/>
        </w:rPr>
        <w:t>«</w:t>
      </w:r>
      <w:r w:rsidR="00B83A9F" w:rsidRPr="005433F9">
        <w:rPr>
          <w:spacing w:val="0"/>
          <w:w w:val="100"/>
          <w:kern w:val="0"/>
        </w:rPr>
        <w:t>6.22.9.4</w:t>
      </w:r>
      <w:r w:rsidR="00B83A9F" w:rsidRPr="005433F9">
        <w:rPr>
          <w:spacing w:val="0"/>
          <w:w w:val="100"/>
          <w:kern w:val="0"/>
        </w:rPr>
        <w:tab/>
        <w:t>Средства, позволяющие, согласно положениям пункта 5.8 Правил</w:t>
      </w:r>
      <w:r w:rsidR="004B40E0" w:rsidRPr="005433F9">
        <w:rPr>
          <w:spacing w:val="0"/>
          <w:w w:val="100"/>
          <w:kern w:val="0"/>
          <w:lang w:val="en-US"/>
        </w:rPr>
        <w:t> </w:t>
      </w:r>
      <w:r w:rsidR="00B83A9F" w:rsidRPr="005433F9">
        <w:rPr>
          <w:spacing w:val="0"/>
          <w:w w:val="100"/>
          <w:kern w:val="0"/>
        </w:rPr>
        <w:t>№</w:t>
      </w:r>
      <w:r w:rsidR="004B40E0" w:rsidRPr="005433F9">
        <w:rPr>
          <w:spacing w:val="0"/>
          <w:w w:val="100"/>
          <w:kern w:val="0"/>
          <w:lang w:val="en-US"/>
        </w:rPr>
        <w:t> </w:t>
      </w:r>
      <w:r w:rsidR="00B83A9F" w:rsidRPr="005433F9">
        <w:rPr>
          <w:spacing w:val="0"/>
          <w:w w:val="100"/>
          <w:kern w:val="0"/>
        </w:rPr>
        <w:t xml:space="preserve">123 </w:t>
      </w:r>
      <w:r w:rsidR="00B83A9F" w:rsidRPr="005433F9">
        <w:rPr>
          <w:b/>
          <w:bCs/>
          <w:spacing w:val="0"/>
          <w:w w:val="100"/>
          <w:kern w:val="0"/>
        </w:rPr>
        <w:t>или пункта 4.12 Правил № [УОД]</w:t>
      </w:r>
      <w:r w:rsidR="00B83A9F" w:rsidRPr="005433F9">
        <w:rPr>
          <w:spacing w:val="0"/>
          <w:w w:val="100"/>
          <w:kern w:val="0"/>
        </w:rPr>
        <w:t>, временно использовать транспортное средство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p>
    <w:p w:rsidR="00B83A9F" w:rsidRPr="00184ABF" w:rsidRDefault="00B83A9F" w:rsidP="005433F9">
      <w:pPr>
        <w:pStyle w:val="HChG"/>
        <w:rPr>
          <w:lang w:val="ru-RU"/>
        </w:rPr>
      </w:pPr>
      <w:r w:rsidRPr="00184ABF">
        <w:rPr>
          <w:lang w:val="ru-RU"/>
        </w:rPr>
        <w:tab/>
      </w:r>
      <w:r w:rsidRPr="005433F9">
        <w:t>II</w:t>
      </w:r>
      <w:r w:rsidRPr="00184ABF">
        <w:rPr>
          <w:lang w:val="ru-RU"/>
        </w:rPr>
        <w:t>.</w:t>
      </w:r>
      <w:r w:rsidRPr="00184ABF">
        <w:rPr>
          <w:lang w:val="ru-RU"/>
        </w:rPr>
        <w:tab/>
        <w:t>Обоснование</w:t>
      </w:r>
    </w:p>
    <w:p w:rsidR="00B83A9F" w:rsidRPr="005433F9" w:rsidRDefault="00B83A9F" w:rsidP="00D2147B">
      <w:pPr>
        <w:pStyle w:val="SingleTxtGR"/>
        <w:suppressAutoHyphens/>
        <w:rPr>
          <w:spacing w:val="0"/>
          <w:w w:val="100"/>
          <w:kern w:val="0"/>
        </w:rPr>
      </w:pPr>
      <w:r w:rsidRPr="005433F9">
        <w:rPr>
          <w:spacing w:val="0"/>
          <w:w w:val="100"/>
          <w:kern w:val="0"/>
        </w:rPr>
        <w:t>1.</w:t>
      </w:r>
      <w:r w:rsidRPr="005433F9">
        <w:rPr>
          <w:spacing w:val="0"/>
          <w:w w:val="100"/>
          <w:kern w:val="0"/>
        </w:rPr>
        <w:tab/>
        <w:t>После внесения исправления 2 в третий пересмотренный вариант Правил № 48 в Правила № 48 были включены ссылки на правила, касающиеся различных устройств.</w:t>
      </w:r>
    </w:p>
    <w:p w:rsidR="00B83A9F" w:rsidRDefault="00B83A9F" w:rsidP="00D2147B">
      <w:pPr>
        <w:pStyle w:val="SingleTxtGR"/>
        <w:pageBreakBefore/>
        <w:suppressAutoHyphens/>
        <w:rPr>
          <w:spacing w:val="0"/>
          <w:w w:val="100"/>
          <w:kern w:val="0"/>
        </w:rPr>
      </w:pPr>
      <w:r w:rsidRPr="005433F9">
        <w:rPr>
          <w:spacing w:val="0"/>
          <w:w w:val="100"/>
          <w:kern w:val="0"/>
        </w:rPr>
        <w:t>2.</w:t>
      </w:r>
      <w:r w:rsidRPr="005433F9">
        <w:rPr>
          <w:spacing w:val="0"/>
          <w:w w:val="100"/>
          <w:kern w:val="0"/>
        </w:rPr>
        <w:tab/>
        <w:t>С учетом новых упрощенных правил ООН, касающихся УСС, УОД и СОУ, которые были подготовлены НРГ по УПО, в Правила № 48 необходимо включить дополнительные ссылки. Настоящая поправка связана с такими дополнительными ссылками для поправок серии 03 к Правилам № 48.</w:t>
      </w:r>
    </w:p>
    <w:p w:rsidR="005433F9" w:rsidRPr="005433F9" w:rsidRDefault="005433F9" w:rsidP="005433F9">
      <w:pPr>
        <w:pStyle w:val="SingleTxtGR"/>
        <w:spacing w:before="240" w:after="0"/>
        <w:jc w:val="center"/>
        <w:rPr>
          <w:w w:val="100"/>
          <w:u w:val="single"/>
        </w:rPr>
      </w:pPr>
      <w:r>
        <w:rPr>
          <w:w w:val="100"/>
          <w:u w:val="single"/>
        </w:rPr>
        <w:tab/>
      </w:r>
      <w:r>
        <w:rPr>
          <w:w w:val="100"/>
          <w:u w:val="single"/>
        </w:rPr>
        <w:tab/>
      </w:r>
      <w:r>
        <w:rPr>
          <w:w w:val="100"/>
          <w:u w:val="single"/>
        </w:rPr>
        <w:tab/>
      </w:r>
    </w:p>
    <w:sectPr w:rsidR="005433F9" w:rsidRPr="005433F9" w:rsidSect="00B83A9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34C" w:rsidRPr="00A312BC" w:rsidRDefault="0075734C" w:rsidP="00A312BC"/>
  </w:endnote>
  <w:endnote w:type="continuationSeparator" w:id="0">
    <w:p w:rsidR="0075734C" w:rsidRPr="00A312BC" w:rsidRDefault="007573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9F" w:rsidRPr="00B83A9F" w:rsidRDefault="00B83A9F">
    <w:pPr>
      <w:pStyle w:val="Footer"/>
    </w:pPr>
    <w:r w:rsidRPr="00B83A9F">
      <w:rPr>
        <w:b/>
        <w:sz w:val="18"/>
      </w:rPr>
      <w:fldChar w:fldCharType="begin"/>
    </w:r>
    <w:r w:rsidRPr="00B83A9F">
      <w:rPr>
        <w:b/>
        <w:sz w:val="18"/>
      </w:rPr>
      <w:instrText xml:space="preserve"> PAGE  \* MERGEFORMAT </w:instrText>
    </w:r>
    <w:r w:rsidRPr="00B83A9F">
      <w:rPr>
        <w:b/>
        <w:sz w:val="18"/>
      </w:rPr>
      <w:fldChar w:fldCharType="separate"/>
    </w:r>
    <w:r w:rsidR="00E01489">
      <w:rPr>
        <w:b/>
        <w:noProof/>
        <w:sz w:val="18"/>
      </w:rPr>
      <w:t>2</w:t>
    </w:r>
    <w:r w:rsidRPr="00B83A9F">
      <w:rPr>
        <w:b/>
        <w:sz w:val="18"/>
      </w:rPr>
      <w:fldChar w:fldCharType="end"/>
    </w:r>
    <w:r>
      <w:rPr>
        <w:b/>
        <w:sz w:val="18"/>
      </w:rPr>
      <w:tab/>
    </w:r>
    <w:r>
      <w:t>GE.18-01747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9F" w:rsidRPr="00B83A9F" w:rsidRDefault="00B83A9F" w:rsidP="00B83A9F">
    <w:pPr>
      <w:pStyle w:val="Footer"/>
      <w:tabs>
        <w:tab w:val="clear" w:pos="9639"/>
        <w:tab w:val="right" w:pos="9638"/>
      </w:tabs>
      <w:rPr>
        <w:b/>
        <w:sz w:val="18"/>
      </w:rPr>
    </w:pPr>
    <w:r>
      <w:t>GE.18-01747</w:t>
    </w:r>
    <w:r>
      <w:tab/>
    </w:r>
    <w:r w:rsidRPr="00B83A9F">
      <w:rPr>
        <w:b/>
        <w:sz w:val="18"/>
      </w:rPr>
      <w:fldChar w:fldCharType="begin"/>
    </w:r>
    <w:r w:rsidRPr="00B83A9F">
      <w:rPr>
        <w:b/>
        <w:sz w:val="18"/>
      </w:rPr>
      <w:instrText xml:space="preserve"> PAGE  \* MERGEFORMAT </w:instrText>
    </w:r>
    <w:r w:rsidRPr="00B83A9F">
      <w:rPr>
        <w:b/>
        <w:sz w:val="18"/>
      </w:rPr>
      <w:fldChar w:fldCharType="separate"/>
    </w:r>
    <w:r w:rsidR="00E52031">
      <w:rPr>
        <w:b/>
        <w:noProof/>
        <w:sz w:val="18"/>
      </w:rPr>
      <w:t>7</w:t>
    </w:r>
    <w:r w:rsidRPr="00B83A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B83A9F" w:rsidRDefault="00B83A9F" w:rsidP="00B83A9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18-01747  (R)</w:t>
    </w:r>
    <w:r>
      <w:rPr>
        <w:lang w:val="en-US"/>
      </w:rPr>
      <w:t xml:space="preserve">  080218  120218</w:t>
    </w:r>
    <w:r>
      <w:br/>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sidRPr="00B83A9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3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34C" w:rsidRPr="001075E9" w:rsidRDefault="0075734C" w:rsidP="001075E9">
      <w:pPr>
        <w:tabs>
          <w:tab w:val="right" w:pos="2155"/>
        </w:tabs>
        <w:spacing w:after="80" w:line="240" w:lineRule="auto"/>
        <w:ind w:left="680"/>
        <w:rPr>
          <w:u w:val="single"/>
        </w:rPr>
      </w:pPr>
      <w:r>
        <w:rPr>
          <w:u w:val="single"/>
        </w:rPr>
        <w:tab/>
      </w:r>
    </w:p>
  </w:footnote>
  <w:footnote w:type="continuationSeparator" w:id="0">
    <w:p w:rsidR="0075734C" w:rsidRDefault="0075734C" w:rsidP="00407B78">
      <w:pPr>
        <w:tabs>
          <w:tab w:val="right" w:pos="2155"/>
        </w:tabs>
        <w:spacing w:after="80"/>
        <w:ind w:left="680"/>
        <w:rPr>
          <w:u w:val="single"/>
        </w:rPr>
      </w:pPr>
      <w:r>
        <w:rPr>
          <w:u w:val="single"/>
        </w:rPr>
        <w:tab/>
      </w:r>
    </w:p>
  </w:footnote>
  <w:footnote w:id="1">
    <w:p w:rsidR="00B83A9F" w:rsidRPr="00B83A9F" w:rsidRDefault="00B83A9F" w:rsidP="00B83A9F">
      <w:pPr>
        <w:pStyle w:val="FootnoteText"/>
        <w:rPr>
          <w:spacing w:val="0"/>
          <w:w w:val="100"/>
          <w:kern w:val="0"/>
        </w:rPr>
      </w:pPr>
      <w:r w:rsidRPr="00B83A9F">
        <w:rPr>
          <w:spacing w:val="0"/>
          <w:w w:val="100"/>
          <w:kern w:val="0"/>
          <w:lang w:val="ru-RU"/>
        </w:rPr>
        <w:tab/>
      </w:r>
      <w:r w:rsidRPr="000B3DBC">
        <w:rPr>
          <w:spacing w:val="0"/>
          <w:w w:val="100"/>
          <w:kern w:val="0"/>
          <w:sz w:val="20"/>
          <w:lang w:val="ru-RU"/>
        </w:rPr>
        <w:t>*</w:t>
      </w:r>
      <w:r w:rsidRPr="00B83A9F">
        <w:rPr>
          <w:spacing w:val="0"/>
          <w:w w:val="100"/>
          <w:kern w:val="0"/>
          <w:lang w:val="ru-RU"/>
        </w:rPr>
        <w:tab/>
        <w:t>В соответствии с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9F" w:rsidRPr="00B83A9F" w:rsidRDefault="00E52031">
    <w:pPr>
      <w:pStyle w:val="Header"/>
    </w:pPr>
    <w:fldSimple w:instr=" TITLE  \* MERGEFORMAT ">
      <w:r w:rsidR="00F75B8C">
        <w:t>ECE/TRANS/WP.29/GRE/2018/30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9F" w:rsidRPr="00B83A9F" w:rsidRDefault="00E52031" w:rsidP="00B83A9F">
    <w:pPr>
      <w:pStyle w:val="Header"/>
      <w:jc w:val="right"/>
    </w:pPr>
    <w:fldSimple w:instr=" TITLE  \* MERGEFORMAT ">
      <w:r w:rsidR="00F75B8C">
        <w:t>ECE/TRANS/WP.29/GRE/2018/30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4C"/>
    <w:rsid w:val="00033EE1"/>
    <w:rsid w:val="00042B72"/>
    <w:rsid w:val="000558BD"/>
    <w:rsid w:val="000B3DBC"/>
    <w:rsid w:val="000B57E7"/>
    <w:rsid w:val="000B6373"/>
    <w:rsid w:val="000E4E5B"/>
    <w:rsid w:val="000F09DF"/>
    <w:rsid w:val="000F61B2"/>
    <w:rsid w:val="001075E9"/>
    <w:rsid w:val="0014152F"/>
    <w:rsid w:val="00180183"/>
    <w:rsid w:val="0018024D"/>
    <w:rsid w:val="00184ABF"/>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0CE"/>
    <w:rsid w:val="00381C24"/>
    <w:rsid w:val="00387CD4"/>
    <w:rsid w:val="003958D0"/>
    <w:rsid w:val="003A0D43"/>
    <w:rsid w:val="003A48CE"/>
    <w:rsid w:val="003B00E5"/>
    <w:rsid w:val="00407B78"/>
    <w:rsid w:val="00424203"/>
    <w:rsid w:val="00452493"/>
    <w:rsid w:val="00453318"/>
    <w:rsid w:val="00454AF2"/>
    <w:rsid w:val="00454E07"/>
    <w:rsid w:val="00472C5C"/>
    <w:rsid w:val="004B40E0"/>
    <w:rsid w:val="004E05B7"/>
    <w:rsid w:val="0050108D"/>
    <w:rsid w:val="00513081"/>
    <w:rsid w:val="00517901"/>
    <w:rsid w:val="00526683"/>
    <w:rsid w:val="005433F9"/>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4C"/>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917B3"/>
    <w:rsid w:val="00AB4B51"/>
    <w:rsid w:val="00B10CC7"/>
    <w:rsid w:val="00B36DF7"/>
    <w:rsid w:val="00B539E7"/>
    <w:rsid w:val="00B62458"/>
    <w:rsid w:val="00B83A9F"/>
    <w:rsid w:val="00BC18B2"/>
    <w:rsid w:val="00BD33EE"/>
    <w:rsid w:val="00BE1CC7"/>
    <w:rsid w:val="00C106D6"/>
    <w:rsid w:val="00C119AE"/>
    <w:rsid w:val="00C60F0C"/>
    <w:rsid w:val="00C805C9"/>
    <w:rsid w:val="00C92939"/>
    <w:rsid w:val="00CA1679"/>
    <w:rsid w:val="00CB151C"/>
    <w:rsid w:val="00CE5A1A"/>
    <w:rsid w:val="00CF55F6"/>
    <w:rsid w:val="00D2147B"/>
    <w:rsid w:val="00D33D63"/>
    <w:rsid w:val="00D5253A"/>
    <w:rsid w:val="00D90028"/>
    <w:rsid w:val="00D90138"/>
    <w:rsid w:val="00DD78D1"/>
    <w:rsid w:val="00DE32CD"/>
    <w:rsid w:val="00DF5767"/>
    <w:rsid w:val="00DF71B9"/>
    <w:rsid w:val="00E01489"/>
    <w:rsid w:val="00E12C5F"/>
    <w:rsid w:val="00E52031"/>
    <w:rsid w:val="00E61428"/>
    <w:rsid w:val="00E73F76"/>
    <w:rsid w:val="00EA2C9F"/>
    <w:rsid w:val="00EA420E"/>
    <w:rsid w:val="00ED0BDA"/>
    <w:rsid w:val="00EE142A"/>
    <w:rsid w:val="00EF1360"/>
    <w:rsid w:val="00EF3220"/>
    <w:rsid w:val="00F2523A"/>
    <w:rsid w:val="00F43903"/>
    <w:rsid w:val="00F75B8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CD147A-C94D-45D8-8C91-048D10AB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5_G_6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B83A9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link w:val="SingleTxtG"/>
    <w:uiPriority w:val="99"/>
    <w:rsid w:val="00B83A9F"/>
    <w:rPr>
      <w:lang w:val="en-GB" w:eastAsia="en-US"/>
    </w:rPr>
  </w:style>
  <w:style w:type="paragraph" w:customStyle="1" w:styleId="SingleTxtG">
    <w:name w:val="_ Single Txt_G"/>
    <w:basedOn w:val="Normal"/>
    <w:link w:val="SingleTxtGChar"/>
    <w:uiPriority w:val="99"/>
    <w:qFormat/>
    <w:rsid w:val="00B83A9F"/>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uiPriority w:val="99"/>
    <w:rsid w:val="00B83A9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para">
    <w:name w:val="para"/>
    <w:basedOn w:val="Normal"/>
    <w:link w:val="paraChar"/>
    <w:qFormat/>
    <w:rsid w:val="00B83A9F"/>
    <w:pPr>
      <w:suppressAutoHyphens/>
      <w:spacing w:after="120"/>
      <w:ind w:left="2268" w:right="1134" w:hanging="1134"/>
      <w:jc w:val="both"/>
    </w:pPr>
    <w:rPr>
      <w:rFonts w:eastAsia="Times New Roman" w:cs="Times New Roman"/>
      <w:spacing w:val="0"/>
      <w:w w:val="100"/>
      <w:kern w:val="0"/>
      <w:szCs w:val="20"/>
      <w:lang w:val="en-GB" w:eastAsia="en-US"/>
    </w:rPr>
  </w:style>
  <w:style w:type="character" w:customStyle="1" w:styleId="HChGChar">
    <w:name w:val="_ H _Ch_G Char"/>
    <w:link w:val="HChG"/>
    <w:rsid w:val="00B83A9F"/>
    <w:rPr>
      <w:b/>
      <w:sz w:val="28"/>
      <w:lang w:val="en-GB" w:eastAsia="en-US"/>
    </w:rPr>
  </w:style>
  <w:style w:type="paragraph" w:customStyle="1" w:styleId="a">
    <w:name w:val="(a)"/>
    <w:basedOn w:val="Normal"/>
    <w:qFormat/>
    <w:rsid w:val="00B83A9F"/>
    <w:pPr>
      <w:suppressAutoHyphens/>
      <w:spacing w:after="120"/>
      <w:ind w:left="2835" w:right="1134" w:hanging="567"/>
      <w:jc w:val="both"/>
    </w:pPr>
    <w:rPr>
      <w:rFonts w:eastAsia="Times New Roman" w:cs="Times New Roman"/>
      <w:spacing w:val="0"/>
      <w:w w:val="100"/>
      <w:kern w:val="0"/>
      <w:szCs w:val="20"/>
      <w:lang w:val="en-GB" w:eastAsia="en-US"/>
    </w:rPr>
  </w:style>
  <w:style w:type="character" w:customStyle="1" w:styleId="paraChar">
    <w:name w:val="para Char"/>
    <w:link w:val="para"/>
    <w:locked/>
    <w:rsid w:val="00B83A9F"/>
    <w:rPr>
      <w:lang w:val="en-GB" w:eastAsia="en-US"/>
    </w:rPr>
  </w:style>
  <w:style w:type="character" w:customStyle="1" w:styleId="H1GChar">
    <w:name w:val="_ H_1_G Char"/>
    <w:link w:val="H1G"/>
    <w:uiPriority w:val="99"/>
    <w:rsid w:val="00B83A9F"/>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2488</Words>
  <Characters>14186</Characters>
  <Application>Microsoft Office Word</Application>
  <DocSecurity>0</DocSecurity>
  <Lines>118</Lines>
  <Paragraphs>33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ECE/TRANS/WP.29/GRE/2018/30</vt:lpstr>
      <vt:lpstr>ECE/TRANS/WP.29/GRE/2018/30</vt:lpstr>
      <vt:lpstr>A/</vt:lpstr>
    </vt:vector>
  </TitlesOfParts>
  <Company>DCM</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ECE/TRANS/WP.29/GRE/2018/30</dc:title>
  <dc:subject/>
  <dc:creator>Svetlana PROKOUDINA</dc:creator>
  <cp:keywords/>
  <cp:lastModifiedBy>Benedicte Boudol</cp:lastModifiedBy>
  <cp:revision>2</cp:revision>
  <cp:lastPrinted>2018-02-12T15:10:00Z</cp:lastPrinted>
  <dcterms:created xsi:type="dcterms:W3CDTF">2018-03-05T14:02:00Z</dcterms:created>
  <dcterms:modified xsi:type="dcterms:W3CDTF">2018-03-05T14:02:00Z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