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B7FB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B7FBE" w:rsidP="008B7FBE">
            <w:pPr>
              <w:jc w:val="right"/>
            </w:pPr>
            <w:r w:rsidRPr="008B7FBE">
              <w:rPr>
                <w:sz w:val="40"/>
              </w:rPr>
              <w:t>ECE</w:t>
            </w:r>
            <w:r>
              <w:t>/TRANS/WP.29/GRE/2018/21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B7FBE" w:rsidP="00C97039">
            <w:pPr>
              <w:spacing w:before="240"/>
            </w:pPr>
            <w:r>
              <w:t>Distr. générale</w:t>
            </w:r>
          </w:p>
          <w:p w:rsidR="008B7FBE" w:rsidRDefault="008B7FBE" w:rsidP="008B7FBE">
            <w:pPr>
              <w:spacing w:line="240" w:lineRule="exact"/>
            </w:pPr>
            <w:r>
              <w:t>8 février 2018</w:t>
            </w:r>
          </w:p>
          <w:p w:rsidR="008B7FBE" w:rsidRDefault="008B7FBE" w:rsidP="008B7FBE">
            <w:pPr>
              <w:spacing w:line="240" w:lineRule="exact"/>
            </w:pPr>
            <w:r>
              <w:t>Français</w:t>
            </w:r>
          </w:p>
          <w:p w:rsidR="008B7FBE" w:rsidRPr="00DB58B5" w:rsidRDefault="008B7FBE" w:rsidP="008B7FB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119A8" w:rsidRPr="004E3705" w:rsidRDefault="001119A8" w:rsidP="00705580">
      <w:pPr>
        <w:spacing w:before="120"/>
        <w:rPr>
          <w:b/>
          <w:sz w:val="24"/>
          <w:szCs w:val="24"/>
        </w:rPr>
      </w:pPr>
      <w:r w:rsidRPr="004E3705">
        <w:rPr>
          <w:b/>
          <w:sz w:val="24"/>
          <w:szCs w:val="24"/>
        </w:rPr>
        <w:t>Forum mondial de l</w:t>
      </w:r>
      <w:r>
        <w:rPr>
          <w:b/>
          <w:sz w:val="24"/>
          <w:szCs w:val="24"/>
        </w:rPr>
        <w:t>’</w:t>
      </w:r>
      <w:r w:rsidRPr="004E3705">
        <w:rPr>
          <w:b/>
          <w:sz w:val="24"/>
          <w:szCs w:val="24"/>
        </w:rPr>
        <w:t xml:space="preserve">harmonisation des Règlements </w:t>
      </w:r>
      <w:r>
        <w:rPr>
          <w:b/>
          <w:sz w:val="24"/>
          <w:szCs w:val="24"/>
        </w:rPr>
        <w:br/>
      </w:r>
      <w:r w:rsidRPr="004E3705">
        <w:rPr>
          <w:b/>
          <w:sz w:val="24"/>
          <w:szCs w:val="24"/>
        </w:rPr>
        <w:t>concernant les véhicules</w:t>
      </w:r>
    </w:p>
    <w:p w:rsidR="001119A8" w:rsidRPr="00705580" w:rsidRDefault="001119A8" w:rsidP="00705580">
      <w:pPr>
        <w:spacing w:before="120"/>
        <w:rPr>
          <w:b/>
        </w:rPr>
      </w:pPr>
      <w:r w:rsidRPr="00705580">
        <w:rPr>
          <w:b/>
        </w:rPr>
        <w:t>Groupe de travail de l’éclairage et de la signalisation lumineuse</w:t>
      </w:r>
    </w:p>
    <w:p w:rsidR="001119A8" w:rsidRPr="00705580" w:rsidRDefault="001119A8" w:rsidP="00705580">
      <w:pPr>
        <w:spacing w:before="120"/>
        <w:rPr>
          <w:b/>
        </w:rPr>
      </w:pPr>
      <w:r w:rsidRPr="00705580">
        <w:rPr>
          <w:b/>
        </w:rPr>
        <w:t>Soixante-dix-neuvième session</w:t>
      </w:r>
    </w:p>
    <w:p w:rsidR="001119A8" w:rsidRPr="00705580" w:rsidRDefault="001119A8" w:rsidP="001119A8">
      <w:r w:rsidRPr="00705580">
        <w:t>Genève, 24-27</w:t>
      </w:r>
      <w:r w:rsidR="00705580">
        <w:t> </w:t>
      </w:r>
      <w:r w:rsidRPr="00705580">
        <w:t>avril 2018</w:t>
      </w:r>
    </w:p>
    <w:p w:rsidR="001119A8" w:rsidRPr="00705580" w:rsidRDefault="001119A8" w:rsidP="001119A8">
      <w:r w:rsidRPr="00705580">
        <w:t>Point 5 de l’ordre du jour provisoire</w:t>
      </w:r>
    </w:p>
    <w:p w:rsidR="001119A8" w:rsidRPr="00705580" w:rsidRDefault="001119A8" w:rsidP="001119A8">
      <w:pPr>
        <w:rPr>
          <w:b/>
        </w:rPr>
      </w:pPr>
      <w:r w:rsidRPr="00705580">
        <w:rPr>
          <w:b/>
        </w:rPr>
        <w:t>Règlements n</w:t>
      </w:r>
      <w:r w:rsidRPr="00705580">
        <w:rPr>
          <w:b/>
          <w:vertAlign w:val="superscript"/>
        </w:rPr>
        <w:t>os</w:t>
      </w:r>
      <w:r w:rsidR="00705580">
        <w:rPr>
          <w:b/>
        </w:rPr>
        <w:t> </w:t>
      </w:r>
      <w:r w:rsidRPr="00705580">
        <w:rPr>
          <w:b/>
        </w:rPr>
        <w:t xml:space="preserve">37 (Lampes à incandescence), 99 (Sources lumineuses </w:t>
      </w:r>
      <w:r w:rsidR="00FB1673">
        <w:rPr>
          <w:b/>
        </w:rPr>
        <w:br/>
      </w:r>
      <w:r w:rsidRPr="00705580">
        <w:rPr>
          <w:b/>
        </w:rPr>
        <w:t xml:space="preserve">à décharge), 128 (Sources lumineuses à diodes électroluminescentes) </w:t>
      </w:r>
      <w:r w:rsidR="00705580">
        <w:rPr>
          <w:b/>
        </w:rPr>
        <w:br/>
      </w:r>
      <w:r w:rsidRPr="00705580">
        <w:rPr>
          <w:b/>
        </w:rPr>
        <w:t xml:space="preserve">et Résolution d’ensemble sur une spécification commune </w:t>
      </w:r>
      <w:r w:rsidR="00705580">
        <w:rPr>
          <w:b/>
        </w:rPr>
        <w:br/>
      </w:r>
      <w:r w:rsidRPr="00705580">
        <w:rPr>
          <w:b/>
        </w:rPr>
        <w:t>des catégories de sources lumineuses</w:t>
      </w:r>
    </w:p>
    <w:p w:rsidR="001119A8" w:rsidRDefault="00705580" w:rsidP="00705580">
      <w:pPr>
        <w:pStyle w:val="HChG"/>
      </w:pPr>
      <w:r>
        <w:tab/>
      </w:r>
      <w:r>
        <w:tab/>
      </w:r>
      <w:r w:rsidR="001119A8" w:rsidRPr="00CE5C7D">
        <w:t>Proposition de modification du code d</w:t>
      </w:r>
      <w:r w:rsidR="001119A8">
        <w:t>’</w:t>
      </w:r>
      <w:r w:rsidR="001119A8" w:rsidRPr="00CE5C7D">
        <w:t xml:space="preserve">homologation </w:t>
      </w:r>
      <w:r>
        <w:br/>
      </w:r>
      <w:r w:rsidR="001119A8" w:rsidRPr="00CE5C7D">
        <w:t>des sources lumineuses</w:t>
      </w:r>
    </w:p>
    <w:p w:rsidR="001119A8" w:rsidRDefault="001119A8" w:rsidP="0074795A">
      <w:pPr>
        <w:pStyle w:val="H1G"/>
      </w:pPr>
      <w:r>
        <w:tab/>
      </w:r>
      <w:r>
        <w:tab/>
        <w:t>Communication de l’expert de l</w:t>
      </w:r>
      <w:r w:rsidR="0074795A">
        <w:t xml:space="preserve">a Commission électrotechnique </w:t>
      </w:r>
      <w:r>
        <w:t>internationale (CEI)</w:t>
      </w:r>
      <w:r w:rsidR="0074795A" w:rsidRPr="0074795A">
        <w:rPr>
          <w:rStyle w:val="FootnoteReference"/>
          <w:b w:val="0"/>
          <w:sz w:val="20"/>
          <w:vertAlign w:val="baseline"/>
        </w:rPr>
        <w:footnoteReference w:customMarkFollows="1" w:id="2"/>
        <w:t>*</w:t>
      </w:r>
    </w:p>
    <w:p w:rsidR="001119A8" w:rsidRDefault="001119A8" w:rsidP="0074795A">
      <w:pPr>
        <w:pStyle w:val="SingleTxtG"/>
        <w:ind w:firstLine="567"/>
      </w:pPr>
      <w:r w:rsidRPr="00596112">
        <w:t>Le texte reproduit ci-dessous</w:t>
      </w:r>
      <w:r>
        <w:t xml:space="preserve">, établi par l’expert de la CEI, en étroite collaboration avec l’expert des Pays-Bas, vise à aligner le code d’homologation des sources lumineuses homologuées conformément aux Règlements </w:t>
      </w:r>
      <w:r w:rsidRPr="00596112">
        <w:t>n</w:t>
      </w:r>
      <w:r w:rsidRPr="00596112">
        <w:rPr>
          <w:vertAlign w:val="superscript"/>
        </w:rPr>
        <w:t>os</w:t>
      </w:r>
      <w:r w:rsidR="0074795A">
        <w:t> </w:t>
      </w:r>
      <w:r w:rsidRPr="00596112">
        <w:t xml:space="preserve">37, 99 et 128 </w:t>
      </w:r>
      <w:r>
        <w:t xml:space="preserve">sur le numéro d’homologation prescrit par la </w:t>
      </w:r>
      <w:r w:rsidR="005444D3">
        <w:t xml:space="preserve">révision </w:t>
      </w:r>
      <w:r>
        <w:t xml:space="preserve">3 de l’Accord de 1958, </w:t>
      </w:r>
      <w:r w:rsidR="0074795A">
        <w:t>a</w:t>
      </w:r>
      <w:r>
        <w:t>nnexe</w:t>
      </w:r>
      <w:r w:rsidR="0074795A">
        <w:t> </w:t>
      </w:r>
      <w:r>
        <w:t>4 (E/ECE/TRANS/505/REV.3). Il est fondé sur le document GRE-78-18 et les débats y</w:t>
      </w:r>
      <w:r w:rsidR="0074795A">
        <w:t> </w:t>
      </w:r>
      <w:r>
        <w:t>relatifs qui se sont tenus lors de la soixante-dix-huitième session du Groupe de travail de l’éclairage et de la signalisation lumineuse (GRE). Les modifications qu’il est proposé d’apporter au texte actuel du Règlement n</w:t>
      </w:r>
      <w:r w:rsidR="0074795A" w:rsidRPr="0074795A">
        <w:rPr>
          <w:vertAlign w:val="superscript"/>
        </w:rPr>
        <w:t>o</w:t>
      </w:r>
      <w:r w:rsidR="0074795A">
        <w:t> </w:t>
      </w:r>
      <w:r>
        <w:t xml:space="preserve">37 figurent en caractères gras pour les ajouts et biffés pour les suppressions. </w:t>
      </w:r>
    </w:p>
    <w:p w:rsidR="001119A8" w:rsidRDefault="001119A8" w:rsidP="0074795A">
      <w:pPr>
        <w:pStyle w:val="HChG"/>
        <w:rPr>
          <w:lang w:val="fr-FR"/>
        </w:rPr>
      </w:pPr>
      <w:r>
        <w:br w:type="page"/>
      </w:r>
      <w:r w:rsidR="0074795A">
        <w:lastRenderedPageBreak/>
        <w:tab/>
      </w:r>
      <w:r w:rsidRPr="009A1B62">
        <w:rPr>
          <w:lang w:val="fr-FR"/>
        </w:rPr>
        <w:t>I.</w:t>
      </w:r>
      <w:r w:rsidRPr="009A1B62">
        <w:rPr>
          <w:lang w:val="fr-FR"/>
        </w:rPr>
        <w:tab/>
        <w:t xml:space="preserve">Proposition de complément 47 à la série </w:t>
      </w:r>
      <w:r>
        <w:rPr>
          <w:lang w:val="fr-FR"/>
        </w:rPr>
        <w:t>03 d’</w:t>
      </w:r>
      <w:r w:rsidRPr="009A1B62">
        <w:rPr>
          <w:lang w:val="fr-FR"/>
        </w:rPr>
        <w:t>amend</w:t>
      </w:r>
      <w:r>
        <w:rPr>
          <w:lang w:val="fr-FR"/>
        </w:rPr>
        <w:t>e</w:t>
      </w:r>
      <w:r w:rsidRPr="009A1B62">
        <w:rPr>
          <w:lang w:val="fr-FR"/>
        </w:rPr>
        <w:t xml:space="preserve">ments </w:t>
      </w:r>
      <w:r>
        <w:rPr>
          <w:lang w:val="fr-FR"/>
        </w:rPr>
        <w:t>au Règlement</w:t>
      </w:r>
      <w:r w:rsidRPr="009A1B62">
        <w:rPr>
          <w:lang w:val="fr-FR"/>
        </w:rPr>
        <w:t xml:space="preserve"> </w:t>
      </w:r>
      <w:r w:rsidR="0074795A">
        <w:rPr>
          <w:lang w:val="fr-FR"/>
        </w:rPr>
        <w:t>n</w:t>
      </w:r>
      <w:r w:rsidR="0074795A" w:rsidRPr="0074795A">
        <w:rPr>
          <w:vertAlign w:val="superscript"/>
          <w:lang w:val="fr-FR"/>
        </w:rPr>
        <w:t>o</w:t>
      </w:r>
      <w:r w:rsidR="0074795A">
        <w:rPr>
          <w:lang w:val="fr-FR"/>
        </w:rPr>
        <w:t> </w:t>
      </w:r>
      <w:r w:rsidRPr="009A1B62">
        <w:rPr>
          <w:lang w:val="fr-FR"/>
        </w:rPr>
        <w:t>37 (</w:t>
      </w:r>
      <w:r>
        <w:rPr>
          <w:lang w:val="fr-FR"/>
        </w:rPr>
        <w:t>Lampes à incandescence</w:t>
      </w:r>
      <w:r w:rsidRPr="009A1B62">
        <w:rPr>
          <w:lang w:val="fr-FR"/>
        </w:rPr>
        <w:t>)</w:t>
      </w:r>
    </w:p>
    <w:p w:rsidR="001119A8" w:rsidRPr="009A1B62" w:rsidRDefault="001119A8" w:rsidP="0074795A">
      <w:pPr>
        <w:pStyle w:val="SingleTxtG"/>
        <w:rPr>
          <w:lang w:val="fr-FR"/>
        </w:rPr>
      </w:pPr>
      <w:r w:rsidRPr="0074795A">
        <w:rPr>
          <w:i/>
          <w:lang w:val="fr-FR"/>
        </w:rPr>
        <w:t>Paragraphe 2.4.2</w:t>
      </w:r>
      <w:r w:rsidRPr="009A1B62">
        <w:rPr>
          <w:lang w:val="fr-FR"/>
        </w:rPr>
        <w:t>, modifier comme suit</w:t>
      </w:r>
      <w:r w:rsidR="0074795A">
        <w:rPr>
          <w:lang w:val="fr-FR"/>
        </w:rPr>
        <w:t> </w:t>
      </w:r>
      <w:r w:rsidRPr="009A1B62">
        <w:rPr>
          <w:lang w:val="fr-FR"/>
        </w:rPr>
        <w:t>:</w:t>
      </w:r>
    </w:p>
    <w:p w:rsidR="001119A8" w:rsidRDefault="001119A8" w:rsidP="0074795A">
      <w:pPr>
        <w:pStyle w:val="SingleTxtG"/>
        <w:tabs>
          <w:tab w:val="left" w:pos="2268"/>
        </w:tabs>
        <w:ind w:left="2268" w:hanging="1134"/>
        <w:rPr>
          <w:lang w:val="fr-FR"/>
        </w:rPr>
      </w:pPr>
      <w:r>
        <w:rPr>
          <w:lang w:val="fr-FR"/>
        </w:rPr>
        <w:t>« 2.4.2</w:t>
      </w:r>
      <w:r w:rsidRPr="00B911D2">
        <w:rPr>
          <w:lang w:val="fr-FR"/>
        </w:rPr>
        <w:tab/>
      </w:r>
      <w:r>
        <w:rPr>
          <w:lang w:val="fr-FR"/>
        </w:rPr>
        <w:t>Un code d’</w:t>
      </w:r>
      <w:r w:rsidRPr="00B911D2">
        <w:rPr>
          <w:lang w:val="fr-FR"/>
        </w:rPr>
        <w:t>homologation</w:t>
      </w:r>
      <w:r>
        <w:rPr>
          <w:lang w:val="fr-FR"/>
        </w:rPr>
        <w:t xml:space="preserve"> est attribué à chaque type homologué </w:t>
      </w:r>
      <w:r w:rsidRPr="009A1B62">
        <w:rPr>
          <w:strike/>
          <w:lang w:val="fr-FR"/>
        </w:rPr>
        <w:t>dont le premier caractère (actuellement 2 correspondant à la série 02 d</w:t>
      </w:r>
      <w:r>
        <w:rPr>
          <w:strike/>
          <w:lang w:val="fr-FR"/>
        </w:rPr>
        <w:t>’</w:t>
      </w:r>
      <w:r w:rsidRPr="009A1B62">
        <w:rPr>
          <w:strike/>
          <w:lang w:val="fr-FR"/>
        </w:rPr>
        <w:t>amendements entrée en vigueur le 27 octobre 1983 et à la série 03 d</w:t>
      </w:r>
      <w:r>
        <w:rPr>
          <w:strike/>
          <w:lang w:val="fr-FR"/>
        </w:rPr>
        <w:t>’</w:t>
      </w:r>
      <w:r w:rsidRPr="009A1B62">
        <w:rPr>
          <w:strike/>
          <w:lang w:val="fr-FR"/>
        </w:rPr>
        <w:t>amendements (n</w:t>
      </w:r>
      <w:r>
        <w:rPr>
          <w:strike/>
          <w:lang w:val="fr-FR"/>
        </w:rPr>
        <w:t>’</w:t>
      </w:r>
      <w:r w:rsidRPr="009A1B62">
        <w:rPr>
          <w:strike/>
          <w:lang w:val="fr-FR"/>
        </w:rPr>
        <w:t>entraînant pas de changement dans le code d</w:t>
      </w:r>
      <w:r>
        <w:rPr>
          <w:strike/>
          <w:lang w:val="fr-FR"/>
        </w:rPr>
        <w:t>’</w:t>
      </w:r>
      <w:r w:rsidRPr="009A1B62">
        <w:rPr>
          <w:strike/>
          <w:lang w:val="fr-FR"/>
        </w:rPr>
        <w:t>homologation), entrée en vigueur le 1</w:t>
      </w:r>
      <w:r w:rsidRPr="009A1B62">
        <w:rPr>
          <w:strike/>
          <w:vertAlign w:val="superscript"/>
          <w:lang w:val="fr-FR"/>
        </w:rPr>
        <w:t>er</w:t>
      </w:r>
      <w:r w:rsidRPr="009A1B62">
        <w:rPr>
          <w:strike/>
          <w:lang w:val="fr-FR"/>
        </w:rPr>
        <w:t> juin 1984) indique la série d</w:t>
      </w:r>
      <w:r>
        <w:rPr>
          <w:strike/>
          <w:lang w:val="fr-FR"/>
        </w:rPr>
        <w:t>’</w:t>
      </w:r>
      <w:r w:rsidRPr="009A1B62">
        <w:rPr>
          <w:strike/>
          <w:lang w:val="fr-FR"/>
        </w:rPr>
        <w:t>amendements contenant les modifications techniques majeures les plus récentes apportées au Règlement à la date de délivrance de l</w:t>
      </w:r>
      <w:r>
        <w:rPr>
          <w:strike/>
          <w:lang w:val="fr-FR"/>
        </w:rPr>
        <w:t>’</w:t>
      </w:r>
      <w:r w:rsidRPr="009A1B62">
        <w:rPr>
          <w:strike/>
          <w:lang w:val="fr-FR"/>
        </w:rPr>
        <w:t>homologation. Il est suivi d</w:t>
      </w:r>
      <w:r>
        <w:rPr>
          <w:strike/>
          <w:lang w:val="fr-FR"/>
        </w:rPr>
        <w:t>’</w:t>
      </w:r>
      <w:r w:rsidRPr="009A1B62">
        <w:rPr>
          <w:strike/>
          <w:lang w:val="fr-FR"/>
        </w:rPr>
        <w:t>un code d</w:t>
      </w:r>
      <w:r>
        <w:rPr>
          <w:strike/>
          <w:lang w:val="fr-FR"/>
        </w:rPr>
        <w:t>’</w:t>
      </w:r>
      <w:r w:rsidRPr="009A1B62">
        <w:rPr>
          <w:strike/>
          <w:lang w:val="fr-FR"/>
        </w:rPr>
        <w:t>identification comprenant au maximum trois caractères. Seuls les chiffres arabes et les lettres majuscules de la note de bas de page</w:t>
      </w:r>
      <w:r w:rsidRPr="00057244">
        <w:rPr>
          <w:strike/>
          <w:vertAlign w:val="superscript"/>
        </w:rPr>
        <w:t>3</w:t>
      </w:r>
      <w:r>
        <w:rPr>
          <w:strike/>
          <w:lang w:val="fr-FR"/>
        </w:rPr>
        <w:t xml:space="preserve"> peuvent être utilisés</w:t>
      </w:r>
      <w:r>
        <w:rPr>
          <w:lang w:val="fr-FR"/>
        </w:rPr>
        <w:t xml:space="preserve">. </w:t>
      </w:r>
      <w:r>
        <w:rPr>
          <w:b/>
          <w:lang w:val="fr-FR"/>
        </w:rPr>
        <w:t xml:space="preserve">Ce code d’homologation doit constituer la </w:t>
      </w:r>
      <w:r w:rsidR="002C2DD5">
        <w:rPr>
          <w:b/>
          <w:lang w:val="fr-FR"/>
        </w:rPr>
        <w:t xml:space="preserve">section </w:t>
      </w:r>
      <w:r>
        <w:rPr>
          <w:b/>
          <w:lang w:val="fr-FR"/>
        </w:rPr>
        <w:t>3 du numéro d’homologation</w:t>
      </w:r>
      <w:r w:rsidRPr="00985F7B">
        <w:rPr>
          <w:b/>
          <w:vertAlign w:val="superscript"/>
          <w:lang w:val="fr-FR"/>
        </w:rPr>
        <w:t>3</w:t>
      </w:r>
      <w:r>
        <w:rPr>
          <w:lang w:val="fr-FR"/>
        </w:rPr>
        <w:t>.</w:t>
      </w:r>
      <w:r w:rsidRPr="00B911D2">
        <w:rPr>
          <w:lang w:val="fr-FR"/>
        </w:rPr>
        <w:t xml:space="preserve"> Une même Partie contractante ne peut pas attribuer ce même code à un autre type de source lumineuse à incandescence. L</w:t>
      </w:r>
      <w:r>
        <w:rPr>
          <w:lang w:val="fr-FR"/>
        </w:rPr>
        <w:t>’</w:t>
      </w:r>
      <w:r w:rsidRPr="00B911D2">
        <w:rPr>
          <w:lang w:val="fr-FR"/>
        </w:rPr>
        <w:t>homologation, l</w:t>
      </w:r>
      <w:r>
        <w:rPr>
          <w:lang w:val="fr-FR"/>
        </w:rPr>
        <w:t>’</w:t>
      </w:r>
      <w:r w:rsidRPr="00B911D2">
        <w:rPr>
          <w:lang w:val="fr-FR"/>
        </w:rPr>
        <w:t>extension de l</w:t>
      </w:r>
      <w:r>
        <w:rPr>
          <w:lang w:val="fr-FR"/>
        </w:rPr>
        <w:t>’</w:t>
      </w:r>
      <w:r w:rsidRPr="00B911D2">
        <w:rPr>
          <w:lang w:val="fr-FR"/>
        </w:rPr>
        <w:t>homologation, le refus ou le retrait de l</w:t>
      </w:r>
      <w:r>
        <w:rPr>
          <w:lang w:val="fr-FR"/>
        </w:rPr>
        <w:t>’</w:t>
      </w:r>
      <w:r w:rsidRPr="00B911D2">
        <w:rPr>
          <w:lang w:val="fr-FR"/>
        </w:rPr>
        <w:t>homologation ou l</w:t>
      </w:r>
      <w:r>
        <w:rPr>
          <w:lang w:val="fr-FR"/>
        </w:rPr>
        <w:t>’</w:t>
      </w:r>
      <w:r w:rsidRPr="00B911D2">
        <w:rPr>
          <w:lang w:val="fr-FR"/>
        </w:rPr>
        <w:t>arrêt définitif de la production d</w:t>
      </w:r>
      <w:r>
        <w:rPr>
          <w:lang w:val="fr-FR"/>
        </w:rPr>
        <w:t>’</w:t>
      </w:r>
      <w:r w:rsidRPr="00B911D2">
        <w:rPr>
          <w:lang w:val="fr-FR"/>
        </w:rPr>
        <w:t>un type de source lumineuse à incandescence en application du présent Règlement est notifié aux Parties à l</w:t>
      </w:r>
      <w:r>
        <w:rPr>
          <w:lang w:val="fr-FR"/>
        </w:rPr>
        <w:t>’</w:t>
      </w:r>
      <w:r w:rsidRPr="00B911D2">
        <w:rPr>
          <w:lang w:val="fr-FR"/>
        </w:rPr>
        <w:t>Accord de 1958 appliquant le présent Règlement au moyen d</w:t>
      </w:r>
      <w:r>
        <w:rPr>
          <w:lang w:val="fr-FR"/>
        </w:rPr>
        <w:t>’</w:t>
      </w:r>
      <w:r w:rsidRPr="00B911D2">
        <w:rPr>
          <w:lang w:val="fr-FR"/>
        </w:rPr>
        <w:t>une fiche conforme au modèle visé à l</w:t>
      </w:r>
      <w:r>
        <w:rPr>
          <w:lang w:val="fr-FR"/>
        </w:rPr>
        <w:t>’</w:t>
      </w:r>
      <w:r w:rsidRPr="00B911D2">
        <w:rPr>
          <w:lang w:val="fr-FR"/>
        </w:rPr>
        <w:t>annexe 2 du présent Règlement et d</w:t>
      </w:r>
      <w:r>
        <w:rPr>
          <w:lang w:val="fr-FR"/>
        </w:rPr>
        <w:t>’</w:t>
      </w:r>
      <w:r w:rsidRPr="00B911D2">
        <w:rPr>
          <w:lang w:val="fr-FR"/>
        </w:rPr>
        <w:t>un dessin d</w:t>
      </w:r>
      <w:r>
        <w:rPr>
          <w:lang w:val="fr-FR"/>
        </w:rPr>
        <w:t>’</w:t>
      </w:r>
      <w:r w:rsidRPr="00B911D2">
        <w:rPr>
          <w:lang w:val="fr-FR"/>
        </w:rPr>
        <w:t>un format maximal A4 (210 x 297 mm) et à une échelle d</w:t>
      </w:r>
      <w:r>
        <w:rPr>
          <w:lang w:val="fr-FR"/>
        </w:rPr>
        <w:t>’</w:t>
      </w:r>
      <w:r w:rsidRPr="00B911D2">
        <w:rPr>
          <w:lang w:val="fr-FR"/>
        </w:rPr>
        <w:t>au moins 2</w:t>
      </w:r>
      <w:r>
        <w:rPr>
          <w:lang w:val="fr-FR"/>
        </w:rPr>
        <w:t>:</w:t>
      </w:r>
      <w:r w:rsidRPr="00B911D2">
        <w:rPr>
          <w:lang w:val="fr-FR"/>
        </w:rPr>
        <w:t>1 fourni pour l</w:t>
      </w:r>
      <w:r>
        <w:rPr>
          <w:lang w:val="fr-FR"/>
        </w:rPr>
        <w:t>’</w:t>
      </w:r>
      <w:r w:rsidRPr="00B911D2">
        <w:rPr>
          <w:lang w:val="fr-FR"/>
        </w:rPr>
        <w:t xml:space="preserve">homologation par le demandeur. Si le demandeur le désire, le même </w:t>
      </w:r>
      <w:r w:rsidRPr="00B87521">
        <w:rPr>
          <w:b/>
          <w:lang w:val="fr-FR"/>
        </w:rPr>
        <w:t>numéro</w:t>
      </w:r>
      <w:r w:rsidRPr="00B911D2">
        <w:rPr>
          <w:lang w:val="fr-FR"/>
        </w:rPr>
        <w:t xml:space="preserve"> d</w:t>
      </w:r>
      <w:r>
        <w:rPr>
          <w:lang w:val="fr-FR"/>
        </w:rPr>
        <w:t>’</w:t>
      </w:r>
      <w:r w:rsidRPr="00B911D2">
        <w:rPr>
          <w:lang w:val="fr-FR"/>
        </w:rPr>
        <w:t>homologation</w:t>
      </w:r>
      <w:r>
        <w:rPr>
          <w:lang w:val="fr-FR"/>
        </w:rPr>
        <w:t xml:space="preserve"> (</w:t>
      </w:r>
      <w:r w:rsidRPr="00B87521">
        <w:rPr>
          <w:b/>
          <w:lang w:val="fr-FR"/>
        </w:rPr>
        <w:t>et le même</w:t>
      </w:r>
      <w:r>
        <w:rPr>
          <w:lang w:val="fr-FR"/>
        </w:rPr>
        <w:t xml:space="preserve"> code </w:t>
      </w:r>
      <w:r w:rsidRPr="00B87521">
        <w:rPr>
          <w:b/>
          <w:lang w:val="fr-FR"/>
        </w:rPr>
        <w:t>d</w:t>
      </w:r>
      <w:r>
        <w:rPr>
          <w:b/>
          <w:lang w:val="fr-FR"/>
        </w:rPr>
        <w:t>’</w:t>
      </w:r>
      <w:r w:rsidRPr="00B87521">
        <w:rPr>
          <w:b/>
          <w:lang w:val="fr-FR"/>
        </w:rPr>
        <w:t>homologation correspondant</w:t>
      </w:r>
      <w:r>
        <w:rPr>
          <w:lang w:val="fr-FR"/>
        </w:rPr>
        <w:t>)</w:t>
      </w:r>
      <w:r w:rsidRPr="00B911D2">
        <w:rPr>
          <w:lang w:val="fr-FR"/>
        </w:rPr>
        <w:t xml:space="preserve"> peut être assigné à la source lumineuse à incandescence émettant une lumière blanche et à la source lumineuse à incandescence émettant une lumière jaun</w:t>
      </w:r>
      <w:r>
        <w:rPr>
          <w:lang w:val="fr-FR"/>
        </w:rPr>
        <w:t>e sélectif (voir par. 2.1.2.3). ».</w:t>
      </w:r>
    </w:p>
    <w:p w:rsidR="001119A8" w:rsidRDefault="001119A8" w:rsidP="0074795A">
      <w:pPr>
        <w:pStyle w:val="SingleTxtG"/>
        <w:rPr>
          <w:lang w:val="fr-FR"/>
        </w:rPr>
      </w:pPr>
      <w:r>
        <w:rPr>
          <w:i/>
          <w:lang w:val="fr-FR"/>
        </w:rPr>
        <w:t>Note 3</w:t>
      </w:r>
      <w:r w:rsidRPr="0074795A">
        <w:rPr>
          <w:lang w:val="fr-FR"/>
        </w:rPr>
        <w:t>,</w:t>
      </w:r>
      <w:r>
        <w:rPr>
          <w:i/>
          <w:lang w:val="fr-FR"/>
        </w:rPr>
        <w:t xml:space="preserve"> </w:t>
      </w:r>
      <w:r>
        <w:rPr>
          <w:lang w:val="fr-FR"/>
        </w:rPr>
        <w:t>modifier comme suit :</w:t>
      </w:r>
    </w:p>
    <w:p w:rsidR="001119A8" w:rsidRPr="005F6CB5" w:rsidRDefault="001119A8" w:rsidP="0074795A">
      <w:pPr>
        <w:pStyle w:val="SingleTxtG"/>
        <w:rPr>
          <w:sz w:val="18"/>
          <w:szCs w:val="18"/>
          <w:lang w:val="fr-FR"/>
        </w:rPr>
      </w:pPr>
      <w:r w:rsidRPr="005F6CB5">
        <w:rPr>
          <w:sz w:val="18"/>
          <w:szCs w:val="18"/>
          <w:lang w:val="fr-FR"/>
        </w:rPr>
        <w:t>« </w:t>
      </w:r>
      <w:r w:rsidRPr="005F6CB5">
        <w:rPr>
          <w:sz w:val="18"/>
          <w:szCs w:val="18"/>
          <w:vertAlign w:val="superscript"/>
          <w:lang w:val="fr-FR"/>
        </w:rPr>
        <w:t>3</w:t>
      </w:r>
      <w:r w:rsidR="0074795A" w:rsidRPr="005F6CB5">
        <w:rPr>
          <w:sz w:val="18"/>
          <w:szCs w:val="18"/>
          <w:lang w:val="fr-FR"/>
        </w:rPr>
        <w:t xml:space="preserve">  </w:t>
      </w:r>
      <w:r w:rsidRPr="005F6CB5">
        <w:rPr>
          <w:sz w:val="18"/>
          <w:szCs w:val="18"/>
          <w:lang w:val="fr-FR"/>
        </w:rPr>
        <w:t xml:space="preserve">Accords de 1958, </w:t>
      </w:r>
      <w:r w:rsidR="005444D3" w:rsidRPr="005F6CB5">
        <w:rPr>
          <w:sz w:val="18"/>
          <w:szCs w:val="18"/>
          <w:lang w:val="fr-FR"/>
        </w:rPr>
        <w:t xml:space="preserve">révision </w:t>
      </w:r>
      <w:r w:rsidRPr="005F6CB5">
        <w:rPr>
          <w:sz w:val="18"/>
          <w:szCs w:val="18"/>
          <w:lang w:val="fr-FR"/>
        </w:rPr>
        <w:t xml:space="preserve">3, </w:t>
      </w:r>
      <w:r w:rsidR="0074795A" w:rsidRPr="005F6CB5">
        <w:rPr>
          <w:sz w:val="18"/>
          <w:szCs w:val="18"/>
          <w:lang w:val="fr-FR"/>
        </w:rPr>
        <w:t>a</w:t>
      </w:r>
      <w:r w:rsidRPr="005F6CB5">
        <w:rPr>
          <w:sz w:val="18"/>
          <w:szCs w:val="18"/>
          <w:lang w:val="fr-FR"/>
        </w:rPr>
        <w:t>nnexe 4 (E/ECE/TRANS/505/REV.3). ».</w:t>
      </w:r>
    </w:p>
    <w:p w:rsidR="001119A8" w:rsidRDefault="001119A8" w:rsidP="0074795A">
      <w:pPr>
        <w:pStyle w:val="SingleTxtG"/>
        <w:rPr>
          <w:i/>
          <w:lang w:val="fr-FR"/>
        </w:rPr>
      </w:pPr>
      <w:r w:rsidRPr="009A1B62">
        <w:rPr>
          <w:i/>
          <w:lang w:val="fr-FR"/>
        </w:rPr>
        <w:t>Paragraph</w:t>
      </w:r>
      <w:r>
        <w:rPr>
          <w:i/>
          <w:lang w:val="fr-FR"/>
        </w:rPr>
        <w:t>e 2.4.4</w:t>
      </w:r>
      <w:r w:rsidRPr="0074795A">
        <w:rPr>
          <w:lang w:val="fr-FR"/>
        </w:rPr>
        <w:t>, modifier comme suit</w:t>
      </w:r>
      <w:r w:rsidR="0074795A">
        <w:rPr>
          <w:lang w:val="fr-FR"/>
        </w:rPr>
        <w:t> </w:t>
      </w:r>
      <w:r w:rsidRPr="0074795A">
        <w:rPr>
          <w:lang w:val="fr-FR"/>
        </w:rPr>
        <w:t>:</w:t>
      </w:r>
    </w:p>
    <w:p w:rsidR="001119A8" w:rsidRDefault="001119A8" w:rsidP="00DD5152">
      <w:pPr>
        <w:pStyle w:val="SingleTxtG"/>
        <w:tabs>
          <w:tab w:val="left" w:pos="2268"/>
        </w:tabs>
        <w:ind w:left="2268" w:hanging="1134"/>
        <w:rPr>
          <w:lang w:val="fr-FR"/>
        </w:rPr>
      </w:pPr>
      <w:r>
        <w:rPr>
          <w:lang w:val="fr-FR"/>
        </w:rPr>
        <w:t>« 2.4.4</w:t>
      </w:r>
      <w:r w:rsidRPr="00B911D2">
        <w:rPr>
          <w:lang w:val="fr-FR"/>
        </w:rPr>
        <w:tab/>
        <w:t xml:space="preserve">Si le demandeur a obtenu le même </w:t>
      </w:r>
      <w:r>
        <w:rPr>
          <w:b/>
          <w:lang w:val="fr-FR"/>
        </w:rPr>
        <w:t>numéro</w:t>
      </w:r>
      <w:r>
        <w:rPr>
          <w:lang w:val="fr-FR"/>
        </w:rPr>
        <w:t xml:space="preserve"> </w:t>
      </w:r>
      <w:r w:rsidRPr="00B911D2">
        <w:rPr>
          <w:lang w:val="fr-FR"/>
        </w:rPr>
        <w:t>d</w:t>
      </w:r>
      <w:r>
        <w:rPr>
          <w:lang w:val="fr-FR"/>
        </w:rPr>
        <w:t>’</w:t>
      </w:r>
      <w:r w:rsidRPr="00B911D2">
        <w:rPr>
          <w:lang w:val="fr-FR"/>
        </w:rPr>
        <w:t>homologation</w:t>
      </w:r>
      <w:r>
        <w:rPr>
          <w:lang w:val="fr-FR"/>
        </w:rPr>
        <w:t xml:space="preserve"> (</w:t>
      </w:r>
      <w:r>
        <w:rPr>
          <w:b/>
          <w:lang w:val="fr-FR"/>
        </w:rPr>
        <w:t xml:space="preserve">et le même </w:t>
      </w:r>
      <w:r>
        <w:rPr>
          <w:lang w:val="fr-FR"/>
        </w:rPr>
        <w:t xml:space="preserve">code </w:t>
      </w:r>
      <w:r>
        <w:rPr>
          <w:b/>
          <w:lang w:val="fr-FR"/>
        </w:rPr>
        <w:t>d’homologation correspondant)</w:t>
      </w:r>
      <w:r w:rsidRPr="00B911D2">
        <w:rPr>
          <w:lang w:val="fr-FR"/>
        </w:rPr>
        <w:t xml:space="preserve"> pour différentes marques de fabrique ou de commerce, il suffit d</w:t>
      </w:r>
      <w:r>
        <w:rPr>
          <w:lang w:val="fr-FR"/>
        </w:rPr>
        <w:t>’</w:t>
      </w:r>
      <w:r w:rsidRPr="00B911D2">
        <w:rPr>
          <w:lang w:val="fr-FR"/>
        </w:rPr>
        <w:t>apposer une ou plusieurs d</w:t>
      </w:r>
      <w:r>
        <w:rPr>
          <w:lang w:val="fr-FR"/>
        </w:rPr>
        <w:t>’</w:t>
      </w:r>
      <w:r w:rsidRPr="00B911D2">
        <w:rPr>
          <w:lang w:val="fr-FR"/>
        </w:rPr>
        <w:t>entre elles pour satisfa</w:t>
      </w:r>
      <w:r>
        <w:rPr>
          <w:lang w:val="fr-FR"/>
        </w:rPr>
        <w:t>ire aux exigences du paragraphe 2.3.1.1. ».</w:t>
      </w:r>
    </w:p>
    <w:p w:rsidR="001119A8" w:rsidRPr="00116C71" w:rsidRDefault="001119A8" w:rsidP="00DD5152">
      <w:pPr>
        <w:pStyle w:val="SingleTxtG"/>
        <w:rPr>
          <w:b/>
          <w:lang w:val="fr-FR"/>
        </w:rPr>
      </w:pPr>
      <w:r w:rsidRPr="00116C71">
        <w:rPr>
          <w:i/>
          <w:lang w:val="fr-FR"/>
        </w:rPr>
        <w:t>Annexe 2</w:t>
      </w:r>
      <w:r w:rsidRPr="005444D3">
        <w:rPr>
          <w:lang w:val="fr-FR"/>
        </w:rPr>
        <w:t xml:space="preserve">, </w:t>
      </w:r>
      <w:r w:rsidRPr="00116C71">
        <w:rPr>
          <w:lang w:val="fr-FR"/>
        </w:rPr>
        <w:t>modifier comme suit :</w:t>
      </w:r>
    </w:p>
    <w:p w:rsidR="00DD5152" w:rsidRDefault="001119A8" w:rsidP="00DD5152">
      <w:pPr>
        <w:pStyle w:val="SingleTxtG"/>
        <w:tabs>
          <w:tab w:val="right" w:leader="dot" w:pos="8505"/>
        </w:tabs>
        <w:rPr>
          <w:lang w:val="fr-FR"/>
        </w:rPr>
      </w:pPr>
      <w:r>
        <w:rPr>
          <w:lang w:val="fr-FR"/>
        </w:rPr>
        <w:t>« </w:t>
      </w:r>
      <w:r w:rsidRPr="00985F7B">
        <w:rPr>
          <w:rFonts w:eastAsia="Calibri"/>
          <w:snapToGrid w:val="0"/>
          <w:lang w:val="fr-FR"/>
        </w:rPr>
        <w:t>N</w:t>
      </w:r>
      <w:r w:rsidRPr="00985F7B">
        <w:rPr>
          <w:rFonts w:eastAsia="Calibri"/>
          <w:snapToGrid w:val="0"/>
          <w:vertAlign w:val="superscript"/>
          <w:lang w:val="fr-FR"/>
        </w:rPr>
        <w:t>o</w:t>
      </w:r>
      <w:r w:rsidRPr="00985F7B">
        <w:rPr>
          <w:rFonts w:eastAsia="Calibri"/>
          <w:bCs/>
          <w:snapToGrid w:val="0"/>
          <w:lang w:val="fr-FR"/>
        </w:rPr>
        <w:t> </w:t>
      </w:r>
      <w:r w:rsidRPr="00985F7B">
        <w:rPr>
          <w:rFonts w:eastAsia="Calibri"/>
          <w:lang w:val="fr-FR"/>
        </w:rPr>
        <w:t>d</w:t>
      </w:r>
      <w:r>
        <w:rPr>
          <w:rFonts w:eastAsia="Calibri"/>
          <w:lang w:val="fr-FR"/>
        </w:rPr>
        <w:t>’</w:t>
      </w:r>
      <w:r w:rsidRPr="00985F7B">
        <w:rPr>
          <w:rFonts w:eastAsia="Calibri"/>
          <w:lang w:val="fr-FR"/>
        </w:rPr>
        <w:t xml:space="preserve">homologation : </w:t>
      </w:r>
      <w:r w:rsidR="00C87A09">
        <w:rPr>
          <w:rFonts w:eastAsia="Calibri"/>
        </w:rPr>
        <w:t>.</w:t>
      </w:r>
      <w:r w:rsidRPr="00985F7B">
        <w:rPr>
          <w:rFonts w:eastAsia="Calibri"/>
        </w:rPr>
        <w:t>.......................................</w:t>
      </w:r>
      <w:r>
        <w:rPr>
          <w:rFonts w:eastAsia="Calibri"/>
        </w:rPr>
        <w:t xml:space="preserve"> </w:t>
      </w:r>
      <w:r w:rsidRPr="00985F7B">
        <w:rPr>
          <w:rFonts w:eastAsia="Calibri"/>
          <w:snapToGrid w:val="0"/>
          <w:lang w:val="fr-FR"/>
        </w:rPr>
        <w:t>N</w:t>
      </w:r>
      <w:r w:rsidRPr="00985F7B">
        <w:rPr>
          <w:rFonts w:eastAsia="Calibri"/>
          <w:snapToGrid w:val="0"/>
          <w:vertAlign w:val="superscript"/>
          <w:lang w:val="fr-FR"/>
        </w:rPr>
        <w:t>o</w:t>
      </w:r>
      <w:r w:rsidRPr="00985F7B">
        <w:rPr>
          <w:rFonts w:eastAsia="Calibri"/>
          <w:bCs/>
          <w:snapToGrid w:val="0"/>
          <w:lang w:val="fr-FR"/>
        </w:rPr>
        <w:t> </w:t>
      </w:r>
      <w:r w:rsidRPr="00985F7B">
        <w:rPr>
          <w:rFonts w:eastAsia="Calibri"/>
          <w:lang w:val="fr-FR"/>
        </w:rPr>
        <w:t>d</w:t>
      </w:r>
      <w:r>
        <w:rPr>
          <w:rFonts w:eastAsia="Calibri"/>
          <w:lang w:val="fr-FR"/>
        </w:rPr>
        <w:t>’</w:t>
      </w:r>
      <w:r w:rsidRPr="00985F7B">
        <w:rPr>
          <w:rFonts w:eastAsia="Calibri"/>
          <w:lang w:val="fr-FR"/>
        </w:rPr>
        <w:t xml:space="preserve">extension : </w:t>
      </w:r>
      <w:r w:rsidR="00DD5152">
        <w:rPr>
          <w:rFonts w:eastAsia="Calibri"/>
        </w:rPr>
        <w:tab/>
      </w:r>
    </w:p>
    <w:p w:rsidR="001119A8" w:rsidRPr="00DD5152" w:rsidRDefault="001119A8" w:rsidP="00DD5152">
      <w:pPr>
        <w:pStyle w:val="SingleTxtG"/>
        <w:rPr>
          <w:rFonts w:eastAsia="Calibri"/>
          <w:b/>
          <w:lang w:val="fr-FR"/>
        </w:rPr>
      </w:pPr>
      <w:r w:rsidRPr="00DD5152">
        <w:rPr>
          <w:rFonts w:eastAsia="Calibri"/>
          <w:b/>
          <w:lang w:val="fr-FR"/>
        </w:rPr>
        <w:t>Code d’homologation : ……………</w:t>
      </w:r>
      <w:r w:rsidR="004808B0">
        <w:rPr>
          <w:rFonts w:eastAsia="Calibri"/>
          <w:b/>
          <w:lang w:val="fr-FR"/>
        </w:rPr>
        <w:t>………….</w:t>
      </w:r>
    </w:p>
    <w:p w:rsidR="001119A8" w:rsidRPr="00640EE4" w:rsidRDefault="001119A8" w:rsidP="004808B0">
      <w:pPr>
        <w:pStyle w:val="SingleTxtG"/>
        <w:tabs>
          <w:tab w:val="left" w:leader="dot" w:pos="8505"/>
        </w:tabs>
        <w:ind w:left="1701" w:hanging="567"/>
      </w:pPr>
      <w:r w:rsidRPr="00640EE4">
        <w:t>1.</w:t>
      </w:r>
      <w:r w:rsidRPr="00640EE4">
        <w:tab/>
      </w:r>
      <w:r w:rsidRPr="00640EE4">
        <w:rPr>
          <w:lang w:val="fr-FR"/>
        </w:rPr>
        <w:t xml:space="preserve">Marque de fabrique ou de commerce </w:t>
      </w:r>
      <w:r w:rsidRPr="00116C71">
        <w:rPr>
          <w:strike/>
          <w:lang w:val="fr-FR"/>
        </w:rPr>
        <w:t>du dispositif</w:t>
      </w:r>
      <w:r w:rsidR="004808B0">
        <w:t xml:space="preserve"> </w:t>
      </w:r>
      <w:r>
        <w:rPr>
          <w:b/>
        </w:rPr>
        <w:t>de la source lumineuse à incandescence</w:t>
      </w:r>
      <w:r w:rsidR="004808B0">
        <w:rPr>
          <w:b/>
        </w:rPr>
        <w:t> </w:t>
      </w:r>
      <w:r>
        <w:t>:</w:t>
      </w:r>
      <w:r w:rsidR="004808B0">
        <w:t xml:space="preserve"> </w:t>
      </w:r>
      <w:r w:rsidR="004808B0">
        <w:tab/>
      </w:r>
    </w:p>
    <w:p w:rsidR="001119A8" w:rsidRPr="00640EE4" w:rsidRDefault="001119A8" w:rsidP="004808B0">
      <w:pPr>
        <w:pStyle w:val="SingleTxtG"/>
        <w:tabs>
          <w:tab w:val="left" w:leader="dot" w:pos="8505"/>
        </w:tabs>
        <w:ind w:left="1701" w:hanging="567"/>
      </w:pPr>
      <w:r w:rsidRPr="00640EE4">
        <w:t>2.</w:t>
      </w:r>
      <w:r w:rsidRPr="00640EE4">
        <w:tab/>
      </w:r>
      <w:r w:rsidRPr="00640EE4">
        <w:rPr>
          <w:lang w:val="fr-FR"/>
        </w:rPr>
        <w:t xml:space="preserve">Désignation du type de </w:t>
      </w:r>
      <w:r w:rsidRPr="00116C71">
        <w:rPr>
          <w:strike/>
          <w:lang w:val="fr-FR"/>
        </w:rPr>
        <w:t>dispositif</w:t>
      </w:r>
      <w:r w:rsidRPr="00640EE4">
        <w:rPr>
          <w:lang w:val="fr-FR"/>
        </w:rPr>
        <w:t xml:space="preserve"> </w:t>
      </w:r>
      <w:r>
        <w:rPr>
          <w:b/>
          <w:lang w:val="fr-FR"/>
        </w:rPr>
        <w:t>source lumineuse à</w:t>
      </w:r>
      <w:r w:rsidRPr="00116C71">
        <w:rPr>
          <w:b/>
          <w:lang w:val="fr-FR"/>
        </w:rPr>
        <w:t xml:space="preserve"> incandescence </w:t>
      </w:r>
      <w:r w:rsidRPr="00640EE4">
        <w:rPr>
          <w:lang w:val="fr-FR"/>
        </w:rPr>
        <w:t>par le fabricant </w:t>
      </w:r>
      <w:r w:rsidRPr="00640EE4">
        <w:t>:</w:t>
      </w:r>
      <w:r w:rsidR="004808B0">
        <w:t xml:space="preserve"> </w:t>
      </w:r>
      <w:r w:rsidR="004808B0">
        <w:tab/>
      </w:r>
    </w:p>
    <w:p w:rsidR="001119A8" w:rsidRDefault="001119A8" w:rsidP="004808B0">
      <w:pPr>
        <w:pStyle w:val="SingleTxtG"/>
        <w:tabs>
          <w:tab w:val="left" w:leader="dot" w:pos="8505"/>
        </w:tabs>
        <w:ind w:left="1701" w:hanging="567"/>
      </w:pPr>
      <w:r w:rsidRPr="00640EE4">
        <w:t>3.</w:t>
      </w:r>
      <w:r w:rsidRPr="00640EE4">
        <w:tab/>
      </w:r>
      <w:r w:rsidRPr="00640EE4">
        <w:rPr>
          <w:lang w:val="fr-FR"/>
        </w:rPr>
        <w:t>Nom et adresse du fabricant </w:t>
      </w:r>
      <w:r w:rsidRPr="00640EE4">
        <w:t>:</w:t>
      </w:r>
      <w:r w:rsidR="004808B0">
        <w:t xml:space="preserve"> </w:t>
      </w:r>
      <w:r w:rsidR="004808B0">
        <w:tab/>
      </w:r>
      <w:r>
        <w:t> ».</w:t>
      </w:r>
    </w:p>
    <w:p w:rsidR="001119A8" w:rsidRDefault="001119A8" w:rsidP="00160D1C">
      <w:pPr>
        <w:pStyle w:val="SingleTxtG"/>
        <w:keepNext/>
        <w:keepLines/>
        <w:rPr>
          <w:lang w:val="fr-FR"/>
        </w:rPr>
      </w:pPr>
      <w:r>
        <w:rPr>
          <w:i/>
          <w:lang w:val="fr-FR"/>
        </w:rPr>
        <w:lastRenderedPageBreak/>
        <w:t>Annexe 3</w:t>
      </w:r>
      <w:r w:rsidRPr="005444D3">
        <w:rPr>
          <w:lang w:val="fr-FR"/>
        </w:rPr>
        <w:t>,</w:t>
      </w:r>
      <w:r w:rsidRPr="00116C71">
        <w:rPr>
          <w:i/>
          <w:lang w:val="fr-FR"/>
        </w:rPr>
        <w:t xml:space="preserve"> </w:t>
      </w:r>
      <w:r>
        <w:rPr>
          <w:lang w:val="fr-FR"/>
        </w:rPr>
        <w:t>remplacer le graphique existant</w:t>
      </w:r>
    </w:p>
    <w:p w:rsidR="009E6AE5" w:rsidRDefault="009E6AE5" w:rsidP="00160D1C">
      <w:pPr>
        <w:pStyle w:val="SingleTxtG"/>
        <w:keepNext/>
        <w:keepLines/>
        <w:rPr>
          <w:lang w:val="fr-FR"/>
        </w:rPr>
      </w:pPr>
      <w:r>
        <w:rPr>
          <w:lang w:val="fr-FR"/>
        </w:rPr>
        <w:t>« </w:t>
      </w:r>
    </w:p>
    <w:p w:rsidR="001119A8" w:rsidRDefault="001119A8" w:rsidP="009E6AE5">
      <w:pPr>
        <w:ind w:left="1134"/>
        <w:rPr>
          <w:lang w:val="fr-FR"/>
        </w:rPr>
      </w:pPr>
      <w:r w:rsidRPr="00640EE4">
        <w:rPr>
          <w:noProof/>
          <w:lang w:eastAsia="fr-CH"/>
        </w:rPr>
        <w:drawing>
          <wp:inline distT="0" distB="0" distL="0" distR="0" wp14:anchorId="44228ED2" wp14:editId="7CCDEA73">
            <wp:extent cx="4610100" cy="2057400"/>
            <wp:effectExtent l="0" t="0" r="0" b="0"/>
            <wp:docPr id="8"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9E6AE5" w:rsidRDefault="009E6AE5" w:rsidP="009E6AE5">
      <w:pPr>
        <w:pStyle w:val="SingleTxtG"/>
        <w:jc w:val="right"/>
        <w:rPr>
          <w:lang w:val="fr-FR"/>
        </w:rPr>
      </w:pPr>
      <w:r>
        <w:rPr>
          <w:lang w:val="fr-FR"/>
        </w:rPr>
        <w:t> ».</w:t>
      </w:r>
    </w:p>
    <w:p w:rsidR="009E6AE5" w:rsidRDefault="00AF3CD6" w:rsidP="009E6AE5">
      <w:pPr>
        <w:pStyle w:val="SingleTxtG"/>
        <w:rPr>
          <w:lang w:val="fr-FR"/>
        </w:rPr>
      </w:pPr>
      <w:r>
        <w:rPr>
          <w:lang w:val="fr-FR"/>
        </w:rPr>
        <w:t>Par</w:t>
      </w:r>
      <w:r w:rsidR="001119A8">
        <w:rPr>
          <w:lang w:val="fr-FR"/>
        </w:rPr>
        <w:t xml:space="preserve"> un nouveau graphique ainsi conçu :</w:t>
      </w:r>
    </w:p>
    <w:p w:rsidR="001119A8" w:rsidRPr="00466211" w:rsidRDefault="009E6AE5" w:rsidP="009E6AE5">
      <w:pPr>
        <w:pStyle w:val="SingleTxtG"/>
        <w:rPr>
          <w:sz w:val="18"/>
          <w:lang w:val="fr-FR"/>
        </w:rPr>
      </w:pPr>
      <w:r w:rsidRPr="00466211">
        <w:rPr>
          <w:sz w:val="18"/>
          <w:lang w:val="fr-FR"/>
        </w:rPr>
        <w:t>« </w:t>
      </w:r>
    </w:p>
    <w:p w:rsidR="009E6AE5" w:rsidRDefault="00466211" w:rsidP="00466211">
      <w:pPr>
        <w:ind w:left="1134"/>
        <w:rPr>
          <w:lang w:val="fr-FR"/>
        </w:rPr>
      </w:pPr>
      <w:r>
        <w:rPr>
          <w:noProof/>
          <w:lang w:eastAsia="fr-CH"/>
        </w:rPr>
        <mc:AlternateContent>
          <mc:Choice Requires="wps">
            <w:drawing>
              <wp:anchor distT="0" distB="0" distL="114300" distR="114300" simplePos="0" relativeHeight="251662336" behindDoc="0" locked="0" layoutInCell="1" allowOverlap="1">
                <wp:simplePos x="0" y="0"/>
                <wp:positionH relativeFrom="column">
                  <wp:posOffset>3328641</wp:posOffset>
                </wp:positionH>
                <wp:positionV relativeFrom="paragraph">
                  <wp:posOffset>796866</wp:posOffset>
                </wp:positionV>
                <wp:extent cx="1119809" cy="268943"/>
                <wp:effectExtent l="0" t="0" r="4445" b="0"/>
                <wp:wrapNone/>
                <wp:docPr id="125" name="Zone de texte 125"/>
                <wp:cNvGraphicFramePr/>
                <a:graphic xmlns:a="http://schemas.openxmlformats.org/drawingml/2006/main">
                  <a:graphicData uri="http://schemas.microsoft.com/office/word/2010/wordprocessingShape">
                    <wps:wsp>
                      <wps:cNvSpPr txBox="1"/>
                      <wps:spPr>
                        <a:xfrm>
                          <a:off x="0" y="0"/>
                          <a:ext cx="1119809" cy="268943"/>
                        </a:xfrm>
                        <a:prstGeom prst="rect">
                          <a:avLst/>
                        </a:prstGeom>
                        <a:solidFill>
                          <a:schemeClr val="lt1"/>
                        </a:solidFill>
                        <a:ln w="6350">
                          <a:noFill/>
                        </a:ln>
                      </wps:spPr>
                      <wps:txbx>
                        <w:txbxContent>
                          <w:p w:rsidR="00860C4E" w:rsidRPr="00466211" w:rsidRDefault="00860C4E">
                            <w:pPr>
                              <w:rPr>
                                <w:b/>
                                <w:sz w:val="18"/>
                                <w:szCs w:val="18"/>
                              </w:rPr>
                            </w:pPr>
                            <w:r>
                              <w:rPr>
                                <w:b/>
                                <w:sz w:val="18"/>
                                <w:szCs w:val="18"/>
                              </w:rPr>
                              <w:t xml:space="preserve">a = </w:t>
                            </w:r>
                            <w:r w:rsidRPr="00466211">
                              <w:rPr>
                                <w:b/>
                                <w:sz w:val="18"/>
                                <w:szCs w:val="18"/>
                              </w:rPr>
                              <w:t>2,5 mm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5" o:spid="_x0000_s1026" type="#_x0000_t202" style="position:absolute;left:0;text-align:left;margin-left:262.1pt;margin-top:62.75pt;width:88.1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" fillcolor="white [3201]" stroked="f" strokeweight=".5pt">
                <v:textbox>
                  <w:txbxContent>
                    <w:p w:rsidR="00860C4E" w:rsidRPr="00466211" w:rsidRDefault="00860C4E">
                      <w:pPr>
                        <w:rPr>
                          <w:b/>
                          <w:sz w:val="18"/>
                          <w:szCs w:val="18"/>
                        </w:rPr>
                      </w:pPr>
                      <w:r>
                        <w:rPr>
                          <w:b/>
                          <w:sz w:val="18"/>
                          <w:szCs w:val="18"/>
                        </w:rPr>
                        <w:t xml:space="preserve">a = </w:t>
                      </w:r>
                      <w:r w:rsidRPr="00466211">
                        <w:rPr>
                          <w:b/>
                          <w:sz w:val="18"/>
                          <w:szCs w:val="18"/>
                        </w:rPr>
                        <w:t>2,5 mm min.</w:t>
                      </w:r>
                    </w:p>
                  </w:txbxContent>
                </v:textbox>
              </v:shape>
            </w:pict>
          </mc:Fallback>
        </mc:AlternateContent>
      </w:r>
      <w:r>
        <w:rPr>
          <w:noProof/>
          <w:lang w:eastAsia="fr-CH"/>
        </w:rPr>
        <w:drawing>
          <wp:inline distT="0" distB="0" distL="0" distR="0" wp14:anchorId="0E65AD2A">
            <wp:extent cx="3982085" cy="1562100"/>
            <wp:effectExtent l="0" t="0" r="0"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2085" cy="1562100"/>
                    </a:xfrm>
                    <a:prstGeom prst="rect">
                      <a:avLst/>
                    </a:prstGeom>
                    <a:noFill/>
                  </pic:spPr>
                </pic:pic>
              </a:graphicData>
            </a:graphic>
          </wp:inline>
        </w:drawing>
      </w:r>
    </w:p>
    <w:p w:rsidR="00466211" w:rsidRDefault="00E33132" w:rsidP="00E33132">
      <w:pPr>
        <w:pStyle w:val="SingleTxtG"/>
        <w:jc w:val="right"/>
        <w:rPr>
          <w:lang w:val="fr-FR"/>
        </w:rPr>
      </w:pPr>
      <w:r>
        <w:rPr>
          <w:lang w:val="fr-FR"/>
        </w:rPr>
        <w:t> ».</w:t>
      </w:r>
    </w:p>
    <w:p w:rsidR="009E6AE5" w:rsidRDefault="009E6AE5" w:rsidP="00C6044C">
      <w:pPr>
        <w:pStyle w:val="SingleTxtG"/>
        <w:rPr>
          <w:lang w:val="fr-FR"/>
        </w:rPr>
      </w:pPr>
      <w:r>
        <w:rPr>
          <w:i/>
          <w:lang w:val="fr-FR"/>
        </w:rPr>
        <w:t xml:space="preserve">Légende accompagnant le graphique, </w:t>
      </w:r>
      <w:r>
        <w:rPr>
          <w:lang w:val="fr-FR"/>
        </w:rPr>
        <w:t>modifier comme suit :</w:t>
      </w:r>
    </w:p>
    <w:p w:rsidR="001119A8" w:rsidRPr="00640EE4" w:rsidRDefault="001119A8" w:rsidP="00C6044C">
      <w:pPr>
        <w:pStyle w:val="SingleTxtG"/>
        <w:rPr>
          <w:lang w:val="fr-FR"/>
        </w:rPr>
      </w:pPr>
      <w:r>
        <w:rPr>
          <w:lang w:val="fr-FR"/>
        </w:rPr>
        <w:t>«</w:t>
      </w:r>
      <w:r w:rsidR="00C6044C">
        <w:rPr>
          <w:lang w:val="fr-FR"/>
        </w:rPr>
        <w:tab/>
      </w:r>
      <w:r w:rsidRPr="00640EE4">
        <w:rPr>
          <w:lang w:val="fr-FR"/>
        </w:rPr>
        <w:t>La marque d</w:t>
      </w:r>
      <w:r>
        <w:rPr>
          <w:lang w:val="fr-FR"/>
        </w:rPr>
        <w:t>’</w:t>
      </w:r>
      <w:r w:rsidRPr="00640EE4">
        <w:rPr>
          <w:lang w:val="fr-FR"/>
        </w:rPr>
        <w:t xml:space="preserve">homologation ci-dessus, apposée sur une source lumineuse à incandescence, indique que cette source lumineuse a été homologuée au Royaume-Uni (E 11), </w:t>
      </w:r>
      <w:r>
        <w:rPr>
          <w:lang w:val="fr-FR"/>
        </w:rPr>
        <w:t xml:space="preserve">sous le code d’homologation </w:t>
      </w:r>
      <w:r w:rsidRPr="001C2A37">
        <w:rPr>
          <w:strike/>
          <w:lang w:val="fr-FR"/>
        </w:rPr>
        <w:t>A01</w:t>
      </w:r>
      <w:r w:rsidRPr="00B87521">
        <w:rPr>
          <w:lang w:val="fr-FR"/>
        </w:rPr>
        <w:t xml:space="preserve"> </w:t>
      </w:r>
      <w:r>
        <w:rPr>
          <w:b/>
          <w:lang w:val="fr-FR"/>
        </w:rPr>
        <w:t>0001</w:t>
      </w:r>
      <w:r w:rsidRPr="00640EE4">
        <w:rPr>
          <w:lang w:val="fr-FR"/>
        </w:rPr>
        <w:t xml:space="preserve">. </w:t>
      </w:r>
    </w:p>
    <w:p w:rsidR="001119A8" w:rsidRDefault="001119A8" w:rsidP="00C6044C">
      <w:pPr>
        <w:pStyle w:val="SingleTxtG"/>
        <w:ind w:firstLine="567"/>
        <w:rPr>
          <w:lang w:val="fr-FR"/>
        </w:rPr>
      </w:pPr>
      <w:r w:rsidRPr="001C2A37">
        <w:rPr>
          <w:strike/>
          <w:lang w:val="fr-FR"/>
        </w:rPr>
        <w:t>Le premier caractère du code d</w:t>
      </w:r>
      <w:r>
        <w:rPr>
          <w:strike/>
          <w:lang w:val="fr-FR"/>
        </w:rPr>
        <w:t>’</w:t>
      </w:r>
      <w:r w:rsidRPr="001C2A37">
        <w:rPr>
          <w:strike/>
          <w:lang w:val="fr-FR"/>
        </w:rPr>
        <w:t>homologation indique que l</w:t>
      </w:r>
      <w:r>
        <w:rPr>
          <w:strike/>
          <w:lang w:val="fr-FR"/>
        </w:rPr>
        <w:t>’</w:t>
      </w:r>
      <w:r w:rsidRPr="001C2A37">
        <w:rPr>
          <w:strike/>
          <w:lang w:val="fr-FR"/>
        </w:rPr>
        <w:t>homologation a été accordée conformément aux prescriptions du Règlement n</w:t>
      </w:r>
      <w:r w:rsidRPr="001C2A37">
        <w:rPr>
          <w:strike/>
          <w:vertAlign w:val="superscript"/>
          <w:lang w:val="fr-FR"/>
        </w:rPr>
        <w:t>o</w:t>
      </w:r>
      <w:r w:rsidRPr="001C2A37">
        <w:rPr>
          <w:strike/>
          <w:lang w:val="fr-FR"/>
        </w:rPr>
        <w:t> 37 tel que modifié par les séries 02 et 03</w:t>
      </w:r>
      <w:r w:rsidR="005F6CB5">
        <w:rPr>
          <w:strike/>
          <w:lang w:val="fr-FR"/>
        </w:rPr>
        <w:t xml:space="preserve">* </w:t>
      </w:r>
      <w:r w:rsidRPr="001C2A37">
        <w:rPr>
          <w:strike/>
          <w:lang w:val="fr-FR"/>
        </w:rPr>
        <w:t>d</w:t>
      </w:r>
      <w:r>
        <w:rPr>
          <w:strike/>
          <w:lang w:val="fr-FR"/>
        </w:rPr>
        <w:t>’</w:t>
      </w:r>
      <w:r w:rsidRPr="001C2A37">
        <w:rPr>
          <w:strike/>
          <w:lang w:val="fr-FR"/>
        </w:rPr>
        <w:t>amendements.</w:t>
      </w:r>
    </w:p>
    <w:p w:rsidR="001119A8" w:rsidRPr="001F3553" w:rsidRDefault="001119A8" w:rsidP="00C6044C">
      <w:pPr>
        <w:pStyle w:val="SingleTxtG"/>
        <w:rPr>
          <w:lang w:val="fr-FR"/>
        </w:rPr>
      </w:pPr>
      <w:r w:rsidRPr="005F6CB5">
        <w:rPr>
          <w:rStyle w:val="FootnoteReference"/>
          <w:strike/>
          <w:vertAlign w:val="baseline"/>
        </w:rPr>
        <w:t>*</w:t>
      </w:r>
      <w:r w:rsidR="00C6044C">
        <w:rPr>
          <w:rStyle w:val="FootnoteReference"/>
          <w:strike/>
        </w:rPr>
        <w:t xml:space="preserve">  </w:t>
      </w:r>
      <w:r w:rsidRPr="001C2A37">
        <w:rPr>
          <w:strike/>
          <w:szCs w:val="18"/>
        </w:rPr>
        <w:t>N</w:t>
      </w:r>
      <w:r>
        <w:rPr>
          <w:strike/>
          <w:szCs w:val="18"/>
        </w:rPr>
        <w:t>’</w:t>
      </w:r>
      <w:r w:rsidRPr="001C2A37">
        <w:rPr>
          <w:strike/>
          <w:szCs w:val="18"/>
        </w:rPr>
        <w:t>entraînant pas de changement dans le code d</w:t>
      </w:r>
      <w:r>
        <w:rPr>
          <w:strike/>
          <w:szCs w:val="18"/>
        </w:rPr>
        <w:t>’</w:t>
      </w:r>
      <w:r w:rsidRPr="001C2A37">
        <w:rPr>
          <w:strike/>
          <w:szCs w:val="18"/>
        </w:rPr>
        <w:t>homologation.</w:t>
      </w:r>
      <w:r w:rsidR="001F3553">
        <w:rPr>
          <w:szCs w:val="18"/>
        </w:rPr>
        <w:t> ».</w:t>
      </w:r>
    </w:p>
    <w:p w:rsidR="001119A8" w:rsidRDefault="001F3553" w:rsidP="001F3553">
      <w:pPr>
        <w:pStyle w:val="HChG"/>
        <w:rPr>
          <w:lang w:val="fr-FR"/>
        </w:rPr>
      </w:pPr>
      <w:r>
        <w:rPr>
          <w:lang w:val="fr-FR"/>
        </w:rPr>
        <w:tab/>
      </w:r>
      <w:r w:rsidR="001119A8" w:rsidRPr="001369B6">
        <w:rPr>
          <w:lang w:val="fr-FR"/>
        </w:rPr>
        <w:t>II.</w:t>
      </w:r>
      <w:r w:rsidR="001119A8" w:rsidRPr="001369B6">
        <w:rPr>
          <w:lang w:val="fr-FR"/>
        </w:rPr>
        <w:tab/>
        <w:t xml:space="preserve">Proposition de </w:t>
      </w:r>
      <w:r w:rsidR="001119A8" w:rsidRPr="009A1B62">
        <w:rPr>
          <w:lang w:val="fr-FR"/>
        </w:rPr>
        <w:t xml:space="preserve">complément </w:t>
      </w:r>
      <w:r w:rsidR="001119A8">
        <w:rPr>
          <w:lang w:val="fr-FR"/>
        </w:rPr>
        <w:t>14</w:t>
      </w:r>
      <w:r w:rsidR="001119A8" w:rsidRPr="009A1B62">
        <w:rPr>
          <w:lang w:val="fr-FR"/>
        </w:rPr>
        <w:t xml:space="preserve"> à la série </w:t>
      </w:r>
      <w:r w:rsidR="001119A8">
        <w:rPr>
          <w:lang w:val="fr-FR"/>
        </w:rPr>
        <w:t>03 d’</w:t>
      </w:r>
      <w:r w:rsidR="001119A8" w:rsidRPr="009A1B62">
        <w:rPr>
          <w:lang w:val="fr-FR"/>
        </w:rPr>
        <w:t>amend</w:t>
      </w:r>
      <w:r w:rsidR="001119A8">
        <w:rPr>
          <w:lang w:val="fr-FR"/>
        </w:rPr>
        <w:t>e</w:t>
      </w:r>
      <w:r w:rsidR="001119A8" w:rsidRPr="009A1B62">
        <w:rPr>
          <w:lang w:val="fr-FR"/>
        </w:rPr>
        <w:t xml:space="preserve">ments </w:t>
      </w:r>
      <w:r w:rsidR="001119A8">
        <w:rPr>
          <w:lang w:val="fr-FR"/>
        </w:rPr>
        <w:t xml:space="preserve">au Règlement </w:t>
      </w:r>
      <w:r>
        <w:rPr>
          <w:lang w:val="fr-FR"/>
        </w:rPr>
        <w:t>n</w:t>
      </w:r>
      <w:r w:rsidRPr="001F3553">
        <w:rPr>
          <w:vertAlign w:val="superscript"/>
          <w:lang w:val="fr-FR"/>
        </w:rPr>
        <w:t>o</w:t>
      </w:r>
      <w:r>
        <w:rPr>
          <w:lang w:val="fr-FR"/>
        </w:rPr>
        <w:t> </w:t>
      </w:r>
      <w:r w:rsidR="001119A8">
        <w:rPr>
          <w:lang w:val="fr-FR"/>
        </w:rPr>
        <w:t>99</w:t>
      </w:r>
      <w:r w:rsidR="001119A8" w:rsidRPr="009A1B62">
        <w:rPr>
          <w:lang w:val="fr-FR"/>
        </w:rPr>
        <w:t xml:space="preserve"> (</w:t>
      </w:r>
      <w:r w:rsidR="001119A8">
        <w:rPr>
          <w:lang w:val="fr-FR"/>
        </w:rPr>
        <w:t>Sources lumineuses à décharge</w:t>
      </w:r>
      <w:r w:rsidR="001119A8" w:rsidRPr="009A1B62">
        <w:rPr>
          <w:lang w:val="fr-FR"/>
        </w:rPr>
        <w:t>)</w:t>
      </w:r>
    </w:p>
    <w:p w:rsidR="001119A8" w:rsidRPr="009A1B62" w:rsidRDefault="001119A8" w:rsidP="00052AFB">
      <w:pPr>
        <w:pStyle w:val="SingleTxtG"/>
        <w:rPr>
          <w:i/>
          <w:lang w:val="fr-FR"/>
        </w:rPr>
      </w:pPr>
      <w:r w:rsidRPr="009A1B62">
        <w:rPr>
          <w:i/>
          <w:lang w:val="fr-FR"/>
        </w:rPr>
        <w:t>Paragraph</w:t>
      </w:r>
      <w:r>
        <w:rPr>
          <w:i/>
          <w:lang w:val="fr-FR"/>
        </w:rPr>
        <w:t>e 2.4.2</w:t>
      </w:r>
      <w:r w:rsidRPr="00052AFB">
        <w:rPr>
          <w:lang w:val="fr-FR"/>
        </w:rPr>
        <w:t>, modifier comme suit</w:t>
      </w:r>
      <w:r w:rsidR="00052AFB">
        <w:rPr>
          <w:lang w:val="fr-FR"/>
        </w:rPr>
        <w:t> </w:t>
      </w:r>
      <w:r w:rsidRPr="00052AFB">
        <w:rPr>
          <w:lang w:val="fr-FR"/>
        </w:rPr>
        <w:t>:</w:t>
      </w:r>
    </w:p>
    <w:p w:rsidR="001119A8" w:rsidRDefault="001119A8" w:rsidP="00E769C4">
      <w:pPr>
        <w:pStyle w:val="SingleTxtG"/>
        <w:tabs>
          <w:tab w:val="left" w:pos="2268"/>
        </w:tabs>
        <w:ind w:left="2268" w:hanging="1134"/>
        <w:rPr>
          <w:strike/>
          <w:lang w:val="fr-FR"/>
        </w:rPr>
      </w:pPr>
      <w:r>
        <w:rPr>
          <w:lang w:val="fr-FR"/>
        </w:rPr>
        <w:t>« 2.4.2</w:t>
      </w:r>
      <w:r w:rsidRPr="00B911D2">
        <w:rPr>
          <w:lang w:val="fr-FR"/>
        </w:rPr>
        <w:tab/>
      </w:r>
      <w:r>
        <w:rPr>
          <w:lang w:val="fr-FR"/>
        </w:rPr>
        <w:t>Un code d’</w:t>
      </w:r>
      <w:r w:rsidRPr="00B911D2">
        <w:rPr>
          <w:lang w:val="fr-FR"/>
        </w:rPr>
        <w:t>homologation</w:t>
      </w:r>
      <w:r>
        <w:rPr>
          <w:lang w:val="fr-FR"/>
        </w:rPr>
        <w:t xml:space="preserve"> est attribué à chaque type homologué</w:t>
      </w:r>
      <w:r w:rsidR="00911DFE">
        <w:rPr>
          <w:lang w:val="fr-FR"/>
        </w:rPr>
        <w:t>.</w:t>
      </w:r>
      <w:r>
        <w:rPr>
          <w:lang w:val="fr-FR"/>
        </w:rPr>
        <w:t xml:space="preserve"> </w:t>
      </w:r>
      <w:r w:rsidR="00911DFE" w:rsidRPr="009A1B62">
        <w:rPr>
          <w:strike/>
          <w:lang w:val="fr-FR"/>
        </w:rPr>
        <w:t xml:space="preserve">Dont </w:t>
      </w:r>
      <w:r w:rsidRPr="009A1B62">
        <w:rPr>
          <w:strike/>
          <w:lang w:val="fr-FR"/>
        </w:rPr>
        <w:t>le premier caractère</w:t>
      </w:r>
      <w:r>
        <w:rPr>
          <w:strike/>
          <w:lang w:val="fr-FR"/>
        </w:rPr>
        <w:t xml:space="preserve"> </w:t>
      </w:r>
      <w:r w:rsidRPr="009A1B62">
        <w:rPr>
          <w:strike/>
          <w:lang w:val="fr-FR"/>
        </w:rPr>
        <w:t>indique la série d</w:t>
      </w:r>
      <w:r>
        <w:rPr>
          <w:strike/>
          <w:lang w:val="fr-FR"/>
        </w:rPr>
        <w:t>’</w:t>
      </w:r>
      <w:r w:rsidRPr="009A1B62">
        <w:rPr>
          <w:strike/>
          <w:lang w:val="fr-FR"/>
        </w:rPr>
        <w:t>amendements contenant les modifications techniques majeures les plus récentes apportées au Règlement à la date de délivrance de l</w:t>
      </w:r>
      <w:r>
        <w:rPr>
          <w:strike/>
          <w:lang w:val="fr-FR"/>
        </w:rPr>
        <w:t>’</w:t>
      </w:r>
      <w:r w:rsidRPr="009A1B62">
        <w:rPr>
          <w:strike/>
          <w:lang w:val="fr-FR"/>
        </w:rPr>
        <w:t>homologation.</w:t>
      </w:r>
      <w:r w:rsidRPr="009351B5">
        <w:rPr>
          <w:lang w:val="fr-FR"/>
        </w:rPr>
        <w:t xml:space="preserve"> </w:t>
      </w:r>
    </w:p>
    <w:p w:rsidR="001119A8" w:rsidRPr="009351B5" w:rsidRDefault="001119A8" w:rsidP="00E769C4">
      <w:pPr>
        <w:pStyle w:val="SingleTxtG"/>
        <w:tabs>
          <w:tab w:val="left" w:pos="2268"/>
        </w:tabs>
        <w:ind w:left="2268"/>
        <w:rPr>
          <w:strike/>
          <w:lang w:val="fr-FR"/>
        </w:rPr>
      </w:pPr>
      <w:r w:rsidRPr="009351B5">
        <w:rPr>
          <w:lang w:val="fr-FR"/>
        </w:rPr>
        <w:tab/>
      </w:r>
      <w:r w:rsidRPr="009A1B62">
        <w:rPr>
          <w:strike/>
          <w:lang w:val="fr-FR"/>
        </w:rPr>
        <w:t>Il est suivi d</w:t>
      </w:r>
      <w:r>
        <w:rPr>
          <w:strike/>
          <w:lang w:val="fr-FR"/>
        </w:rPr>
        <w:t>’</w:t>
      </w:r>
      <w:r w:rsidRPr="009A1B62">
        <w:rPr>
          <w:strike/>
          <w:lang w:val="fr-FR"/>
        </w:rPr>
        <w:t>un code d</w:t>
      </w:r>
      <w:r>
        <w:rPr>
          <w:strike/>
          <w:lang w:val="fr-FR"/>
        </w:rPr>
        <w:t>’</w:t>
      </w:r>
      <w:r w:rsidRPr="009A1B62">
        <w:rPr>
          <w:strike/>
          <w:lang w:val="fr-FR"/>
        </w:rPr>
        <w:t>identification comprenant au maximum trois caractères. Seuls les chiffres arabes et les lettres majuscules de la note de bas de page</w:t>
      </w:r>
      <w:r>
        <w:rPr>
          <w:strike/>
        </w:rPr>
        <w:t xml:space="preserve"> </w:t>
      </w:r>
      <w:r w:rsidRPr="009351B5">
        <w:rPr>
          <w:strike/>
          <w:vertAlign w:val="superscript"/>
        </w:rPr>
        <w:t>2</w:t>
      </w:r>
      <w:r>
        <w:rPr>
          <w:strike/>
        </w:rPr>
        <w:t xml:space="preserve"> </w:t>
      </w:r>
      <w:r>
        <w:rPr>
          <w:strike/>
          <w:lang w:val="fr-FR"/>
        </w:rPr>
        <w:t>peuvent être utilisés</w:t>
      </w:r>
      <w:r>
        <w:rPr>
          <w:lang w:val="fr-FR"/>
        </w:rPr>
        <w:t xml:space="preserve">. </w:t>
      </w:r>
    </w:p>
    <w:p w:rsidR="00E769C4" w:rsidRDefault="001119A8" w:rsidP="00E769C4">
      <w:pPr>
        <w:pStyle w:val="SingleTxtG"/>
        <w:tabs>
          <w:tab w:val="left" w:pos="2268"/>
        </w:tabs>
        <w:ind w:left="2268"/>
        <w:rPr>
          <w:lang w:val="fr-FR"/>
        </w:rPr>
      </w:pPr>
      <w:r>
        <w:rPr>
          <w:lang w:val="fr-FR"/>
        </w:rPr>
        <w:tab/>
      </w:r>
      <w:r>
        <w:rPr>
          <w:b/>
          <w:lang w:val="fr-FR"/>
        </w:rPr>
        <w:t xml:space="preserve">Ce code d’homologation doit constituer la </w:t>
      </w:r>
      <w:r w:rsidR="002C2DD5">
        <w:rPr>
          <w:b/>
          <w:lang w:val="fr-FR"/>
        </w:rPr>
        <w:t xml:space="preserve">section </w:t>
      </w:r>
      <w:r>
        <w:rPr>
          <w:b/>
          <w:lang w:val="fr-FR"/>
        </w:rPr>
        <w:t>3 du numéro d’homologation</w:t>
      </w:r>
      <w:r w:rsidRPr="00E769C4">
        <w:rPr>
          <w:b/>
          <w:sz w:val="18"/>
          <w:szCs w:val="18"/>
          <w:vertAlign w:val="superscript"/>
          <w:lang w:val="fr-FR"/>
        </w:rPr>
        <w:t>2</w:t>
      </w:r>
      <w:r>
        <w:rPr>
          <w:lang w:val="fr-FR"/>
        </w:rPr>
        <w:t>.</w:t>
      </w:r>
      <w:r w:rsidRPr="00B911D2">
        <w:rPr>
          <w:lang w:val="fr-FR"/>
        </w:rPr>
        <w:t xml:space="preserve"> </w:t>
      </w:r>
    </w:p>
    <w:p w:rsidR="001119A8" w:rsidRDefault="001119A8" w:rsidP="00EE5C92">
      <w:pPr>
        <w:pStyle w:val="SingleTxtG"/>
        <w:tabs>
          <w:tab w:val="left" w:pos="2268"/>
        </w:tabs>
        <w:spacing w:after="100"/>
        <w:ind w:left="2268"/>
        <w:rPr>
          <w:lang w:val="fr-FR"/>
        </w:rPr>
      </w:pPr>
      <w:r>
        <w:rPr>
          <w:lang w:val="fr-FR"/>
        </w:rPr>
        <w:lastRenderedPageBreak/>
        <w:tab/>
      </w:r>
      <w:r w:rsidRPr="00B911D2">
        <w:rPr>
          <w:lang w:val="fr-FR"/>
        </w:rPr>
        <w:t xml:space="preserve">Une même Partie contractante ne peut pas attribuer ce même code à un autre type de source lumineuse à </w:t>
      </w:r>
      <w:r>
        <w:rPr>
          <w:lang w:val="fr-FR"/>
        </w:rPr>
        <w:t>décharge</w:t>
      </w:r>
      <w:r w:rsidRPr="00B911D2">
        <w:rPr>
          <w:lang w:val="fr-FR"/>
        </w:rPr>
        <w:t xml:space="preserve">. Si le demandeur le désire, le même </w:t>
      </w:r>
      <w:r w:rsidRPr="00114671">
        <w:rPr>
          <w:b/>
          <w:lang w:val="fr-FR"/>
        </w:rPr>
        <w:t>numéro</w:t>
      </w:r>
      <w:r w:rsidRPr="00B911D2">
        <w:rPr>
          <w:lang w:val="fr-FR"/>
        </w:rPr>
        <w:t xml:space="preserve"> d</w:t>
      </w:r>
      <w:r>
        <w:rPr>
          <w:lang w:val="fr-FR"/>
        </w:rPr>
        <w:t>’</w:t>
      </w:r>
      <w:r w:rsidRPr="00B911D2">
        <w:rPr>
          <w:lang w:val="fr-FR"/>
        </w:rPr>
        <w:t>homologation</w:t>
      </w:r>
      <w:r>
        <w:rPr>
          <w:lang w:val="fr-FR"/>
        </w:rPr>
        <w:t xml:space="preserve"> (</w:t>
      </w:r>
      <w:r w:rsidRPr="00317BDF">
        <w:rPr>
          <w:b/>
          <w:lang w:val="fr-FR"/>
        </w:rPr>
        <w:t>et le même</w:t>
      </w:r>
      <w:r>
        <w:rPr>
          <w:lang w:val="fr-FR"/>
        </w:rPr>
        <w:t xml:space="preserve"> code </w:t>
      </w:r>
      <w:r w:rsidRPr="00317BDF">
        <w:rPr>
          <w:b/>
          <w:lang w:val="fr-FR"/>
        </w:rPr>
        <w:t>d</w:t>
      </w:r>
      <w:r>
        <w:rPr>
          <w:b/>
          <w:lang w:val="fr-FR"/>
        </w:rPr>
        <w:t>’</w:t>
      </w:r>
      <w:r w:rsidRPr="00317BDF">
        <w:rPr>
          <w:b/>
          <w:lang w:val="fr-FR"/>
        </w:rPr>
        <w:t>homologation correspondant</w:t>
      </w:r>
      <w:r>
        <w:rPr>
          <w:lang w:val="fr-FR"/>
        </w:rPr>
        <w:t>) peut être assigné à une</w:t>
      </w:r>
      <w:r w:rsidRPr="00B911D2">
        <w:rPr>
          <w:lang w:val="fr-FR"/>
        </w:rPr>
        <w:t xml:space="preserve"> source lumineuse à </w:t>
      </w:r>
      <w:r>
        <w:rPr>
          <w:lang w:val="fr-FR"/>
        </w:rPr>
        <w:t>décharge</w:t>
      </w:r>
      <w:r w:rsidRPr="00B911D2">
        <w:rPr>
          <w:lang w:val="fr-FR"/>
        </w:rPr>
        <w:t xml:space="preserve"> émet</w:t>
      </w:r>
      <w:r>
        <w:rPr>
          <w:lang w:val="fr-FR"/>
        </w:rPr>
        <w:t>tant une lumière blanche et à une</w:t>
      </w:r>
      <w:r w:rsidRPr="00B911D2">
        <w:rPr>
          <w:lang w:val="fr-FR"/>
        </w:rPr>
        <w:t xml:space="preserve"> source lumineuse à </w:t>
      </w:r>
      <w:r>
        <w:rPr>
          <w:lang w:val="fr-FR"/>
        </w:rPr>
        <w:t>décharg</w:t>
      </w:r>
      <w:r w:rsidRPr="00B911D2">
        <w:rPr>
          <w:lang w:val="fr-FR"/>
        </w:rPr>
        <w:t>e émettant une lumière jaun</w:t>
      </w:r>
      <w:r>
        <w:rPr>
          <w:lang w:val="fr-FR"/>
        </w:rPr>
        <w:t>e sélectif (voir par. 2.1.2). ».</w:t>
      </w:r>
    </w:p>
    <w:p w:rsidR="001119A8" w:rsidRDefault="001119A8" w:rsidP="00EE5C92">
      <w:pPr>
        <w:pStyle w:val="SingleTxtG"/>
        <w:keepNext/>
        <w:spacing w:after="100"/>
        <w:rPr>
          <w:lang w:val="fr-FR"/>
        </w:rPr>
      </w:pPr>
      <w:r>
        <w:rPr>
          <w:i/>
          <w:lang w:val="fr-FR"/>
        </w:rPr>
        <w:t>Note 2</w:t>
      </w:r>
      <w:r w:rsidRPr="005F6CB5">
        <w:rPr>
          <w:lang w:val="fr-FR"/>
        </w:rPr>
        <w:t xml:space="preserve">, </w:t>
      </w:r>
      <w:r>
        <w:rPr>
          <w:lang w:val="fr-FR"/>
        </w:rPr>
        <w:t>modifier comme suit :</w:t>
      </w:r>
    </w:p>
    <w:p w:rsidR="001119A8" w:rsidRPr="005F6CB5" w:rsidRDefault="001119A8" w:rsidP="00EE5C92">
      <w:pPr>
        <w:pStyle w:val="SingleTxtG"/>
        <w:spacing w:after="100"/>
        <w:rPr>
          <w:sz w:val="18"/>
          <w:szCs w:val="18"/>
          <w:lang w:val="fr-FR"/>
        </w:rPr>
      </w:pPr>
      <w:r w:rsidRPr="005F6CB5">
        <w:rPr>
          <w:sz w:val="18"/>
          <w:szCs w:val="18"/>
          <w:lang w:val="fr-FR"/>
        </w:rPr>
        <w:t>« </w:t>
      </w:r>
      <w:r w:rsidRPr="005F6CB5">
        <w:rPr>
          <w:sz w:val="18"/>
          <w:szCs w:val="18"/>
          <w:vertAlign w:val="superscript"/>
          <w:lang w:val="fr-FR"/>
        </w:rPr>
        <w:t>2</w:t>
      </w:r>
      <w:r w:rsidRPr="005F6CB5">
        <w:rPr>
          <w:sz w:val="18"/>
          <w:szCs w:val="18"/>
          <w:lang w:val="fr-FR"/>
        </w:rPr>
        <w:t xml:space="preserve"> </w:t>
      </w:r>
      <w:r w:rsidR="005F6CB5" w:rsidRPr="005F6CB5">
        <w:rPr>
          <w:sz w:val="18"/>
          <w:szCs w:val="18"/>
          <w:lang w:val="fr-FR"/>
        </w:rPr>
        <w:t xml:space="preserve"> </w:t>
      </w:r>
      <w:r w:rsidRPr="005F6CB5">
        <w:rPr>
          <w:sz w:val="18"/>
          <w:szCs w:val="18"/>
          <w:lang w:val="fr-FR"/>
        </w:rPr>
        <w:t xml:space="preserve">Accord de 1958, </w:t>
      </w:r>
      <w:r w:rsidR="005F6CB5" w:rsidRPr="005F6CB5">
        <w:rPr>
          <w:sz w:val="18"/>
          <w:szCs w:val="18"/>
          <w:lang w:val="fr-FR"/>
        </w:rPr>
        <w:t xml:space="preserve">révision </w:t>
      </w:r>
      <w:r w:rsidRPr="005F6CB5">
        <w:rPr>
          <w:sz w:val="18"/>
          <w:szCs w:val="18"/>
          <w:lang w:val="fr-FR"/>
        </w:rPr>
        <w:t xml:space="preserve">3, </w:t>
      </w:r>
      <w:r w:rsidR="005F6CB5" w:rsidRPr="005F6CB5">
        <w:rPr>
          <w:sz w:val="18"/>
          <w:szCs w:val="18"/>
          <w:lang w:val="fr-FR"/>
        </w:rPr>
        <w:t xml:space="preserve">annexe </w:t>
      </w:r>
      <w:r w:rsidRPr="005F6CB5">
        <w:rPr>
          <w:sz w:val="18"/>
          <w:szCs w:val="18"/>
          <w:lang w:val="fr-FR"/>
        </w:rPr>
        <w:t>4 (E/ECE/TRANS/505/REV.3). ».</w:t>
      </w:r>
    </w:p>
    <w:p w:rsidR="001119A8" w:rsidRDefault="001119A8" w:rsidP="00EE5C92">
      <w:pPr>
        <w:pStyle w:val="SingleTxtG"/>
        <w:keepNext/>
        <w:spacing w:after="100"/>
        <w:rPr>
          <w:i/>
          <w:lang w:val="fr-FR"/>
        </w:rPr>
      </w:pPr>
      <w:r w:rsidRPr="009A1B62">
        <w:rPr>
          <w:i/>
          <w:lang w:val="fr-FR"/>
        </w:rPr>
        <w:t>Paragraph</w:t>
      </w:r>
      <w:r>
        <w:rPr>
          <w:i/>
          <w:lang w:val="fr-FR"/>
        </w:rPr>
        <w:t>e 2.4.5</w:t>
      </w:r>
      <w:r w:rsidRPr="005F6CB5">
        <w:rPr>
          <w:lang w:val="fr-FR"/>
        </w:rPr>
        <w:t>, modifier comme suit</w:t>
      </w:r>
      <w:r w:rsidR="005F6CB5">
        <w:rPr>
          <w:lang w:val="fr-FR"/>
        </w:rPr>
        <w:t> </w:t>
      </w:r>
      <w:r w:rsidRPr="005F6CB5">
        <w:rPr>
          <w:lang w:val="fr-FR"/>
        </w:rPr>
        <w:t>:</w:t>
      </w:r>
    </w:p>
    <w:p w:rsidR="001119A8" w:rsidRDefault="001119A8" w:rsidP="00EE5C92">
      <w:pPr>
        <w:pStyle w:val="SingleTxtG"/>
        <w:tabs>
          <w:tab w:val="left" w:pos="2268"/>
        </w:tabs>
        <w:spacing w:after="100"/>
        <w:ind w:left="2268" w:hanging="1134"/>
        <w:rPr>
          <w:lang w:val="fr-FR"/>
        </w:rPr>
      </w:pPr>
      <w:r>
        <w:rPr>
          <w:lang w:val="fr-FR"/>
        </w:rPr>
        <w:t>« 2.4.5</w:t>
      </w:r>
      <w:r w:rsidRPr="00B911D2">
        <w:rPr>
          <w:lang w:val="fr-FR"/>
        </w:rPr>
        <w:tab/>
        <w:t xml:space="preserve">Si le demandeur a obtenu le même </w:t>
      </w:r>
      <w:r>
        <w:rPr>
          <w:b/>
          <w:lang w:val="fr-FR"/>
        </w:rPr>
        <w:t>numéro</w:t>
      </w:r>
      <w:r>
        <w:rPr>
          <w:lang w:val="fr-FR"/>
        </w:rPr>
        <w:t xml:space="preserve"> </w:t>
      </w:r>
      <w:r w:rsidRPr="00B911D2">
        <w:rPr>
          <w:lang w:val="fr-FR"/>
        </w:rPr>
        <w:t>d</w:t>
      </w:r>
      <w:r>
        <w:rPr>
          <w:lang w:val="fr-FR"/>
        </w:rPr>
        <w:t>’</w:t>
      </w:r>
      <w:r w:rsidRPr="00B911D2">
        <w:rPr>
          <w:lang w:val="fr-FR"/>
        </w:rPr>
        <w:t>homologation</w:t>
      </w:r>
      <w:r>
        <w:rPr>
          <w:lang w:val="fr-FR"/>
        </w:rPr>
        <w:t xml:space="preserve"> (</w:t>
      </w:r>
      <w:r>
        <w:rPr>
          <w:b/>
          <w:lang w:val="fr-FR"/>
        </w:rPr>
        <w:t xml:space="preserve">et le même </w:t>
      </w:r>
      <w:r>
        <w:rPr>
          <w:lang w:val="fr-FR"/>
        </w:rPr>
        <w:t xml:space="preserve">code </w:t>
      </w:r>
      <w:r>
        <w:rPr>
          <w:b/>
          <w:lang w:val="fr-FR"/>
        </w:rPr>
        <w:t>d’homologation correspondant)</w:t>
      </w:r>
      <w:r w:rsidRPr="00B911D2">
        <w:rPr>
          <w:lang w:val="fr-FR"/>
        </w:rPr>
        <w:t xml:space="preserve"> pour différentes marques de fabrique ou de commerce, il suffit d</w:t>
      </w:r>
      <w:r>
        <w:rPr>
          <w:lang w:val="fr-FR"/>
        </w:rPr>
        <w:t>’</w:t>
      </w:r>
      <w:r w:rsidRPr="00B911D2">
        <w:rPr>
          <w:lang w:val="fr-FR"/>
        </w:rPr>
        <w:t>apposer une ou plusieurs d</w:t>
      </w:r>
      <w:r>
        <w:rPr>
          <w:lang w:val="fr-FR"/>
        </w:rPr>
        <w:t>’</w:t>
      </w:r>
      <w:r w:rsidRPr="00B911D2">
        <w:rPr>
          <w:lang w:val="fr-FR"/>
        </w:rPr>
        <w:t>entre elles pour satisfa</w:t>
      </w:r>
      <w:r>
        <w:rPr>
          <w:lang w:val="fr-FR"/>
        </w:rPr>
        <w:t>ire aux exigences du paragraphe </w:t>
      </w:r>
      <w:r w:rsidRPr="00B911D2">
        <w:rPr>
          <w:lang w:val="fr-FR"/>
        </w:rPr>
        <w:t>2.3.1.1.</w:t>
      </w:r>
      <w:r>
        <w:rPr>
          <w:lang w:val="fr-FR"/>
        </w:rPr>
        <w:t> ».</w:t>
      </w:r>
    </w:p>
    <w:p w:rsidR="001119A8" w:rsidRPr="00116C71" w:rsidRDefault="001119A8" w:rsidP="00EE5C92">
      <w:pPr>
        <w:pStyle w:val="SingleTxtG"/>
        <w:keepNext/>
        <w:spacing w:after="100"/>
        <w:rPr>
          <w:b/>
          <w:lang w:val="fr-FR"/>
        </w:rPr>
      </w:pPr>
      <w:r w:rsidRPr="00116C71">
        <w:rPr>
          <w:i/>
          <w:lang w:val="fr-FR"/>
        </w:rPr>
        <w:t>Annexe 2</w:t>
      </w:r>
      <w:r w:rsidRPr="00F0776E">
        <w:rPr>
          <w:lang w:val="fr-FR"/>
        </w:rPr>
        <w:t xml:space="preserve">, </w:t>
      </w:r>
      <w:r w:rsidRPr="00116C71">
        <w:rPr>
          <w:lang w:val="fr-FR"/>
        </w:rPr>
        <w:t>modifier comme suit :</w:t>
      </w:r>
    </w:p>
    <w:p w:rsidR="001119A8" w:rsidRDefault="001119A8" w:rsidP="00EE5C92">
      <w:pPr>
        <w:pStyle w:val="SingleTxtG"/>
        <w:tabs>
          <w:tab w:val="right" w:leader="dot" w:pos="8505"/>
        </w:tabs>
        <w:spacing w:after="100"/>
        <w:rPr>
          <w:lang w:val="fr-FR"/>
        </w:rPr>
      </w:pPr>
      <w:r>
        <w:rPr>
          <w:lang w:val="fr-FR"/>
        </w:rPr>
        <w:t>« </w:t>
      </w:r>
      <w:r w:rsidRPr="00985F7B">
        <w:rPr>
          <w:rFonts w:eastAsia="Calibri"/>
          <w:snapToGrid w:val="0"/>
          <w:lang w:val="fr-FR"/>
        </w:rPr>
        <w:t>N</w:t>
      </w:r>
      <w:r w:rsidRPr="00985F7B">
        <w:rPr>
          <w:rFonts w:eastAsia="Calibri"/>
          <w:snapToGrid w:val="0"/>
          <w:vertAlign w:val="superscript"/>
          <w:lang w:val="fr-FR"/>
        </w:rPr>
        <w:t>o</w:t>
      </w:r>
      <w:r w:rsidRPr="00985F7B">
        <w:rPr>
          <w:rFonts w:eastAsia="Calibri"/>
          <w:bCs/>
          <w:snapToGrid w:val="0"/>
          <w:lang w:val="fr-FR"/>
        </w:rPr>
        <w:t> </w:t>
      </w:r>
      <w:r w:rsidRPr="00985F7B">
        <w:rPr>
          <w:rFonts w:eastAsia="Calibri"/>
          <w:lang w:val="fr-FR"/>
        </w:rPr>
        <w:t>d</w:t>
      </w:r>
      <w:r>
        <w:rPr>
          <w:rFonts w:eastAsia="Calibri"/>
          <w:lang w:val="fr-FR"/>
        </w:rPr>
        <w:t>’</w:t>
      </w:r>
      <w:r w:rsidRPr="00985F7B">
        <w:rPr>
          <w:rFonts w:eastAsia="Calibri"/>
          <w:lang w:val="fr-FR"/>
        </w:rPr>
        <w:t xml:space="preserve">homologation : </w:t>
      </w:r>
      <w:r w:rsidRPr="00985F7B">
        <w:rPr>
          <w:rFonts w:eastAsia="Calibri"/>
        </w:rPr>
        <w:t>........................................</w:t>
      </w:r>
      <w:r>
        <w:rPr>
          <w:rFonts w:eastAsia="Calibri"/>
        </w:rPr>
        <w:t xml:space="preserve"> </w:t>
      </w:r>
      <w:r w:rsidRPr="00985F7B">
        <w:rPr>
          <w:rFonts w:eastAsia="Calibri"/>
          <w:snapToGrid w:val="0"/>
          <w:lang w:val="fr-FR"/>
        </w:rPr>
        <w:t>N</w:t>
      </w:r>
      <w:r w:rsidRPr="00985F7B">
        <w:rPr>
          <w:rFonts w:eastAsia="Calibri"/>
          <w:snapToGrid w:val="0"/>
          <w:vertAlign w:val="superscript"/>
          <w:lang w:val="fr-FR"/>
        </w:rPr>
        <w:t>o</w:t>
      </w:r>
      <w:r w:rsidRPr="00985F7B">
        <w:rPr>
          <w:rFonts w:eastAsia="Calibri"/>
          <w:bCs/>
          <w:snapToGrid w:val="0"/>
          <w:lang w:val="fr-FR"/>
        </w:rPr>
        <w:t> </w:t>
      </w:r>
      <w:r w:rsidRPr="00985F7B">
        <w:rPr>
          <w:rFonts w:eastAsia="Calibri"/>
          <w:lang w:val="fr-FR"/>
        </w:rPr>
        <w:t>d</w:t>
      </w:r>
      <w:r>
        <w:rPr>
          <w:rFonts w:eastAsia="Calibri"/>
          <w:lang w:val="fr-FR"/>
        </w:rPr>
        <w:t>’</w:t>
      </w:r>
      <w:r w:rsidRPr="00985F7B">
        <w:rPr>
          <w:rFonts w:eastAsia="Calibri"/>
          <w:lang w:val="fr-FR"/>
        </w:rPr>
        <w:t xml:space="preserve">extension : </w:t>
      </w:r>
      <w:r w:rsidR="00F0776E">
        <w:rPr>
          <w:rFonts w:eastAsia="Calibri"/>
          <w:lang w:val="fr-FR"/>
        </w:rPr>
        <w:tab/>
      </w:r>
    </w:p>
    <w:p w:rsidR="001119A8" w:rsidRPr="00F0776E" w:rsidRDefault="001119A8" w:rsidP="00EE5C92">
      <w:pPr>
        <w:pStyle w:val="SingleTxtG"/>
        <w:spacing w:after="100"/>
        <w:rPr>
          <w:rFonts w:eastAsia="Calibri"/>
          <w:b/>
          <w:lang w:val="fr-FR"/>
        </w:rPr>
      </w:pPr>
      <w:r w:rsidRPr="00F0776E">
        <w:rPr>
          <w:rFonts w:eastAsia="Calibri"/>
          <w:b/>
          <w:lang w:val="fr-FR"/>
        </w:rPr>
        <w:t>Code d’homologation :</w:t>
      </w:r>
      <w:r w:rsidR="00F0776E">
        <w:rPr>
          <w:rFonts w:eastAsia="Calibri"/>
          <w:b/>
          <w:lang w:val="fr-FR"/>
        </w:rPr>
        <w:t xml:space="preserve"> </w:t>
      </w:r>
      <w:r w:rsidRPr="00F0776E">
        <w:rPr>
          <w:rFonts w:eastAsia="Calibri"/>
          <w:b/>
          <w:lang w:val="fr-FR"/>
        </w:rPr>
        <w:t>……………</w:t>
      </w:r>
      <w:r w:rsidR="00F0776E">
        <w:rPr>
          <w:rFonts w:eastAsia="Calibri"/>
          <w:b/>
          <w:lang w:val="fr-FR"/>
        </w:rPr>
        <w:t>…………</w:t>
      </w:r>
    </w:p>
    <w:p w:rsidR="001119A8" w:rsidRDefault="001119A8" w:rsidP="00EE5C92">
      <w:pPr>
        <w:pStyle w:val="SingleTxtG"/>
        <w:tabs>
          <w:tab w:val="left" w:leader="dot" w:pos="8505"/>
        </w:tabs>
        <w:spacing w:after="100"/>
        <w:ind w:left="2268" w:hanging="1134"/>
      </w:pPr>
      <w:r>
        <w:t>1.</w:t>
      </w:r>
      <w:r w:rsidR="00F0776E">
        <w:tab/>
      </w:r>
      <w:r>
        <w:t>Source lumineuse à décharge</w:t>
      </w:r>
      <w:r w:rsidR="00F0776E">
        <w:t xml:space="preserve">        </w:t>
      </w:r>
      <w:r>
        <w:t>- catégorie</w:t>
      </w:r>
      <w:r w:rsidR="00F0776E">
        <w:t xml:space="preserve"> </w:t>
      </w:r>
      <w:r w:rsidR="00F0776E">
        <w:tab/>
      </w:r>
    </w:p>
    <w:p w:rsidR="001119A8" w:rsidRDefault="00F0776E" w:rsidP="00EE5C92">
      <w:pPr>
        <w:pStyle w:val="SingleTxtG"/>
        <w:tabs>
          <w:tab w:val="left" w:leader="dot" w:pos="8505"/>
        </w:tabs>
        <w:spacing w:after="100"/>
        <w:ind w:left="4998" w:hanging="3864"/>
      </w:pPr>
      <w:r>
        <w:tab/>
      </w:r>
      <w:r w:rsidR="001119A8">
        <w:t xml:space="preserve">- puissance nominale </w:t>
      </w:r>
      <w:r>
        <w:tab/>
      </w:r>
      <w:r w:rsidR="001119A8">
        <w:t> ».</w:t>
      </w:r>
    </w:p>
    <w:p w:rsidR="001119A8" w:rsidRDefault="001119A8" w:rsidP="00EE5C92">
      <w:pPr>
        <w:pStyle w:val="SingleTxtG"/>
        <w:keepNext/>
        <w:spacing w:after="100"/>
        <w:rPr>
          <w:lang w:val="fr-FR"/>
        </w:rPr>
      </w:pPr>
      <w:r>
        <w:rPr>
          <w:i/>
          <w:lang w:val="fr-FR"/>
        </w:rPr>
        <w:t>Annexe 3</w:t>
      </w:r>
      <w:r w:rsidRPr="003903C5">
        <w:rPr>
          <w:lang w:val="fr-FR"/>
        </w:rPr>
        <w:t>,</w:t>
      </w:r>
      <w:r w:rsidRPr="00116C71">
        <w:rPr>
          <w:i/>
          <w:lang w:val="fr-FR"/>
        </w:rPr>
        <w:t xml:space="preserve"> </w:t>
      </w:r>
      <w:r>
        <w:rPr>
          <w:lang w:val="fr-FR"/>
        </w:rPr>
        <w:t>remplacer le graphique existant</w:t>
      </w:r>
    </w:p>
    <w:p w:rsidR="003903C5" w:rsidRDefault="003903C5" w:rsidP="00EE5C92">
      <w:pPr>
        <w:pStyle w:val="SingleTxtG"/>
        <w:keepNext/>
        <w:spacing w:after="100"/>
        <w:rPr>
          <w:lang w:val="fr-FR"/>
        </w:rPr>
      </w:pPr>
      <w:r>
        <w:rPr>
          <w:lang w:val="fr-FR"/>
        </w:rPr>
        <w:t>« </w:t>
      </w:r>
    </w:p>
    <w:p w:rsidR="001119A8" w:rsidRDefault="001119A8" w:rsidP="00EE5C92">
      <w:pPr>
        <w:spacing w:line="200" w:lineRule="atLeast"/>
        <w:ind w:left="1134"/>
        <w:rPr>
          <w:lang w:val="fr-FR"/>
        </w:rPr>
      </w:pPr>
      <w:r w:rsidRPr="00640EE4">
        <w:rPr>
          <w:rFonts w:eastAsia="Calibri"/>
          <w:noProof/>
          <w:lang w:eastAsia="fr-CH"/>
        </w:rPr>
        <w:drawing>
          <wp:inline distT="0" distB="0" distL="0" distR="0" wp14:anchorId="69002267" wp14:editId="4534ADF6">
            <wp:extent cx="4610100" cy="1900052"/>
            <wp:effectExtent l="0" t="0" r="0" b="5080"/>
            <wp:docPr id="61"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3477" cy="1905565"/>
                    </a:xfrm>
                    <a:prstGeom prst="rect">
                      <a:avLst/>
                    </a:prstGeom>
                    <a:noFill/>
                    <a:ln>
                      <a:noFill/>
                    </a:ln>
                  </pic:spPr>
                </pic:pic>
              </a:graphicData>
            </a:graphic>
          </wp:inline>
        </w:drawing>
      </w:r>
    </w:p>
    <w:p w:rsidR="003903C5" w:rsidRPr="003903C5" w:rsidRDefault="003903C5" w:rsidP="003903C5">
      <w:pPr>
        <w:pStyle w:val="SingleTxtG"/>
        <w:jc w:val="right"/>
      </w:pPr>
      <w:r>
        <w:t>».</w:t>
      </w:r>
    </w:p>
    <w:p w:rsidR="001119A8" w:rsidRDefault="00AF3CD6" w:rsidP="00EE5C92">
      <w:pPr>
        <w:pStyle w:val="SingleTxtG"/>
        <w:spacing w:after="100"/>
        <w:rPr>
          <w:lang w:val="fr-FR"/>
        </w:rPr>
      </w:pPr>
      <w:r>
        <w:rPr>
          <w:lang w:val="fr-FR"/>
        </w:rPr>
        <w:t>Par</w:t>
      </w:r>
      <w:r w:rsidR="001119A8">
        <w:rPr>
          <w:lang w:val="fr-FR"/>
        </w:rPr>
        <w:t xml:space="preserve"> un nouveau graphique ainsi conçu :</w:t>
      </w:r>
    </w:p>
    <w:p w:rsidR="008A25A6" w:rsidRDefault="008A25A6" w:rsidP="00EE5C92">
      <w:pPr>
        <w:pStyle w:val="SingleTxtG"/>
        <w:keepNext/>
        <w:spacing w:after="100"/>
        <w:rPr>
          <w:lang w:val="fr-FR"/>
        </w:rPr>
      </w:pPr>
      <w:r>
        <w:rPr>
          <w:lang w:val="fr-FR"/>
        </w:rPr>
        <w:t>« </w:t>
      </w:r>
    </w:p>
    <w:p w:rsidR="008A25A6" w:rsidRDefault="008A25A6" w:rsidP="008A25A6">
      <w:pPr>
        <w:ind w:left="1134"/>
        <w:rPr>
          <w:lang w:val="fr-FR"/>
        </w:rPr>
      </w:pPr>
      <w:r>
        <w:rPr>
          <w:noProof/>
          <w:lang w:eastAsia="fr-CH"/>
        </w:rPr>
        <mc:AlternateContent>
          <mc:Choice Requires="wps">
            <w:drawing>
              <wp:anchor distT="0" distB="0" distL="114300" distR="114300" simplePos="0" relativeHeight="251664384" behindDoc="0" locked="0" layoutInCell="1" allowOverlap="1" wp14:anchorId="20BBCA42" wp14:editId="5F4B1181">
                <wp:simplePos x="0" y="0"/>
                <wp:positionH relativeFrom="column">
                  <wp:posOffset>3394578</wp:posOffset>
                </wp:positionH>
                <wp:positionV relativeFrom="paragraph">
                  <wp:posOffset>837845</wp:posOffset>
                </wp:positionV>
                <wp:extent cx="1119809" cy="268943"/>
                <wp:effectExtent l="0" t="0" r="4445" b="0"/>
                <wp:wrapNone/>
                <wp:docPr id="156" name="Zone de texte 156"/>
                <wp:cNvGraphicFramePr/>
                <a:graphic xmlns:a="http://schemas.openxmlformats.org/drawingml/2006/main">
                  <a:graphicData uri="http://schemas.microsoft.com/office/word/2010/wordprocessingShape">
                    <wps:wsp>
                      <wps:cNvSpPr txBox="1"/>
                      <wps:spPr>
                        <a:xfrm>
                          <a:off x="0" y="0"/>
                          <a:ext cx="1119809" cy="268943"/>
                        </a:xfrm>
                        <a:prstGeom prst="rect">
                          <a:avLst/>
                        </a:prstGeom>
                        <a:solidFill>
                          <a:schemeClr val="lt1"/>
                        </a:solidFill>
                        <a:ln w="6350">
                          <a:noFill/>
                        </a:ln>
                      </wps:spPr>
                      <wps:txbx>
                        <w:txbxContent>
                          <w:p w:rsidR="00860C4E" w:rsidRPr="00466211" w:rsidRDefault="00860C4E" w:rsidP="008A25A6">
                            <w:pPr>
                              <w:rPr>
                                <w:b/>
                                <w:sz w:val="18"/>
                                <w:szCs w:val="18"/>
                              </w:rPr>
                            </w:pPr>
                            <w:r>
                              <w:rPr>
                                <w:b/>
                                <w:sz w:val="18"/>
                                <w:szCs w:val="18"/>
                              </w:rPr>
                              <w:t xml:space="preserve">a = </w:t>
                            </w:r>
                            <w:r w:rsidRPr="00466211">
                              <w:rPr>
                                <w:b/>
                                <w:sz w:val="18"/>
                                <w:szCs w:val="18"/>
                              </w:rPr>
                              <w:t>2,5 mm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CA42" id="Zone de texte 156" o:spid="_x0000_s1027" type="#_x0000_t202" style="position:absolute;left:0;text-align:left;margin-left:267.3pt;margin-top:65.95pt;width:88.1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" fillcolor="white [3201]" stroked="f" strokeweight=".5pt">
                <v:textbox>
                  <w:txbxContent>
                    <w:p w:rsidR="00860C4E" w:rsidRPr="00466211" w:rsidRDefault="00860C4E" w:rsidP="008A25A6">
                      <w:pPr>
                        <w:rPr>
                          <w:b/>
                          <w:sz w:val="18"/>
                          <w:szCs w:val="18"/>
                        </w:rPr>
                      </w:pPr>
                      <w:r>
                        <w:rPr>
                          <w:b/>
                          <w:sz w:val="18"/>
                          <w:szCs w:val="18"/>
                        </w:rPr>
                        <w:t xml:space="preserve">a = </w:t>
                      </w:r>
                      <w:r w:rsidRPr="00466211">
                        <w:rPr>
                          <w:b/>
                          <w:sz w:val="18"/>
                          <w:szCs w:val="18"/>
                        </w:rPr>
                        <w:t>2,5 mm min.</w:t>
                      </w:r>
                    </w:p>
                  </w:txbxContent>
                </v:textbox>
              </v:shape>
            </w:pict>
          </mc:Fallback>
        </mc:AlternateContent>
      </w:r>
      <w:r>
        <w:rPr>
          <w:noProof/>
          <w:lang w:eastAsia="fr-CH"/>
        </w:rPr>
        <w:drawing>
          <wp:inline distT="0" distB="0" distL="0" distR="0" wp14:anchorId="21622395">
            <wp:extent cx="3982085" cy="1478478"/>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495" cy="1481600"/>
                    </a:xfrm>
                    <a:prstGeom prst="rect">
                      <a:avLst/>
                    </a:prstGeom>
                    <a:noFill/>
                  </pic:spPr>
                </pic:pic>
              </a:graphicData>
            </a:graphic>
          </wp:inline>
        </w:drawing>
      </w:r>
    </w:p>
    <w:p w:rsidR="008A25A6" w:rsidRPr="003903C5" w:rsidRDefault="008A25A6" w:rsidP="00EE5C92">
      <w:pPr>
        <w:pStyle w:val="SingleTxtG"/>
        <w:spacing w:after="100" w:line="220" w:lineRule="atLeast"/>
        <w:jc w:val="right"/>
      </w:pPr>
      <w:r>
        <w:t>».</w:t>
      </w:r>
    </w:p>
    <w:p w:rsidR="001119A8" w:rsidRDefault="001119A8" w:rsidP="00EE5C92">
      <w:pPr>
        <w:pStyle w:val="SingleTxtG"/>
        <w:keepNext/>
        <w:spacing w:after="100" w:line="220" w:lineRule="atLeast"/>
        <w:rPr>
          <w:lang w:val="fr-FR"/>
        </w:rPr>
      </w:pPr>
      <w:r>
        <w:rPr>
          <w:i/>
          <w:lang w:val="fr-FR"/>
        </w:rPr>
        <w:t xml:space="preserve">Légende accompagnant le graphique, </w:t>
      </w:r>
      <w:r>
        <w:rPr>
          <w:lang w:val="fr-FR"/>
        </w:rPr>
        <w:t>modifier comme suit :</w:t>
      </w:r>
    </w:p>
    <w:p w:rsidR="001119A8" w:rsidRDefault="001119A8" w:rsidP="00EE5C92">
      <w:pPr>
        <w:pStyle w:val="SingleTxtG"/>
        <w:spacing w:after="100" w:line="220" w:lineRule="atLeast"/>
        <w:rPr>
          <w:lang w:val="fr-FR"/>
        </w:rPr>
      </w:pPr>
      <w:r>
        <w:rPr>
          <w:lang w:val="fr-FR"/>
        </w:rPr>
        <w:t>«</w:t>
      </w:r>
      <w:r w:rsidR="008A25A6">
        <w:rPr>
          <w:lang w:val="fr-FR"/>
        </w:rPr>
        <w:tab/>
      </w:r>
      <w:r w:rsidRPr="00640EE4">
        <w:rPr>
          <w:lang w:val="fr-FR"/>
        </w:rPr>
        <w:t>La marque d</w:t>
      </w:r>
      <w:r>
        <w:rPr>
          <w:lang w:val="fr-FR"/>
        </w:rPr>
        <w:t>’</w:t>
      </w:r>
      <w:r w:rsidRPr="00640EE4">
        <w:rPr>
          <w:lang w:val="fr-FR"/>
        </w:rPr>
        <w:t xml:space="preserve">homologation ci-dessus, apposée sur une source lumineuse à </w:t>
      </w:r>
      <w:r>
        <w:rPr>
          <w:lang w:val="fr-FR"/>
        </w:rPr>
        <w:t>décharg</w:t>
      </w:r>
      <w:r w:rsidRPr="00640EE4">
        <w:rPr>
          <w:lang w:val="fr-FR"/>
        </w:rPr>
        <w:t xml:space="preserve">e, indique que cette source lumineuse a été homologuée au Royaume-Uni (E 11), </w:t>
      </w:r>
      <w:r>
        <w:rPr>
          <w:lang w:val="fr-FR"/>
        </w:rPr>
        <w:t xml:space="preserve">sous le code d’homologation </w:t>
      </w:r>
      <w:r w:rsidRPr="00371F62">
        <w:rPr>
          <w:strike/>
          <w:lang w:val="fr-FR"/>
        </w:rPr>
        <w:t>0</w:t>
      </w:r>
      <w:r w:rsidRPr="00762FEA">
        <w:rPr>
          <w:strike/>
          <w:lang w:val="fr-FR"/>
        </w:rPr>
        <w:t>A01</w:t>
      </w:r>
      <w:r>
        <w:rPr>
          <w:lang w:val="fr-FR"/>
        </w:rPr>
        <w:t xml:space="preserve"> </w:t>
      </w:r>
      <w:r w:rsidRPr="00762FEA">
        <w:rPr>
          <w:b/>
          <w:lang w:val="fr-FR"/>
        </w:rPr>
        <w:t>0001</w:t>
      </w:r>
      <w:r w:rsidRPr="00640EE4">
        <w:rPr>
          <w:lang w:val="fr-FR"/>
        </w:rPr>
        <w:t xml:space="preserve">. </w:t>
      </w:r>
      <w:r w:rsidRPr="001C2A37">
        <w:rPr>
          <w:strike/>
          <w:lang w:val="fr-FR"/>
        </w:rPr>
        <w:t>Le premier caractère du code d</w:t>
      </w:r>
      <w:r>
        <w:rPr>
          <w:strike/>
          <w:lang w:val="fr-FR"/>
        </w:rPr>
        <w:t>’</w:t>
      </w:r>
      <w:r w:rsidRPr="001C2A37">
        <w:rPr>
          <w:strike/>
          <w:lang w:val="fr-FR"/>
        </w:rPr>
        <w:t>homologation indique que l</w:t>
      </w:r>
      <w:r>
        <w:rPr>
          <w:strike/>
          <w:lang w:val="fr-FR"/>
        </w:rPr>
        <w:t>’</w:t>
      </w:r>
      <w:r w:rsidRPr="001C2A37">
        <w:rPr>
          <w:strike/>
          <w:lang w:val="fr-FR"/>
        </w:rPr>
        <w:t>homologation a été accordée conformément aux prescriptions du Règlement n</w:t>
      </w:r>
      <w:r w:rsidRPr="001C2A37">
        <w:rPr>
          <w:strike/>
          <w:vertAlign w:val="superscript"/>
          <w:lang w:val="fr-FR"/>
        </w:rPr>
        <w:t>o</w:t>
      </w:r>
      <w:r>
        <w:rPr>
          <w:strike/>
          <w:lang w:val="fr-FR"/>
        </w:rPr>
        <w:t> </w:t>
      </w:r>
      <w:r w:rsidRPr="00D44A7B">
        <w:rPr>
          <w:strike/>
          <w:lang w:val="fr-FR"/>
        </w:rPr>
        <w:t>99 sous sa forme initiale </w:t>
      </w:r>
      <w:r w:rsidRPr="001C2A37">
        <w:rPr>
          <w:lang w:val="fr-FR"/>
        </w:rPr>
        <w:t>».</w:t>
      </w:r>
    </w:p>
    <w:p w:rsidR="001119A8" w:rsidRDefault="008A25A6" w:rsidP="008A25A6">
      <w:pPr>
        <w:pStyle w:val="HChG"/>
        <w:rPr>
          <w:lang w:val="fr-FR"/>
        </w:rPr>
      </w:pPr>
      <w:r>
        <w:rPr>
          <w:lang w:val="fr-FR"/>
        </w:rPr>
        <w:lastRenderedPageBreak/>
        <w:tab/>
      </w:r>
      <w:r w:rsidR="001119A8" w:rsidRPr="001369B6">
        <w:rPr>
          <w:lang w:val="fr-FR"/>
        </w:rPr>
        <w:t>I</w:t>
      </w:r>
      <w:r w:rsidR="001119A8">
        <w:rPr>
          <w:lang w:val="fr-FR"/>
        </w:rPr>
        <w:t>I</w:t>
      </w:r>
      <w:r w:rsidR="001119A8" w:rsidRPr="001369B6">
        <w:rPr>
          <w:lang w:val="fr-FR"/>
        </w:rPr>
        <w:t>I.</w:t>
      </w:r>
      <w:r w:rsidR="001119A8" w:rsidRPr="001369B6">
        <w:rPr>
          <w:lang w:val="fr-FR"/>
        </w:rPr>
        <w:tab/>
        <w:t xml:space="preserve">Proposition de </w:t>
      </w:r>
      <w:r w:rsidR="001119A8" w:rsidRPr="009A1B62">
        <w:rPr>
          <w:lang w:val="fr-FR"/>
        </w:rPr>
        <w:t>complément</w:t>
      </w:r>
      <w:r w:rsidR="001119A8">
        <w:rPr>
          <w:lang w:val="fr-FR"/>
        </w:rPr>
        <w:t xml:space="preserve"> 8 à la version initiale </w:t>
      </w:r>
      <w:r>
        <w:rPr>
          <w:lang w:val="fr-FR"/>
        </w:rPr>
        <w:br/>
        <w:t>du Règlement n</w:t>
      </w:r>
      <w:r w:rsidRPr="008A25A6">
        <w:rPr>
          <w:vertAlign w:val="superscript"/>
          <w:lang w:val="fr-FR"/>
        </w:rPr>
        <w:t>o</w:t>
      </w:r>
      <w:r>
        <w:rPr>
          <w:lang w:val="fr-FR"/>
        </w:rPr>
        <w:t> </w:t>
      </w:r>
      <w:r w:rsidR="001119A8">
        <w:rPr>
          <w:lang w:val="fr-FR"/>
        </w:rPr>
        <w:t xml:space="preserve">128 (Sources lumineuses </w:t>
      </w:r>
      <w:r>
        <w:rPr>
          <w:lang w:val="fr-FR"/>
        </w:rPr>
        <w:br/>
      </w:r>
      <w:r w:rsidR="001119A8">
        <w:rPr>
          <w:lang w:val="fr-FR"/>
        </w:rPr>
        <w:t>à diodes électroluminescentes)</w:t>
      </w:r>
    </w:p>
    <w:p w:rsidR="001119A8" w:rsidRDefault="001119A8" w:rsidP="00EC305F">
      <w:pPr>
        <w:pStyle w:val="SingleTxtG"/>
        <w:keepNext/>
        <w:rPr>
          <w:i/>
          <w:lang w:val="fr-FR"/>
        </w:rPr>
      </w:pPr>
      <w:r w:rsidRPr="009A1B62">
        <w:rPr>
          <w:i/>
          <w:lang w:val="fr-FR"/>
        </w:rPr>
        <w:t>Paragraph</w:t>
      </w:r>
      <w:r>
        <w:rPr>
          <w:i/>
          <w:lang w:val="fr-FR"/>
        </w:rPr>
        <w:t>e 2.4.2</w:t>
      </w:r>
      <w:r w:rsidRPr="00EC305F">
        <w:rPr>
          <w:lang w:val="fr-FR"/>
        </w:rPr>
        <w:t>, modifier comme suit</w:t>
      </w:r>
      <w:r w:rsidR="00EC305F">
        <w:rPr>
          <w:lang w:val="fr-FR"/>
        </w:rPr>
        <w:t> </w:t>
      </w:r>
      <w:r w:rsidRPr="00EC305F">
        <w:rPr>
          <w:lang w:val="fr-FR"/>
        </w:rPr>
        <w:t>:</w:t>
      </w:r>
    </w:p>
    <w:p w:rsidR="001119A8" w:rsidRPr="00D44A7B" w:rsidRDefault="004F2DF7" w:rsidP="004F2DF7">
      <w:pPr>
        <w:pStyle w:val="SingleTxtG"/>
        <w:tabs>
          <w:tab w:val="left" w:pos="2268"/>
        </w:tabs>
        <w:spacing w:after="100"/>
        <w:ind w:left="2268" w:hanging="1134"/>
        <w:rPr>
          <w:strike/>
          <w:lang w:val="fr-FR"/>
        </w:rPr>
      </w:pPr>
      <w:r>
        <w:rPr>
          <w:lang w:val="fr-FR"/>
        </w:rPr>
        <w:t>« </w:t>
      </w:r>
      <w:r w:rsidR="001119A8">
        <w:rPr>
          <w:lang w:val="fr-FR"/>
        </w:rPr>
        <w:t>2.4.2</w:t>
      </w:r>
      <w:r w:rsidR="001119A8">
        <w:rPr>
          <w:lang w:val="fr-FR"/>
        </w:rPr>
        <w:tab/>
        <w:t>Un code d’</w:t>
      </w:r>
      <w:r w:rsidR="001119A8" w:rsidRPr="00B911D2">
        <w:rPr>
          <w:lang w:val="fr-FR"/>
        </w:rPr>
        <w:t>homologation</w:t>
      </w:r>
      <w:r w:rsidR="001119A8">
        <w:rPr>
          <w:lang w:val="fr-FR"/>
        </w:rPr>
        <w:t xml:space="preserve"> est attribué à chaque type ho</w:t>
      </w:r>
      <w:r w:rsidR="00AF3CD6">
        <w:rPr>
          <w:lang w:val="fr-FR"/>
        </w:rPr>
        <w:t>mologué</w:t>
      </w:r>
      <w:r w:rsidR="00911DFE">
        <w:rPr>
          <w:lang w:val="fr-FR"/>
        </w:rPr>
        <w:t>.</w:t>
      </w:r>
      <w:r w:rsidR="001119A8">
        <w:rPr>
          <w:lang w:val="fr-FR"/>
        </w:rPr>
        <w:t xml:space="preserve"> </w:t>
      </w:r>
      <w:r w:rsidR="00911DFE" w:rsidRPr="009A1B62">
        <w:rPr>
          <w:strike/>
          <w:lang w:val="fr-FR"/>
        </w:rPr>
        <w:t xml:space="preserve">Dont </w:t>
      </w:r>
      <w:r w:rsidR="001119A8" w:rsidRPr="009A1B62">
        <w:rPr>
          <w:strike/>
          <w:lang w:val="fr-FR"/>
        </w:rPr>
        <w:t>le premier caractère</w:t>
      </w:r>
      <w:r w:rsidR="001119A8">
        <w:rPr>
          <w:strike/>
          <w:lang w:val="fr-FR"/>
        </w:rPr>
        <w:t xml:space="preserve"> </w:t>
      </w:r>
      <w:r w:rsidR="001119A8" w:rsidRPr="009A1B62">
        <w:rPr>
          <w:strike/>
          <w:lang w:val="fr-FR"/>
        </w:rPr>
        <w:t>indique la série d</w:t>
      </w:r>
      <w:r w:rsidR="001119A8">
        <w:rPr>
          <w:strike/>
          <w:lang w:val="fr-FR"/>
        </w:rPr>
        <w:t>’</w:t>
      </w:r>
      <w:r w:rsidR="001119A8" w:rsidRPr="009A1B62">
        <w:rPr>
          <w:strike/>
          <w:lang w:val="fr-FR"/>
        </w:rPr>
        <w:t xml:space="preserve">amendements </w:t>
      </w:r>
      <w:r w:rsidR="001119A8">
        <w:rPr>
          <w:strike/>
          <w:lang w:val="fr-FR"/>
        </w:rPr>
        <w:t>en vigueur</w:t>
      </w:r>
      <w:r w:rsidR="001119A8" w:rsidRPr="009A1B62">
        <w:rPr>
          <w:strike/>
          <w:lang w:val="fr-FR"/>
        </w:rPr>
        <w:t xml:space="preserve"> à la date de délivrance de l</w:t>
      </w:r>
      <w:r w:rsidR="001119A8">
        <w:rPr>
          <w:strike/>
          <w:lang w:val="fr-FR"/>
        </w:rPr>
        <w:t>’</w:t>
      </w:r>
      <w:r w:rsidR="001119A8" w:rsidRPr="009A1B62">
        <w:rPr>
          <w:strike/>
          <w:lang w:val="fr-FR"/>
        </w:rPr>
        <w:t>homologation.</w:t>
      </w:r>
      <w:r w:rsidR="001119A8" w:rsidRPr="009351B5">
        <w:rPr>
          <w:lang w:val="fr-FR"/>
        </w:rPr>
        <w:t xml:space="preserve"> </w:t>
      </w:r>
      <w:r w:rsidR="001119A8" w:rsidRPr="009A1B62">
        <w:rPr>
          <w:strike/>
          <w:lang w:val="fr-FR"/>
        </w:rPr>
        <w:t>Il est suivi d</w:t>
      </w:r>
      <w:r w:rsidR="001119A8">
        <w:rPr>
          <w:strike/>
          <w:lang w:val="fr-FR"/>
        </w:rPr>
        <w:t>’</w:t>
      </w:r>
      <w:r w:rsidR="001119A8" w:rsidRPr="009A1B62">
        <w:rPr>
          <w:strike/>
          <w:lang w:val="fr-FR"/>
        </w:rPr>
        <w:t>un code d</w:t>
      </w:r>
      <w:r w:rsidR="001119A8">
        <w:rPr>
          <w:strike/>
          <w:lang w:val="fr-FR"/>
        </w:rPr>
        <w:t>’</w:t>
      </w:r>
      <w:r w:rsidR="001119A8" w:rsidRPr="009A1B62">
        <w:rPr>
          <w:strike/>
          <w:lang w:val="fr-FR"/>
        </w:rPr>
        <w:t>identification comprenant au maximum trois caractères. Seuls les chiffres arabes et les lettres majuscules de la note de bas de page</w:t>
      </w:r>
      <w:r w:rsidR="001119A8">
        <w:rPr>
          <w:strike/>
        </w:rPr>
        <w:t xml:space="preserve"> </w:t>
      </w:r>
      <w:r w:rsidR="001119A8">
        <w:rPr>
          <w:strike/>
          <w:lang w:val="fr-FR"/>
        </w:rPr>
        <w:t>peuvent être utilisés</w:t>
      </w:r>
      <w:r w:rsidR="001119A8" w:rsidRPr="00B44796">
        <w:rPr>
          <w:strike/>
          <w:lang w:val="fr-FR"/>
        </w:rPr>
        <w:t>.</w:t>
      </w:r>
    </w:p>
    <w:p w:rsidR="001119A8" w:rsidRPr="004F2DF7" w:rsidRDefault="001119A8" w:rsidP="004F2DF7">
      <w:pPr>
        <w:pStyle w:val="SingleTxtG"/>
        <w:tabs>
          <w:tab w:val="left" w:pos="2268"/>
        </w:tabs>
        <w:spacing w:after="100"/>
        <w:ind w:left="2268"/>
        <w:rPr>
          <w:rFonts w:eastAsia="Times New Roman"/>
          <w:b/>
          <w:lang w:val="es-ES"/>
        </w:rPr>
      </w:pPr>
      <w:r>
        <w:rPr>
          <w:rFonts w:eastAsia="Times New Roman"/>
          <w:b/>
          <w:sz w:val="28"/>
          <w:szCs w:val="28"/>
          <w:lang w:val="fr-FR"/>
        </w:rPr>
        <w:tab/>
      </w:r>
      <w:r w:rsidR="004F2DF7" w:rsidRPr="004F2DF7">
        <w:rPr>
          <w:rFonts w:eastAsia="MS Mincho"/>
          <w:bCs/>
          <w:strike/>
          <w:lang w:val="es-ES"/>
        </w:rPr>
        <w:t>“</w:t>
      </w:r>
      <w:r w:rsidRPr="004F2DF7">
        <w:rPr>
          <w:rFonts w:eastAsia="MS Mincho"/>
          <w:bCs/>
          <w:strike/>
          <w:lang w:val="es-ES"/>
        </w:rPr>
        <w:t xml:space="preserve">0 1 2 3 4 5 6 7 8 9 </w:t>
      </w:r>
      <w:r w:rsidRPr="004F2DF7">
        <w:rPr>
          <w:rFonts w:eastAsia="MS Mincho"/>
          <w:bCs/>
          <w:strike/>
          <w:lang w:val="es-ES"/>
        </w:rPr>
        <w:tab/>
        <w:t>A B C D E F G H J K L M N P R S T U V W X Y Z</w:t>
      </w:r>
      <w:r w:rsidR="004F2DF7" w:rsidRPr="004F2DF7">
        <w:rPr>
          <w:rFonts w:eastAsia="MS Mincho"/>
          <w:bCs/>
          <w:strike/>
          <w:lang w:val="es-ES"/>
        </w:rPr>
        <w:t>”</w:t>
      </w:r>
      <w:r w:rsidRPr="004F2DF7">
        <w:rPr>
          <w:rFonts w:eastAsia="MS Mincho"/>
          <w:bCs/>
          <w:strike/>
          <w:lang w:val="es-ES"/>
        </w:rPr>
        <w:t>.</w:t>
      </w:r>
    </w:p>
    <w:p w:rsidR="001119A8" w:rsidRDefault="001119A8" w:rsidP="004F2DF7">
      <w:pPr>
        <w:pStyle w:val="SingleTxtG"/>
        <w:tabs>
          <w:tab w:val="left" w:pos="2268"/>
        </w:tabs>
        <w:spacing w:after="100"/>
        <w:ind w:left="2268"/>
        <w:rPr>
          <w:lang w:val="fr-FR"/>
        </w:rPr>
      </w:pPr>
      <w:r w:rsidRPr="004F2DF7">
        <w:rPr>
          <w:rFonts w:eastAsia="Times New Roman"/>
          <w:b/>
          <w:lang w:val="es-ES"/>
        </w:rPr>
        <w:tab/>
      </w:r>
      <w:r w:rsidRPr="004F2DF7">
        <w:rPr>
          <w:b/>
          <w:lang w:val="fr-FR"/>
        </w:rPr>
        <w:t>Ce code d’homologation</w:t>
      </w:r>
      <w:r>
        <w:rPr>
          <w:b/>
          <w:lang w:val="fr-FR"/>
        </w:rPr>
        <w:t xml:space="preserve"> doit constituer la </w:t>
      </w:r>
      <w:r w:rsidR="002C2DD5">
        <w:rPr>
          <w:b/>
          <w:lang w:val="fr-FR"/>
        </w:rPr>
        <w:t xml:space="preserve">section </w:t>
      </w:r>
      <w:r>
        <w:rPr>
          <w:b/>
          <w:lang w:val="fr-FR"/>
        </w:rPr>
        <w:t>3 du numéro d’homologation</w:t>
      </w:r>
      <w:r w:rsidR="004F2DF7" w:rsidRPr="004F2DF7">
        <w:rPr>
          <w:lang w:val="fr-FR"/>
        </w:rPr>
        <w:t>*</w:t>
      </w:r>
      <w:r>
        <w:rPr>
          <w:lang w:val="fr-FR"/>
        </w:rPr>
        <w:t>.</w:t>
      </w:r>
      <w:r w:rsidRPr="00B911D2">
        <w:rPr>
          <w:lang w:val="fr-FR"/>
        </w:rPr>
        <w:t xml:space="preserve"> </w:t>
      </w:r>
    </w:p>
    <w:p w:rsidR="001119A8" w:rsidRDefault="001119A8" w:rsidP="004F2DF7">
      <w:pPr>
        <w:pStyle w:val="SingleTxtG"/>
        <w:tabs>
          <w:tab w:val="left" w:pos="2268"/>
        </w:tabs>
        <w:spacing w:after="100"/>
        <w:ind w:left="2268"/>
        <w:rPr>
          <w:lang w:val="fr-FR"/>
        </w:rPr>
      </w:pPr>
      <w:r>
        <w:rPr>
          <w:lang w:val="fr-FR"/>
        </w:rPr>
        <w:tab/>
      </w:r>
      <w:r w:rsidRPr="00B911D2">
        <w:rPr>
          <w:lang w:val="fr-FR"/>
        </w:rPr>
        <w:t xml:space="preserve">Une même Partie contractante ne peut pas attribuer ce même code à un autre type de source lumineuse à </w:t>
      </w:r>
      <w:r>
        <w:rPr>
          <w:lang w:val="fr-FR"/>
        </w:rPr>
        <w:t>DEL</w:t>
      </w:r>
      <w:r w:rsidRPr="00B911D2">
        <w:rPr>
          <w:lang w:val="fr-FR"/>
        </w:rPr>
        <w:t>.</w:t>
      </w:r>
    </w:p>
    <w:p w:rsidR="001119A8" w:rsidRDefault="001119A8" w:rsidP="004F2DF7">
      <w:pPr>
        <w:pStyle w:val="SingleTxtG"/>
        <w:rPr>
          <w:lang w:val="fr-FR"/>
        </w:rPr>
      </w:pPr>
      <w:r w:rsidRPr="004F2DF7">
        <w:rPr>
          <w:b/>
          <w:sz w:val="18"/>
          <w:szCs w:val="18"/>
          <w:lang w:val="fr-FR"/>
        </w:rPr>
        <w:t xml:space="preserve">* </w:t>
      </w:r>
      <w:r w:rsidR="004F2DF7" w:rsidRPr="004F2DF7">
        <w:rPr>
          <w:b/>
          <w:sz w:val="18"/>
          <w:szCs w:val="18"/>
          <w:lang w:val="fr-FR"/>
        </w:rPr>
        <w:t xml:space="preserve"> </w:t>
      </w:r>
      <w:r w:rsidRPr="004F2DF7">
        <w:rPr>
          <w:b/>
          <w:sz w:val="18"/>
          <w:szCs w:val="18"/>
          <w:lang w:val="fr-FR"/>
        </w:rPr>
        <w:t xml:space="preserve">Accord de 1958, </w:t>
      </w:r>
      <w:r w:rsidR="004F2DF7" w:rsidRPr="004F2DF7">
        <w:rPr>
          <w:b/>
          <w:sz w:val="18"/>
          <w:szCs w:val="18"/>
          <w:lang w:val="fr-FR"/>
        </w:rPr>
        <w:t xml:space="preserve">révision </w:t>
      </w:r>
      <w:r w:rsidRPr="004F2DF7">
        <w:rPr>
          <w:b/>
          <w:sz w:val="18"/>
          <w:szCs w:val="18"/>
          <w:lang w:val="fr-FR"/>
        </w:rPr>
        <w:t xml:space="preserve">3, </w:t>
      </w:r>
      <w:r w:rsidR="004F2DF7" w:rsidRPr="004F2DF7">
        <w:rPr>
          <w:b/>
          <w:sz w:val="18"/>
          <w:szCs w:val="18"/>
          <w:lang w:val="fr-FR"/>
        </w:rPr>
        <w:t xml:space="preserve">annexe </w:t>
      </w:r>
      <w:r w:rsidRPr="004F2DF7">
        <w:rPr>
          <w:b/>
          <w:sz w:val="18"/>
          <w:szCs w:val="18"/>
          <w:lang w:val="fr-FR"/>
        </w:rPr>
        <w:t>4 (E/ECE/TRANS/505/REV.3)</w:t>
      </w:r>
      <w:r w:rsidRPr="004F2DF7">
        <w:rPr>
          <w:sz w:val="18"/>
          <w:szCs w:val="18"/>
          <w:lang w:val="fr-FR"/>
        </w:rPr>
        <w:t> </w:t>
      </w:r>
      <w:r w:rsidRPr="0067048B">
        <w:rPr>
          <w:lang w:val="fr-FR"/>
        </w:rPr>
        <w:t>».</w:t>
      </w:r>
    </w:p>
    <w:p w:rsidR="001119A8" w:rsidRDefault="001119A8" w:rsidP="004F2DF7">
      <w:pPr>
        <w:pStyle w:val="SingleTxtG"/>
        <w:keepNext/>
        <w:rPr>
          <w:i/>
          <w:lang w:val="fr-FR"/>
        </w:rPr>
      </w:pPr>
      <w:r w:rsidRPr="009A1B62">
        <w:rPr>
          <w:i/>
          <w:lang w:val="fr-FR"/>
        </w:rPr>
        <w:t>Paragraph</w:t>
      </w:r>
      <w:r>
        <w:rPr>
          <w:i/>
          <w:lang w:val="fr-FR"/>
        </w:rPr>
        <w:t>e 2.4.5</w:t>
      </w:r>
      <w:r w:rsidRPr="004F2DF7">
        <w:rPr>
          <w:lang w:val="fr-FR"/>
        </w:rPr>
        <w:t>, modifier comme suit</w:t>
      </w:r>
      <w:r w:rsidR="004F2DF7">
        <w:rPr>
          <w:lang w:val="fr-FR"/>
        </w:rPr>
        <w:t> </w:t>
      </w:r>
      <w:r w:rsidRPr="004F2DF7">
        <w:rPr>
          <w:lang w:val="fr-FR"/>
        </w:rPr>
        <w:t>:</w:t>
      </w:r>
    </w:p>
    <w:p w:rsidR="001119A8" w:rsidRDefault="001119A8" w:rsidP="004F2DF7">
      <w:pPr>
        <w:pStyle w:val="SingleTxtG"/>
        <w:tabs>
          <w:tab w:val="left" w:pos="2268"/>
        </w:tabs>
        <w:spacing w:after="100"/>
        <w:ind w:left="2268" w:hanging="1134"/>
        <w:rPr>
          <w:lang w:val="fr-FR"/>
        </w:rPr>
      </w:pPr>
      <w:r>
        <w:rPr>
          <w:lang w:val="fr-FR"/>
        </w:rPr>
        <w:t>« 2.4.5</w:t>
      </w:r>
      <w:r w:rsidRPr="00B911D2">
        <w:rPr>
          <w:lang w:val="fr-FR"/>
        </w:rPr>
        <w:tab/>
        <w:t xml:space="preserve">Si le demandeur a obtenu le même </w:t>
      </w:r>
      <w:r>
        <w:rPr>
          <w:b/>
          <w:lang w:val="fr-FR"/>
        </w:rPr>
        <w:t>numéro</w:t>
      </w:r>
      <w:r>
        <w:rPr>
          <w:lang w:val="fr-FR"/>
        </w:rPr>
        <w:t xml:space="preserve"> </w:t>
      </w:r>
      <w:r w:rsidRPr="00B911D2">
        <w:rPr>
          <w:lang w:val="fr-FR"/>
        </w:rPr>
        <w:t>d</w:t>
      </w:r>
      <w:r>
        <w:rPr>
          <w:lang w:val="fr-FR"/>
        </w:rPr>
        <w:t>’</w:t>
      </w:r>
      <w:r w:rsidRPr="00B911D2">
        <w:rPr>
          <w:lang w:val="fr-FR"/>
        </w:rPr>
        <w:t>homologation</w:t>
      </w:r>
      <w:r>
        <w:rPr>
          <w:lang w:val="fr-FR"/>
        </w:rPr>
        <w:t xml:space="preserve"> (</w:t>
      </w:r>
      <w:r>
        <w:rPr>
          <w:b/>
          <w:lang w:val="fr-FR"/>
        </w:rPr>
        <w:t xml:space="preserve">et le même </w:t>
      </w:r>
      <w:r>
        <w:rPr>
          <w:lang w:val="fr-FR"/>
        </w:rPr>
        <w:t xml:space="preserve">code </w:t>
      </w:r>
      <w:r>
        <w:rPr>
          <w:b/>
          <w:lang w:val="fr-FR"/>
        </w:rPr>
        <w:t>d’homologation correspondant)</w:t>
      </w:r>
      <w:r w:rsidRPr="00B911D2">
        <w:rPr>
          <w:lang w:val="fr-FR"/>
        </w:rPr>
        <w:t xml:space="preserve"> pour différentes marques de fabrique ou de commerce, il suffit d</w:t>
      </w:r>
      <w:r>
        <w:rPr>
          <w:lang w:val="fr-FR"/>
        </w:rPr>
        <w:t>’</w:t>
      </w:r>
      <w:r w:rsidRPr="00B911D2">
        <w:rPr>
          <w:lang w:val="fr-FR"/>
        </w:rPr>
        <w:t>apposer une ou plusieurs d</w:t>
      </w:r>
      <w:r>
        <w:rPr>
          <w:lang w:val="fr-FR"/>
        </w:rPr>
        <w:t>’</w:t>
      </w:r>
      <w:r w:rsidRPr="00B911D2">
        <w:rPr>
          <w:lang w:val="fr-FR"/>
        </w:rPr>
        <w:t>entre elles pour satisfa</w:t>
      </w:r>
      <w:r>
        <w:rPr>
          <w:lang w:val="fr-FR"/>
        </w:rPr>
        <w:t>ire aux exigences du paragraphe </w:t>
      </w:r>
      <w:r w:rsidRPr="00B911D2">
        <w:rPr>
          <w:lang w:val="fr-FR"/>
        </w:rPr>
        <w:t>2.3.1.1.</w:t>
      </w:r>
      <w:r>
        <w:rPr>
          <w:lang w:val="fr-FR"/>
        </w:rPr>
        <w:t> ».</w:t>
      </w:r>
    </w:p>
    <w:p w:rsidR="001119A8" w:rsidRDefault="001119A8" w:rsidP="004F2DF7">
      <w:pPr>
        <w:pStyle w:val="SingleTxtG"/>
        <w:keepNext/>
        <w:rPr>
          <w:lang w:val="fr-FR"/>
        </w:rPr>
      </w:pPr>
      <w:r w:rsidRPr="0067048B">
        <w:rPr>
          <w:i/>
          <w:lang w:val="fr-FR"/>
        </w:rPr>
        <w:t>Annexe</w:t>
      </w:r>
      <w:r w:rsidRPr="0067048B">
        <w:rPr>
          <w:lang w:val="fr-FR"/>
        </w:rPr>
        <w:t xml:space="preserve"> </w:t>
      </w:r>
      <w:r w:rsidRPr="0067048B">
        <w:rPr>
          <w:i/>
          <w:lang w:val="fr-FR"/>
        </w:rPr>
        <w:t xml:space="preserve">1, note </w:t>
      </w:r>
      <w:r>
        <w:rPr>
          <w:i/>
          <w:lang w:val="fr-FR"/>
        </w:rPr>
        <w:t>1</w:t>
      </w:r>
      <w:r w:rsidRPr="004F2DF7">
        <w:rPr>
          <w:lang w:val="fr-FR"/>
        </w:rPr>
        <w:t xml:space="preserve">, </w:t>
      </w:r>
      <w:r>
        <w:rPr>
          <w:lang w:val="fr-FR"/>
        </w:rPr>
        <w:t>modifier comme suit :</w:t>
      </w:r>
    </w:p>
    <w:p w:rsidR="001119A8" w:rsidRDefault="001119A8" w:rsidP="004F2DF7">
      <w:pPr>
        <w:pStyle w:val="SingleTxtG"/>
        <w:rPr>
          <w:lang w:val="fr-FR"/>
        </w:rPr>
      </w:pPr>
      <w:r>
        <w:rPr>
          <w:lang w:val="fr-FR"/>
        </w:rPr>
        <w:t>« </w:t>
      </w:r>
      <w:r w:rsidRPr="004F2DF7">
        <w:rPr>
          <w:sz w:val="18"/>
          <w:szCs w:val="18"/>
          <w:vertAlign w:val="superscript"/>
          <w:lang w:val="fr-FR"/>
        </w:rPr>
        <w:t>1</w:t>
      </w:r>
      <w:r w:rsidRPr="004F2DF7">
        <w:rPr>
          <w:sz w:val="18"/>
          <w:szCs w:val="18"/>
          <w:lang w:val="fr-FR"/>
        </w:rPr>
        <w:t xml:space="preserve"> </w:t>
      </w:r>
      <w:r w:rsidR="004F2DF7" w:rsidRPr="004F2DF7">
        <w:rPr>
          <w:sz w:val="18"/>
          <w:szCs w:val="18"/>
          <w:lang w:val="fr-FR"/>
        </w:rPr>
        <w:t xml:space="preserve"> </w:t>
      </w:r>
      <w:r w:rsidRPr="004F2DF7">
        <w:rPr>
          <w:sz w:val="18"/>
          <w:szCs w:val="18"/>
          <w:lang w:val="fr-FR"/>
        </w:rPr>
        <w:t>À compter du 22</w:t>
      </w:r>
      <w:r w:rsidR="004F2DF7">
        <w:rPr>
          <w:sz w:val="18"/>
          <w:szCs w:val="18"/>
          <w:lang w:val="fr-FR"/>
        </w:rPr>
        <w:t> </w:t>
      </w:r>
      <w:r w:rsidRPr="004F2DF7">
        <w:rPr>
          <w:sz w:val="18"/>
          <w:szCs w:val="18"/>
          <w:lang w:val="fr-FR"/>
        </w:rPr>
        <w:t xml:space="preserve">juin 2017, les feuilles relatives aux sources lumineuses à </w:t>
      </w:r>
      <w:r w:rsidRPr="004F2DF7">
        <w:rPr>
          <w:strike/>
          <w:sz w:val="18"/>
          <w:szCs w:val="18"/>
          <w:lang w:val="fr-FR"/>
        </w:rPr>
        <w:t>décharge</w:t>
      </w:r>
      <w:r w:rsidR="004F2DF7" w:rsidRPr="004F2DF7">
        <w:rPr>
          <w:strike/>
          <w:sz w:val="18"/>
          <w:szCs w:val="18"/>
          <w:lang w:val="fr-FR"/>
        </w:rPr>
        <w:t xml:space="preserve"> </w:t>
      </w:r>
      <w:r w:rsidRPr="004F2DF7">
        <w:rPr>
          <w:b/>
          <w:sz w:val="18"/>
          <w:szCs w:val="18"/>
          <w:lang w:val="fr-FR"/>
        </w:rPr>
        <w:t>DEL</w:t>
      </w:r>
      <w:r w:rsidRPr="004F2DF7">
        <w:rPr>
          <w:sz w:val="18"/>
          <w:szCs w:val="18"/>
          <w:lang w:val="fr-FR"/>
        </w:rPr>
        <w:t>, la liste par groupe des catégories de source lumineuse et les restrictions d’utilisation et numéros de feuille correspondants figurent dans la Résolution R.E.5 publiée sous la cote (ECE/TRANS/WP.29/2016/111</w:t>
      </w:r>
      <w:r w:rsidR="004F2DF7" w:rsidRPr="004F2DF7">
        <w:rPr>
          <w:sz w:val="18"/>
          <w:szCs w:val="18"/>
          <w:lang w:val="fr-FR"/>
        </w:rPr>
        <w:t>)</w:t>
      </w:r>
      <w:r w:rsidR="004F2DF7">
        <w:rPr>
          <w:lang w:val="fr-FR"/>
        </w:rPr>
        <w:t> ».</w:t>
      </w:r>
    </w:p>
    <w:p w:rsidR="001119A8" w:rsidRPr="00116C71" w:rsidRDefault="001119A8" w:rsidP="004F2DF7">
      <w:pPr>
        <w:pStyle w:val="SingleTxtG"/>
        <w:keepNext/>
        <w:rPr>
          <w:b/>
          <w:lang w:val="fr-FR"/>
        </w:rPr>
      </w:pPr>
      <w:r w:rsidRPr="00116C71">
        <w:rPr>
          <w:i/>
          <w:lang w:val="fr-FR"/>
        </w:rPr>
        <w:t>Annexe 2</w:t>
      </w:r>
      <w:r w:rsidRPr="004F2DF7">
        <w:rPr>
          <w:lang w:val="fr-FR"/>
        </w:rPr>
        <w:t xml:space="preserve">, </w:t>
      </w:r>
      <w:r w:rsidRPr="00116C71">
        <w:rPr>
          <w:lang w:val="fr-FR"/>
        </w:rPr>
        <w:t>modifier comme suit :</w:t>
      </w:r>
    </w:p>
    <w:p w:rsidR="008C46AB" w:rsidRDefault="001119A8" w:rsidP="008C46AB">
      <w:pPr>
        <w:pStyle w:val="SingleTxtG"/>
        <w:tabs>
          <w:tab w:val="right" w:leader="dot" w:pos="8505"/>
        </w:tabs>
        <w:spacing w:after="100"/>
        <w:rPr>
          <w:lang w:val="fr-FR"/>
        </w:rPr>
      </w:pPr>
      <w:r>
        <w:rPr>
          <w:lang w:val="fr-FR"/>
        </w:rPr>
        <w:t>« </w:t>
      </w:r>
      <w:r w:rsidRPr="00985F7B">
        <w:rPr>
          <w:snapToGrid w:val="0"/>
          <w:lang w:val="fr-FR"/>
        </w:rPr>
        <w:t>N</w:t>
      </w:r>
      <w:r w:rsidRPr="00985F7B">
        <w:rPr>
          <w:snapToGrid w:val="0"/>
          <w:vertAlign w:val="superscript"/>
          <w:lang w:val="fr-FR"/>
        </w:rPr>
        <w:t>o</w:t>
      </w:r>
      <w:r w:rsidRPr="00985F7B">
        <w:rPr>
          <w:bCs/>
          <w:snapToGrid w:val="0"/>
          <w:lang w:val="fr-FR"/>
        </w:rPr>
        <w:t> </w:t>
      </w:r>
      <w:r w:rsidRPr="00985F7B">
        <w:rPr>
          <w:lang w:val="fr-FR"/>
        </w:rPr>
        <w:t>d</w:t>
      </w:r>
      <w:r>
        <w:rPr>
          <w:lang w:val="fr-FR"/>
        </w:rPr>
        <w:t>’</w:t>
      </w:r>
      <w:r w:rsidRPr="00985F7B">
        <w:rPr>
          <w:lang w:val="fr-FR"/>
        </w:rPr>
        <w:t xml:space="preserve">homologation : </w:t>
      </w:r>
      <w:r w:rsidRPr="00985F7B">
        <w:t>........................................</w:t>
      </w:r>
      <w:r>
        <w:t xml:space="preserve"> </w:t>
      </w:r>
      <w:r w:rsidRPr="00985F7B">
        <w:rPr>
          <w:snapToGrid w:val="0"/>
          <w:lang w:val="fr-FR"/>
        </w:rPr>
        <w:t>N</w:t>
      </w:r>
      <w:r w:rsidRPr="00985F7B">
        <w:rPr>
          <w:snapToGrid w:val="0"/>
          <w:vertAlign w:val="superscript"/>
          <w:lang w:val="fr-FR"/>
        </w:rPr>
        <w:t>o</w:t>
      </w:r>
      <w:r w:rsidRPr="00985F7B">
        <w:rPr>
          <w:bCs/>
          <w:snapToGrid w:val="0"/>
          <w:lang w:val="fr-FR"/>
        </w:rPr>
        <w:t> </w:t>
      </w:r>
      <w:r w:rsidRPr="00985F7B">
        <w:rPr>
          <w:lang w:val="fr-FR"/>
        </w:rPr>
        <w:t>d</w:t>
      </w:r>
      <w:r>
        <w:rPr>
          <w:lang w:val="fr-FR"/>
        </w:rPr>
        <w:t>’</w:t>
      </w:r>
      <w:r w:rsidRPr="00985F7B">
        <w:rPr>
          <w:lang w:val="fr-FR"/>
        </w:rPr>
        <w:t xml:space="preserve">extension : </w:t>
      </w:r>
      <w:r w:rsidR="008C46AB">
        <w:tab/>
      </w:r>
    </w:p>
    <w:p w:rsidR="001119A8" w:rsidRPr="00F82585" w:rsidRDefault="001119A8" w:rsidP="00F82585">
      <w:pPr>
        <w:pStyle w:val="SingleTxtG"/>
        <w:spacing w:after="100"/>
        <w:rPr>
          <w:b/>
          <w:lang w:val="fr-FR"/>
        </w:rPr>
      </w:pPr>
      <w:r w:rsidRPr="00F82585">
        <w:rPr>
          <w:b/>
          <w:lang w:val="fr-FR"/>
        </w:rPr>
        <w:t>Code d’homologation :</w:t>
      </w:r>
      <w:r w:rsidR="00F82585">
        <w:rPr>
          <w:b/>
          <w:lang w:val="fr-FR"/>
        </w:rPr>
        <w:t xml:space="preserve"> ……………………….</w:t>
      </w:r>
    </w:p>
    <w:p w:rsidR="001119A8" w:rsidRPr="00944FFE" w:rsidRDefault="001119A8" w:rsidP="009E2A65">
      <w:pPr>
        <w:pStyle w:val="SingleTxtG"/>
        <w:ind w:left="1701" w:hanging="567"/>
      </w:pPr>
      <w:r w:rsidRPr="00640EE4">
        <w:t>1.</w:t>
      </w:r>
      <w:r w:rsidRPr="00640EE4">
        <w:tab/>
      </w:r>
      <w:r w:rsidRPr="00640EE4">
        <w:rPr>
          <w:lang w:val="fr-FR"/>
        </w:rPr>
        <w:t xml:space="preserve">Marque de fabrique ou de commerce </w:t>
      </w:r>
      <w:r w:rsidRPr="00116C71">
        <w:rPr>
          <w:strike/>
          <w:lang w:val="fr-FR"/>
        </w:rPr>
        <w:t>du dispositif</w:t>
      </w:r>
      <w:r w:rsidR="009E2A65">
        <w:t xml:space="preserve"> </w:t>
      </w:r>
      <w:r>
        <w:rPr>
          <w:b/>
        </w:rPr>
        <w:t>de la source lumineuse à DEL</w:t>
      </w:r>
      <w:r w:rsidR="00944FFE">
        <w:rPr>
          <w:b/>
        </w:rPr>
        <w:t> </w:t>
      </w:r>
      <w:r>
        <w:t>:</w:t>
      </w:r>
      <w:r w:rsidR="00944FFE">
        <w:t xml:space="preserve"> </w:t>
      </w:r>
      <w:r w:rsidR="009E2A65">
        <w:t>.</w:t>
      </w:r>
      <w:r>
        <w:t>………</w:t>
      </w:r>
      <w:r w:rsidR="00944FFE">
        <w:t>……………………………………………………………………………</w:t>
      </w:r>
      <w:r w:rsidR="009E2A65">
        <w:t>....</w:t>
      </w:r>
    </w:p>
    <w:p w:rsidR="001119A8" w:rsidRPr="00640EE4" w:rsidRDefault="001119A8" w:rsidP="009E2A65">
      <w:pPr>
        <w:pStyle w:val="SingleTxtG"/>
        <w:tabs>
          <w:tab w:val="left" w:leader="dot" w:pos="8505"/>
        </w:tabs>
        <w:ind w:left="1701" w:hanging="567"/>
      </w:pPr>
      <w:r w:rsidRPr="00640EE4">
        <w:t>2.</w:t>
      </w:r>
      <w:r w:rsidRPr="00640EE4">
        <w:tab/>
      </w:r>
      <w:r w:rsidRPr="00640EE4">
        <w:rPr>
          <w:lang w:val="fr-FR"/>
        </w:rPr>
        <w:t xml:space="preserve">Désignation du type de </w:t>
      </w:r>
      <w:r w:rsidRPr="00116C71">
        <w:rPr>
          <w:strike/>
          <w:lang w:val="fr-FR"/>
        </w:rPr>
        <w:t>dispositif</w:t>
      </w:r>
      <w:r w:rsidRPr="00640EE4">
        <w:rPr>
          <w:lang w:val="fr-FR"/>
        </w:rPr>
        <w:t xml:space="preserve"> </w:t>
      </w:r>
      <w:r w:rsidRPr="00116C71">
        <w:rPr>
          <w:b/>
          <w:lang w:val="fr-FR"/>
        </w:rPr>
        <w:t xml:space="preserve">source lumineuse </w:t>
      </w:r>
      <w:r>
        <w:rPr>
          <w:b/>
          <w:lang w:val="fr-FR"/>
        </w:rPr>
        <w:t>à DEL</w:t>
      </w:r>
      <w:r w:rsidRPr="00116C71">
        <w:rPr>
          <w:b/>
          <w:lang w:val="fr-FR"/>
        </w:rPr>
        <w:t xml:space="preserve"> </w:t>
      </w:r>
      <w:r w:rsidRPr="00640EE4">
        <w:rPr>
          <w:lang w:val="fr-FR"/>
        </w:rPr>
        <w:t>par le fabricant </w:t>
      </w:r>
      <w:r w:rsidRPr="00640EE4">
        <w:t>:</w:t>
      </w:r>
      <w:r w:rsidR="009E2A65">
        <w:t xml:space="preserve"> </w:t>
      </w:r>
      <w:r w:rsidR="009E2A65">
        <w:tab/>
      </w:r>
    </w:p>
    <w:p w:rsidR="001119A8" w:rsidRDefault="001119A8" w:rsidP="009E2A65">
      <w:pPr>
        <w:pStyle w:val="SingleTxtG"/>
        <w:tabs>
          <w:tab w:val="left" w:leader="dot" w:pos="8505"/>
        </w:tabs>
        <w:ind w:left="1701" w:hanging="567"/>
      </w:pPr>
      <w:r w:rsidRPr="00640EE4">
        <w:t>3.</w:t>
      </w:r>
      <w:r w:rsidRPr="00640EE4">
        <w:tab/>
      </w:r>
      <w:r w:rsidRPr="00640EE4">
        <w:rPr>
          <w:lang w:val="fr-FR"/>
        </w:rPr>
        <w:t>Nom et adresse du fabricant </w:t>
      </w:r>
      <w:r w:rsidRPr="00640EE4">
        <w:t>:</w:t>
      </w:r>
      <w:r w:rsidR="009E2A65">
        <w:t xml:space="preserve"> </w:t>
      </w:r>
      <w:r w:rsidR="009E2A65">
        <w:tab/>
      </w:r>
      <w:r>
        <w:t> ».</w:t>
      </w:r>
    </w:p>
    <w:p w:rsidR="001119A8" w:rsidRDefault="001119A8" w:rsidP="00840302">
      <w:pPr>
        <w:pStyle w:val="SingleTxtG"/>
        <w:keepNext/>
        <w:rPr>
          <w:lang w:val="fr-FR"/>
        </w:rPr>
      </w:pPr>
      <w:r>
        <w:rPr>
          <w:i/>
          <w:lang w:val="fr-FR"/>
        </w:rPr>
        <w:t>Annexe 3</w:t>
      </w:r>
      <w:r w:rsidRPr="00840302">
        <w:rPr>
          <w:lang w:val="fr-FR"/>
        </w:rPr>
        <w:t xml:space="preserve">, </w:t>
      </w:r>
      <w:r>
        <w:rPr>
          <w:lang w:val="fr-FR"/>
        </w:rPr>
        <w:t>remplacer le graphique existant</w:t>
      </w:r>
    </w:p>
    <w:p w:rsidR="00840302" w:rsidRDefault="00840302" w:rsidP="00840302">
      <w:pPr>
        <w:pStyle w:val="SingleTxtG"/>
        <w:keepNext/>
        <w:rPr>
          <w:lang w:val="fr-FR"/>
        </w:rPr>
      </w:pPr>
      <w:r>
        <w:rPr>
          <w:lang w:val="fr-FR"/>
        </w:rPr>
        <w:t>« </w:t>
      </w:r>
    </w:p>
    <w:p w:rsidR="001119A8" w:rsidRDefault="001119A8" w:rsidP="001157CD">
      <w:pPr>
        <w:ind w:left="1134"/>
        <w:rPr>
          <w:lang w:val="fr-FR"/>
        </w:rPr>
      </w:pPr>
      <w:r w:rsidRPr="00640EE4">
        <w:rPr>
          <w:rFonts w:eastAsia="Calibri"/>
          <w:noProof/>
          <w:lang w:eastAsia="fr-CH"/>
        </w:rPr>
        <w:drawing>
          <wp:inline distT="0" distB="0" distL="0" distR="0" wp14:anchorId="5502D726" wp14:editId="6904BA59">
            <wp:extent cx="4610100" cy="2057400"/>
            <wp:effectExtent l="0" t="0" r="0" b="0"/>
            <wp:docPr id="91"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6123FE" w:rsidRPr="006123FE" w:rsidRDefault="006123FE" w:rsidP="006123FE">
      <w:pPr>
        <w:pStyle w:val="SingleTxtG"/>
        <w:jc w:val="right"/>
      </w:pPr>
      <w:r w:rsidRPr="006123FE">
        <w:t>».</w:t>
      </w:r>
    </w:p>
    <w:p w:rsidR="001119A8" w:rsidRDefault="00AF3CD6" w:rsidP="006123FE">
      <w:pPr>
        <w:pStyle w:val="SingleTxtG"/>
        <w:keepNext/>
        <w:rPr>
          <w:lang w:val="fr-FR"/>
        </w:rPr>
      </w:pPr>
      <w:r>
        <w:rPr>
          <w:lang w:val="fr-FR"/>
        </w:rPr>
        <w:lastRenderedPageBreak/>
        <w:t>Par</w:t>
      </w:r>
      <w:r w:rsidR="001119A8">
        <w:rPr>
          <w:lang w:val="fr-FR"/>
        </w:rPr>
        <w:t xml:space="preserve"> un nouveau graphique ainsi conçu :</w:t>
      </w:r>
    </w:p>
    <w:p w:rsidR="006123FE" w:rsidRDefault="006123FE" w:rsidP="006123FE">
      <w:pPr>
        <w:pStyle w:val="SingleTxtG"/>
        <w:keepNext/>
        <w:rPr>
          <w:lang w:val="fr-FR"/>
        </w:rPr>
      </w:pPr>
      <w:r>
        <w:rPr>
          <w:lang w:val="fr-FR"/>
        </w:rPr>
        <w:t>« </w:t>
      </w:r>
    </w:p>
    <w:p w:rsidR="006123FE" w:rsidRDefault="00E2126F" w:rsidP="006123FE">
      <w:pPr>
        <w:ind w:left="1134"/>
        <w:rPr>
          <w:lang w:val="fr-FR"/>
        </w:rPr>
      </w:pPr>
      <w:r>
        <w:rPr>
          <w:noProof/>
          <w:lang w:eastAsia="fr-CH"/>
        </w:rPr>
        <mc:AlternateContent>
          <mc:Choice Requires="wps">
            <w:drawing>
              <wp:anchor distT="0" distB="0" distL="114300" distR="114300" simplePos="0" relativeHeight="251663872" behindDoc="0" locked="0" layoutInCell="1" allowOverlap="1" wp14:anchorId="391E29EA" wp14:editId="553AB8FE">
                <wp:simplePos x="0" y="0"/>
                <wp:positionH relativeFrom="column">
                  <wp:posOffset>3406453</wp:posOffset>
                </wp:positionH>
                <wp:positionV relativeFrom="paragraph">
                  <wp:posOffset>836575</wp:posOffset>
                </wp:positionV>
                <wp:extent cx="1119809" cy="268943"/>
                <wp:effectExtent l="0" t="0" r="4445" b="0"/>
                <wp:wrapNone/>
                <wp:docPr id="158" name="Zone de texte 158"/>
                <wp:cNvGraphicFramePr/>
                <a:graphic xmlns:a="http://schemas.openxmlformats.org/drawingml/2006/main">
                  <a:graphicData uri="http://schemas.microsoft.com/office/word/2010/wordprocessingShape">
                    <wps:wsp>
                      <wps:cNvSpPr txBox="1"/>
                      <wps:spPr>
                        <a:xfrm>
                          <a:off x="0" y="0"/>
                          <a:ext cx="1119809" cy="268943"/>
                        </a:xfrm>
                        <a:prstGeom prst="rect">
                          <a:avLst/>
                        </a:prstGeom>
                        <a:solidFill>
                          <a:schemeClr val="lt1"/>
                        </a:solidFill>
                        <a:ln w="6350">
                          <a:noFill/>
                        </a:ln>
                      </wps:spPr>
                      <wps:txbx>
                        <w:txbxContent>
                          <w:p w:rsidR="00860C4E" w:rsidRPr="00466211" w:rsidRDefault="00860C4E" w:rsidP="00E2126F">
                            <w:pPr>
                              <w:rPr>
                                <w:b/>
                                <w:sz w:val="18"/>
                                <w:szCs w:val="18"/>
                              </w:rPr>
                            </w:pPr>
                            <w:r>
                              <w:rPr>
                                <w:b/>
                                <w:sz w:val="18"/>
                                <w:szCs w:val="18"/>
                              </w:rPr>
                              <w:t xml:space="preserve">a = </w:t>
                            </w:r>
                            <w:r w:rsidRPr="00466211">
                              <w:rPr>
                                <w:b/>
                                <w:sz w:val="18"/>
                                <w:szCs w:val="18"/>
                              </w:rPr>
                              <w:t>2,5 mm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E29EA" id="Zone de texte 158" o:spid="_x0000_s1028" type="#_x0000_t202" style="position:absolute;left:0;text-align:left;margin-left:268.2pt;margin-top:65.85pt;width:88.15pt;height:2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" fillcolor="white [3201]" stroked="f" strokeweight=".5pt">
                <v:textbox>
                  <w:txbxContent>
                    <w:p w:rsidR="00860C4E" w:rsidRPr="00466211" w:rsidRDefault="00860C4E" w:rsidP="00E2126F">
                      <w:pPr>
                        <w:rPr>
                          <w:b/>
                          <w:sz w:val="18"/>
                          <w:szCs w:val="18"/>
                        </w:rPr>
                      </w:pPr>
                      <w:r>
                        <w:rPr>
                          <w:b/>
                          <w:sz w:val="18"/>
                          <w:szCs w:val="18"/>
                        </w:rPr>
                        <w:t xml:space="preserve">a = </w:t>
                      </w:r>
                      <w:r w:rsidRPr="00466211">
                        <w:rPr>
                          <w:b/>
                          <w:sz w:val="18"/>
                          <w:szCs w:val="18"/>
                        </w:rPr>
                        <w:t>2,5 mm min.</w:t>
                      </w:r>
                    </w:p>
                  </w:txbxContent>
                </v:textbox>
              </v:shape>
            </w:pict>
          </mc:Fallback>
        </mc:AlternateContent>
      </w:r>
      <w:r w:rsidR="006123FE">
        <w:rPr>
          <w:noProof/>
          <w:lang w:eastAsia="fr-CH"/>
        </w:rPr>
        <w:drawing>
          <wp:inline distT="0" distB="0" distL="0" distR="0" wp14:anchorId="43F920AD">
            <wp:extent cx="3982085" cy="1562100"/>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2085" cy="1562100"/>
                    </a:xfrm>
                    <a:prstGeom prst="rect">
                      <a:avLst/>
                    </a:prstGeom>
                    <a:noFill/>
                  </pic:spPr>
                </pic:pic>
              </a:graphicData>
            </a:graphic>
          </wp:inline>
        </w:drawing>
      </w:r>
    </w:p>
    <w:p w:rsidR="00E2126F" w:rsidRPr="006123FE" w:rsidRDefault="00E2126F" w:rsidP="00E2126F">
      <w:pPr>
        <w:pStyle w:val="SingleTxtG"/>
        <w:jc w:val="right"/>
      </w:pPr>
      <w:r w:rsidRPr="006123FE">
        <w:t>».</w:t>
      </w:r>
    </w:p>
    <w:p w:rsidR="001119A8" w:rsidRDefault="001119A8" w:rsidP="006123FE">
      <w:pPr>
        <w:pStyle w:val="SingleTxtG"/>
        <w:keepNext/>
        <w:rPr>
          <w:lang w:val="fr-FR"/>
        </w:rPr>
      </w:pPr>
      <w:r>
        <w:rPr>
          <w:i/>
          <w:lang w:val="fr-FR"/>
        </w:rPr>
        <w:t>Légende accompagnant le graphique</w:t>
      </w:r>
      <w:r w:rsidRPr="00E2126F">
        <w:rPr>
          <w:lang w:val="fr-FR"/>
        </w:rPr>
        <w:t xml:space="preserve">, </w:t>
      </w:r>
      <w:r>
        <w:rPr>
          <w:lang w:val="fr-FR"/>
        </w:rPr>
        <w:t>modifier comme suit :</w:t>
      </w:r>
    </w:p>
    <w:p w:rsidR="001119A8" w:rsidRDefault="001119A8" w:rsidP="00ED1A9A">
      <w:pPr>
        <w:pStyle w:val="SingleTxtG"/>
        <w:rPr>
          <w:strike/>
          <w:lang w:val="fr-FR"/>
        </w:rPr>
      </w:pPr>
      <w:r>
        <w:rPr>
          <w:lang w:val="fr-FR"/>
        </w:rPr>
        <w:t>«</w:t>
      </w:r>
      <w:r w:rsidR="00E2126F">
        <w:rPr>
          <w:lang w:val="fr-FR"/>
        </w:rPr>
        <w:tab/>
      </w:r>
      <w:r w:rsidRPr="00640EE4">
        <w:rPr>
          <w:lang w:val="fr-FR"/>
        </w:rPr>
        <w:t>La marque d</w:t>
      </w:r>
      <w:r>
        <w:rPr>
          <w:lang w:val="fr-FR"/>
        </w:rPr>
        <w:t>’</w:t>
      </w:r>
      <w:r w:rsidRPr="00640EE4">
        <w:rPr>
          <w:lang w:val="fr-FR"/>
        </w:rPr>
        <w:t xml:space="preserve">homologation ci-dessus, apposée sur une source lumineuse à </w:t>
      </w:r>
      <w:r>
        <w:rPr>
          <w:lang w:val="fr-FR"/>
        </w:rPr>
        <w:t>DEL</w:t>
      </w:r>
      <w:r w:rsidRPr="00640EE4">
        <w:rPr>
          <w:lang w:val="fr-FR"/>
        </w:rPr>
        <w:t xml:space="preserve">, indique que cette source lumineuse a été homologuée au Royaume-Uni (E 11), </w:t>
      </w:r>
      <w:r>
        <w:rPr>
          <w:lang w:val="fr-FR"/>
        </w:rPr>
        <w:t xml:space="preserve">sous le code d’homologation </w:t>
      </w:r>
      <w:r w:rsidRPr="00371F62">
        <w:rPr>
          <w:strike/>
          <w:lang w:val="fr-FR"/>
        </w:rPr>
        <w:t>0</w:t>
      </w:r>
      <w:r w:rsidRPr="00762FEA">
        <w:rPr>
          <w:strike/>
          <w:lang w:val="fr-FR"/>
        </w:rPr>
        <w:t>A01</w:t>
      </w:r>
      <w:r>
        <w:rPr>
          <w:lang w:val="fr-FR"/>
        </w:rPr>
        <w:t xml:space="preserve"> </w:t>
      </w:r>
      <w:r w:rsidRPr="00762FEA">
        <w:rPr>
          <w:b/>
          <w:lang w:val="fr-FR"/>
        </w:rPr>
        <w:t>0001</w:t>
      </w:r>
      <w:r w:rsidRPr="00640EE4">
        <w:rPr>
          <w:lang w:val="fr-FR"/>
        </w:rPr>
        <w:t xml:space="preserve">. </w:t>
      </w:r>
      <w:r w:rsidRPr="001C2A37">
        <w:rPr>
          <w:strike/>
          <w:lang w:val="fr-FR"/>
        </w:rPr>
        <w:t>Le premier caractère du code d</w:t>
      </w:r>
      <w:r>
        <w:rPr>
          <w:strike/>
          <w:lang w:val="fr-FR"/>
        </w:rPr>
        <w:t>’</w:t>
      </w:r>
      <w:r w:rsidRPr="001C2A37">
        <w:rPr>
          <w:strike/>
          <w:lang w:val="fr-FR"/>
        </w:rPr>
        <w:t>homologation indique que l</w:t>
      </w:r>
      <w:r>
        <w:rPr>
          <w:strike/>
          <w:lang w:val="fr-FR"/>
        </w:rPr>
        <w:t>’</w:t>
      </w:r>
      <w:r w:rsidRPr="001C2A37">
        <w:rPr>
          <w:strike/>
          <w:lang w:val="fr-FR"/>
        </w:rPr>
        <w:t>homologation a été accordée conformément aux prescriptions du Règlement n</w:t>
      </w:r>
      <w:r w:rsidRPr="001C2A37">
        <w:rPr>
          <w:strike/>
          <w:vertAlign w:val="superscript"/>
          <w:lang w:val="fr-FR"/>
        </w:rPr>
        <w:t>o</w:t>
      </w:r>
      <w:r>
        <w:rPr>
          <w:strike/>
          <w:lang w:val="fr-FR"/>
        </w:rPr>
        <w:t> </w:t>
      </w:r>
      <w:r w:rsidR="00ED1A9A">
        <w:rPr>
          <w:strike/>
          <w:lang w:val="fr-FR"/>
        </w:rPr>
        <w:t>128</w:t>
      </w:r>
      <w:r>
        <w:rPr>
          <w:strike/>
          <w:lang w:val="fr-FR"/>
        </w:rPr>
        <w:t xml:space="preserve">* </w:t>
      </w:r>
      <w:r w:rsidR="00911DFE">
        <w:rPr>
          <w:strike/>
          <w:lang w:val="fr-FR"/>
        </w:rPr>
        <w:t>sous sa forme initiale.</w:t>
      </w:r>
    </w:p>
    <w:p w:rsidR="001119A8" w:rsidRDefault="001119A8" w:rsidP="00ED1A9A">
      <w:pPr>
        <w:pStyle w:val="SingleTxtG"/>
        <w:rPr>
          <w:strike/>
          <w:lang w:val="fr-FR"/>
        </w:rPr>
      </w:pPr>
      <w:r w:rsidRPr="00ED1A9A">
        <w:rPr>
          <w:strike/>
          <w:sz w:val="18"/>
          <w:szCs w:val="18"/>
          <w:lang w:val="fr-FR"/>
        </w:rPr>
        <w:t xml:space="preserve">* </w:t>
      </w:r>
      <w:r w:rsidR="00ED1A9A" w:rsidRPr="00ED1A9A">
        <w:rPr>
          <w:strike/>
          <w:sz w:val="18"/>
          <w:szCs w:val="18"/>
          <w:lang w:val="fr-FR"/>
        </w:rPr>
        <w:t xml:space="preserve"> </w:t>
      </w:r>
      <w:r w:rsidRPr="00ED1A9A">
        <w:rPr>
          <w:strike/>
          <w:sz w:val="18"/>
          <w:szCs w:val="18"/>
          <w:lang w:val="fr-FR"/>
        </w:rPr>
        <w:t>N’entraînant pas de changement dans le code d’homologation.</w:t>
      </w:r>
      <w:r w:rsidRPr="00ED1A9A">
        <w:rPr>
          <w:lang w:val="fr-FR"/>
        </w:rPr>
        <w:t> ».</w:t>
      </w:r>
    </w:p>
    <w:p w:rsidR="001119A8" w:rsidRDefault="0046703B" w:rsidP="0046703B">
      <w:pPr>
        <w:pStyle w:val="HChG"/>
        <w:rPr>
          <w:lang w:val="fr-FR"/>
        </w:rPr>
      </w:pPr>
      <w:r>
        <w:rPr>
          <w:lang w:val="fr-FR"/>
        </w:rPr>
        <w:tab/>
      </w:r>
      <w:r w:rsidR="001119A8" w:rsidRPr="001369B6">
        <w:rPr>
          <w:lang w:val="fr-FR"/>
        </w:rPr>
        <w:t>I</w:t>
      </w:r>
      <w:r w:rsidR="001119A8">
        <w:rPr>
          <w:lang w:val="fr-FR"/>
        </w:rPr>
        <w:t>V</w:t>
      </w:r>
      <w:r w:rsidR="001119A8" w:rsidRPr="001369B6">
        <w:rPr>
          <w:lang w:val="fr-FR"/>
        </w:rPr>
        <w:t>.</w:t>
      </w:r>
      <w:r w:rsidR="001119A8" w:rsidRPr="001369B6">
        <w:rPr>
          <w:lang w:val="fr-FR"/>
        </w:rPr>
        <w:tab/>
      </w:r>
      <w:r w:rsidR="001119A8">
        <w:rPr>
          <w:lang w:val="fr-FR"/>
        </w:rPr>
        <w:t>Justification</w:t>
      </w:r>
    </w:p>
    <w:p w:rsidR="001119A8" w:rsidRPr="008A150C" w:rsidRDefault="0046703B" w:rsidP="0046703B">
      <w:pPr>
        <w:pStyle w:val="H4G"/>
        <w:rPr>
          <w:lang w:val="fr-FR"/>
        </w:rPr>
      </w:pPr>
      <w:r>
        <w:rPr>
          <w:lang w:val="fr-FR"/>
        </w:rPr>
        <w:tab/>
      </w:r>
      <w:r>
        <w:rPr>
          <w:lang w:val="fr-FR"/>
        </w:rPr>
        <w:tab/>
      </w:r>
      <w:r w:rsidR="001119A8" w:rsidRPr="008A150C">
        <w:rPr>
          <w:lang w:val="fr-FR"/>
        </w:rPr>
        <w:t>Proposition de correction initiale (</w:t>
      </w:r>
      <w:r w:rsidR="00B06986" w:rsidRPr="008A150C">
        <w:rPr>
          <w:lang w:val="fr-FR"/>
        </w:rPr>
        <w:t xml:space="preserve">document </w:t>
      </w:r>
      <w:r w:rsidR="001119A8" w:rsidRPr="008A150C">
        <w:rPr>
          <w:lang w:val="fr-FR"/>
        </w:rPr>
        <w:t>GRE-78-18)</w:t>
      </w:r>
    </w:p>
    <w:p w:rsidR="001119A8" w:rsidRDefault="001119A8" w:rsidP="0046703B">
      <w:pPr>
        <w:pStyle w:val="SingleTxtG"/>
        <w:rPr>
          <w:i/>
          <w:lang w:val="fr-FR"/>
        </w:rPr>
      </w:pPr>
      <w:r w:rsidRPr="008A150C">
        <w:rPr>
          <w:lang w:val="fr-FR"/>
        </w:rPr>
        <w:t>1.</w:t>
      </w:r>
      <w:r w:rsidRPr="008A150C">
        <w:rPr>
          <w:lang w:val="fr-FR"/>
        </w:rPr>
        <w:tab/>
      </w:r>
      <w:r>
        <w:rPr>
          <w:lang w:val="fr-FR"/>
        </w:rPr>
        <w:t>L’</w:t>
      </w:r>
      <w:r w:rsidR="0046703B">
        <w:rPr>
          <w:lang w:val="fr-FR"/>
        </w:rPr>
        <w:t>a</w:t>
      </w:r>
      <w:r>
        <w:rPr>
          <w:lang w:val="fr-FR"/>
        </w:rPr>
        <w:t>nnexe</w:t>
      </w:r>
      <w:r w:rsidR="0046703B">
        <w:rPr>
          <w:lang w:val="fr-FR"/>
        </w:rPr>
        <w:t> </w:t>
      </w:r>
      <w:r>
        <w:rPr>
          <w:lang w:val="fr-FR"/>
        </w:rPr>
        <w:t xml:space="preserve">4 de la </w:t>
      </w:r>
      <w:r w:rsidR="0046703B">
        <w:rPr>
          <w:lang w:val="fr-FR"/>
        </w:rPr>
        <w:t xml:space="preserve">révision </w:t>
      </w:r>
      <w:r>
        <w:rPr>
          <w:lang w:val="fr-FR"/>
        </w:rPr>
        <w:t>3 de l’Accord de 1958 (E/ECE/TRANS/505/Rev.3) définit la façon dont les homologations de type doivent être numérotées. Le paragraphe</w:t>
      </w:r>
      <w:r w:rsidR="0046703B">
        <w:rPr>
          <w:lang w:val="fr-FR"/>
        </w:rPr>
        <w:t> </w:t>
      </w:r>
      <w:r>
        <w:rPr>
          <w:lang w:val="fr-FR"/>
        </w:rPr>
        <w:t xml:space="preserve">2 de ladite </w:t>
      </w:r>
      <w:r w:rsidR="0046703B">
        <w:rPr>
          <w:lang w:val="fr-FR"/>
        </w:rPr>
        <w:t>annexe </w:t>
      </w:r>
      <w:r>
        <w:rPr>
          <w:lang w:val="fr-FR"/>
        </w:rPr>
        <w:t>4 prévoit néanmoins une exception pour les Règlements qui imposent que « </w:t>
      </w:r>
      <w:r>
        <w:rPr>
          <w:i/>
          <w:lang w:val="fr-FR"/>
        </w:rPr>
        <w:t>la</w:t>
      </w:r>
      <w:r w:rsidR="0046703B">
        <w:rPr>
          <w:i/>
          <w:lang w:val="fr-FR"/>
        </w:rPr>
        <w:t> </w:t>
      </w:r>
      <w:r>
        <w:rPr>
          <w:i/>
          <w:lang w:val="fr-FR"/>
        </w:rPr>
        <w:t>marque d’homologation comporte un code d’homologation ou d’identification plutôt qu’un numéro d’homologation.</w:t>
      </w:r>
      <w:r w:rsidR="0046703B">
        <w:rPr>
          <w:i/>
          <w:lang w:val="fr-FR"/>
        </w:rPr>
        <w:t> </w:t>
      </w:r>
      <w:r w:rsidRPr="0046703B">
        <w:rPr>
          <w:lang w:val="fr-FR"/>
        </w:rPr>
        <w:t>».</w:t>
      </w:r>
    </w:p>
    <w:p w:rsidR="001119A8" w:rsidRDefault="001119A8" w:rsidP="0046703B">
      <w:pPr>
        <w:pStyle w:val="SingleTxtG"/>
        <w:rPr>
          <w:rFonts w:eastAsia="Times New Roman"/>
          <w:lang w:val="fr-FR"/>
        </w:rPr>
      </w:pPr>
      <w:r>
        <w:rPr>
          <w:rFonts w:eastAsia="Times New Roman"/>
          <w:lang w:val="fr-FR"/>
        </w:rPr>
        <w:t>2.</w:t>
      </w:r>
      <w:r w:rsidR="006E30E9">
        <w:rPr>
          <w:rFonts w:eastAsia="Times New Roman"/>
          <w:lang w:val="fr-FR"/>
        </w:rPr>
        <w:tab/>
      </w:r>
      <w:r>
        <w:rPr>
          <w:rFonts w:eastAsia="Times New Roman"/>
          <w:lang w:val="fr-FR"/>
        </w:rPr>
        <w:t>Les Règlements n</w:t>
      </w:r>
      <w:r w:rsidRPr="00181BE2">
        <w:rPr>
          <w:rFonts w:eastAsia="Times New Roman"/>
          <w:vertAlign w:val="superscript"/>
          <w:lang w:val="fr-FR"/>
        </w:rPr>
        <w:t>os</w:t>
      </w:r>
      <w:r w:rsidR="006E30E9">
        <w:rPr>
          <w:rFonts w:eastAsia="Times New Roman"/>
          <w:lang w:val="fr-FR"/>
        </w:rPr>
        <w:t> </w:t>
      </w:r>
      <w:r>
        <w:rPr>
          <w:rFonts w:eastAsia="Times New Roman"/>
          <w:lang w:val="fr-FR"/>
        </w:rPr>
        <w:t>37, 99 et 128 prescrivent un code d’homologation pour le marquage des sources lumineuses. L’exception prévue à l’</w:t>
      </w:r>
      <w:r w:rsidR="006E30E9">
        <w:rPr>
          <w:rFonts w:eastAsia="Times New Roman"/>
          <w:lang w:val="fr-FR"/>
        </w:rPr>
        <w:t>a</w:t>
      </w:r>
      <w:r>
        <w:rPr>
          <w:rFonts w:eastAsia="Times New Roman"/>
          <w:lang w:val="fr-FR"/>
        </w:rPr>
        <w:t>nnexe</w:t>
      </w:r>
      <w:r w:rsidR="006E30E9">
        <w:rPr>
          <w:rFonts w:eastAsia="Times New Roman"/>
          <w:lang w:val="fr-FR"/>
        </w:rPr>
        <w:t> </w:t>
      </w:r>
      <w:r>
        <w:rPr>
          <w:rFonts w:eastAsia="Times New Roman"/>
          <w:lang w:val="fr-FR"/>
        </w:rPr>
        <w:t>4 est importante pour les sources lumineuses car le numéro d’homologation complet ne peut pas s’appliquer à chaque source lumineuse.</w:t>
      </w:r>
    </w:p>
    <w:p w:rsidR="001119A8" w:rsidRDefault="001119A8" w:rsidP="0046703B">
      <w:pPr>
        <w:pStyle w:val="SingleTxtG"/>
        <w:rPr>
          <w:rFonts w:eastAsia="Times New Roman"/>
          <w:lang w:val="fr-FR"/>
        </w:rPr>
      </w:pPr>
      <w:r>
        <w:rPr>
          <w:rFonts w:eastAsia="Times New Roman"/>
          <w:lang w:val="fr-FR"/>
        </w:rPr>
        <w:t>3.</w:t>
      </w:r>
      <w:r w:rsidR="006E30E9">
        <w:rPr>
          <w:rFonts w:eastAsia="Times New Roman"/>
          <w:lang w:val="fr-FR"/>
        </w:rPr>
        <w:tab/>
      </w:r>
      <w:r>
        <w:rPr>
          <w:rFonts w:eastAsia="Times New Roman"/>
          <w:lang w:val="fr-FR"/>
        </w:rPr>
        <w:t>Il n’empêche que le terme « numéro d’homologation » apparaît bien dans les Règlements n</w:t>
      </w:r>
      <w:r w:rsidRPr="00181BE2">
        <w:rPr>
          <w:rFonts w:eastAsia="Times New Roman"/>
          <w:vertAlign w:val="superscript"/>
          <w:lang w:val="fr-FR"/>
        </w:rPr>
        <w:t>os</w:t>
      </w:r>
      <w:r w:rsidR="006E30E9">
        <w:rPr>
          <w:rFonts w:eastAsia="Times New Roman"/>
          <w:lang w:val="fr-FR"/>
        </w:rPr>
        <w:t> </w:t>
      </w:r>
      <w:r>
        <w:rPr>
          <w:rFonts w:eastAsia="Times New Roman"/>
          <w:lang w:val="fr-FR"/>
        </w:rPr>
        <w:t xml:space="preserve">37 et 128. Il s’agit manifestement d’une incohérence, car il semble bien qu’il faille entendre par là « code d’homologation ». Jusqu’à présent, cela n’était pas un problème mais, étant donné que la </w:t>
      </w:r>
      <w:r w:rsidR="006E30E9">
        <w:rPr>
          <w:rFonts w:eastAsia="Times New Roman"/>
          <w:lang w:val="fr-FR"/>
        </w:rPr>
        <w:t xml:space="preserve">révision </w:t>
      </w:r>
      <w:r>
        <w:rPr>
          <w:rFonts w:eastAsia="Times New Roman"/>
          <w:lang w:val="fr-FR"/>
        </w:rPr>
        <w:t>3 de l’</w:t>
      </w:r>
      <w:r w:rsidR="00B7735F">
        <w:rPr>
          <w:rFonts w:eastAsia="Times New Roman"/>
          <w:lang w:val="fr-FR"/>
        </w:rPr>
        <w:t>A</w:t>
      </w:r>
      <w:r>
        <w:rPr>
          <w:rFonts w:eastAsia="Times New Roman"/>
          <w:lang w:val="fr-FR"/>
        </w:rPr>
        <w:t>ccord de 1958 fait une distinction entre le numéro d’homologation et le code d’homologation, il serait préférable que les choses soient claires dans les Règlements n</w:t>
      </w:r>
      <w:r w:rsidRPr="00181BE2">
        <w:rPr>
          <w:rFonts w:eastAsia="Times New Roman"/>
          <w:vertAlign w:val="superscript"/>
          <w:lang w:val="fr-FR"/>
        </w:rPr>
        <w:t>os</w:t>
      </w:r>
      <w:r w:rsidR="006E30E9">
        <w:rPr>
          <w:rFonts w:eastAsia="Times New Roman"/>
          <w:lang w:val="fr-FR"/>
        </w:rPr>
        <w:t> </w:t>
      </w:r>
      <w:r>
        <w:rPr>
          <w:rFonts w:eastAsia="Times New Roman"/>
          <w:lang w:val="fr-FR"/>
        </w:rPr>
        <w:t>37 et 128. En effet, le Règlement n</w:t>
      </w:r>
      <w:r w:rsidR="006E30E9" w:rsidRPr="006E30E9">
        <w:rPr>
          <w:rFonts w:eastAsia="Times New Roman"/>
          <w:vertAlign w:val="superscript"/>
          <w:lang w:val="fr-FR"/>
        </w:rPr>
        <w:t>o</w:t>
      </w:r>
      <w:r w:rsidR="006E30E9">
        <w:rPr>
          <w:rFonts w:eastAsia="Times New Roman"/>
          <w:lang w:val="fr-FR"/>
        </w:rPr>
        <w:t> </w:t>
      </w:r>
      <w:r>
        <w:rPr>
          <w:rFonts w:eastAsia="Times New Roman"/>
          <w:lang w:val="fr-FR"/>
        </w:rPr>
        <w:t>99 utilise déjà le terme « code d’homologation » et non plus le terme « numéro d’homologation ».</w:t>
      </w:r>
    </w:p>
    <w:p w:rsidR="001119A8" w:rsidRDefault="001119A8" w:rsidP="0046703B">
      <w:pPr>
        <w:pStyle w:val="SingleTxtG"/>
        <w:rPr>
          <w:rFonts w:eastAsia="Times New Roman"/>
          <w:lang w:val="fr-FR"/>
        </w:rPr>
      </w:pPr>
      <w:r>
        <w:rPr>
          <w:rFonts w:eastAsia="Times New Roman"/>
          <w:lang w:val="fr-FR"/>
        </w:rPr>
        <w:t>4.</w:t>
      </w:r>
      <w:r w:rsidR="00860C4E">
        <w:rPr>
          <w:rFonts w:eastAsia="Times New Roman"/>
          <w:lang w:val="fr-FR"/>
        </w:rPr>
        <w:tab/>
      </w:r>
      <w:r>
        <w:rPr>
          <w:rFonts w:eastAsia="Times New Roman"/>
          <w:lang w:val="fr-FR"/>
        </w:rPr>
        <w:t>Sur les fiches de communication de l’</w:t>
      </w:r>
      <w:r w:rsidR="00860C4E">
        <w:rPr>
          <w:rFonts w:eastAsia="Times New Roman"/>
          <w:lang w:val="fr-FR"/>
        </w:rPr>
        <w:t>a</w:t>
      </w:r>
      <w:r>
        <w:rPr>
          <w:rFonts w:eastAsia="Times New Roman"/>
          <w:lang w:val="fr-FR"/>
        </w:rPr>
        <w:t>nnexe</w:t>
      </w:r>
      <w:r w:rsidR="00860C4E">
        <w:rPr>
          <w:rFonts w:eastAsia="Times New Roman"/>
          <w:lang w:val="fr-FR"/>
        </w:rPr>
        <w:t> </w:t>
      </w:r>
      <w:r>
        <w:rPr>
          <w:rFonts w:eastAsia="Times New Roman"/>
          <w:lang w:val="fr-FR"/>
        </w:rPr>
        <w:t>2 des Règlements n</w:t>
      </w:r>
      <w:r w:rsidRPr="00181BE2">
        <w:rPr>
          <w:rFonts w:eastAsia="Times New Roman"/>
          <w:vertAlign w:val="superscript"/>
          <w:lang w:val="fr-FR"/>
        </w:rPr>
        <w:t>os</w:t>
      </w:r>
      <w:r w:rsidR="00860C4E">
        <w:rPr>
          <w:rFonts w:eastAsia="Times New Roman"/>
          <w:lang w:val="fr-FR"/>
        </w:rPr>
        <w:t> </w:t>
      </w:r>
      <w:r>
        <w:rPr>
          <w:rFonts w:eastAsia="Times New Roman"/>
          <w:lang w:val="fr-FR"/>
        </w:rPr>
        <w:t>37, 9</w:t>
      </w:r>
      <w:r w:rsidR="00B06986">
        <w:rPr>
          <w:rFonts w:eastAsia="Times New Roman"/>
          <w:lang w:val="fr-FR"/>
        </w:rPr>
        <w:t>9 et 128, apparaît le terme « N</w:t>
      </w:r>
      <w:r w:rsidR="00B06986" w:rsidRPr="00B06986">
        <w:rPr>
          <w:rFonts w:eastAsia="Times New Roman"/>
          <w:vertAlign w:val="superscript"/>
          <w:lang w:val="fr-FR"/>
        </w:rPr>
        <w:t>o</w:t>
      </w:r>
      <w:r>
        <w:rPr>
          <w:rFonts w:eastAsia="Times New Roman"/>
          <w:lang w:val="fr-FR"/>
        </w:rPr>
        <w:t xml:space="preserve"> d’homologation ». Ce terme devrait être conservé, compte tenu des prescriptions de la </w:t>
      </w:r>
      <w:r w:rsidR="00B7735F">
        <w:rPr>
          <w:rFonts w:eastAsia="Times New Roman"/>
          <w:lang w:val="fr-FR"/>
        </w:rPr>
        <w:t xml:space="preserve">révision </w:t>
      </w:r>
      <w:r>
        <w:rPr>
          <w:rFonts w:eastAsia="Times New Roman"/>
          <w:lang w:val="fr-FR"/>
        </w:rPr>
        <w:t>3 de l’</w:t>
      </w:r>
      <w:r w:rsidR="00B7735F">
        <w:rPr>
          <w:rFonts w:eastAsia="Times New Roman"/>
          <w:lang w:val="fr-FR"/>
        </w:rPr>
        <w:t>A</w:t>
      </w:r>
      <w:r>
        <w:rPr>
          <w:rFonts w:eastAsia="Times New Roman"/>
          <w:lang w:val="fr-FR"/>
        </w:rPr>
        <w:t xml:space="preserve">ccord de 1958. Compte tenu des prescriptions spécifiques applicables à l’utilisation des codes d’homologation dans les Règlements concernant les sources lumineuses et étant donné que le code d’homologation figure sur la source lumineuse, il est proposé d’ajouter le terme « code d’homologation » sur les fiches de communication. </w:t>
      </w:r>
    </w:p>
    <w:p w:rsidR="001119A8" w:rsidRDefault="001119A8" w:rsidP="0046703B">
      <w:pPr>
        <w:pStyle w:val="SingleTxtG"/>
        <w:rPr>
          <w:rFonts w:eastAsia="Times New Roman"/>
          <w:lang w:val="fr-FR"/>
        </w:rPr>
      </w:pPr>
      <w:r w:rsidRPr="0046703B">
        <w:rPr>
          <w:lang w:val="fr-FR"/>
        </w:rPr>
        <w:t>5.</w:t>
      </w:r>
      <w:r w:rsidR="00B7735F">
        <w:rPr>
          <w:lang w:val="fr-FR"/>
        </w:rPr>
        <w:tab/>
      </w:r>
      <w:r w:rsidRPr="0046703B">
        <w:rPr>
          <w:lang w:val="fr-FR"/>
        </w:rPr>
        <w:t>La version initiale du Règlement n</w:t>
      </w:r>
      <w:r w:rsidR="00B7735F" w:rsidRPr="00B7735F">
        <w:rPr>
          <w:vertAlign w:val="superscript"/>
          <w:lang w:val="fr-FR"/>
        </w:rPr>
        <w:t>o</w:t>
      </w:r>
      <w:r w:rsidR="00B7735F">
        <w:rPr>
          <w:lang w:val="fr-FR"/>
        </w:rPr>
        <w:t> </w:t>
      </w:r>
      <w:r w:rsidRPr="0046703B">
        <w:rPr>
          <w:lang w:val="fr-FR"/>
        </w:rPr>
        <w:t>128 a été élaborée sur le modèle du Règlement n</w:t>
      </w:r>
      <w:r w:rsidR="00B7735F" w:rsidRPr="00B7735F">
        <w:rPr>
          <w:vertAlign w:val="superscript"/>
          <w:lang w:val="fr-FR"/>
        </w:rPr>
        <w:t>o</w:t>
      </w:r>
      <w:r w:rsidR="00B7735F">
        <w:rPr>
          <w:lang w:val="fr-FR"/>
        </w:rPr>
        <w:t> </w:t>
      </w:r>
      <w:r w:rsidRPr="0046703B">
        <w:rPr>
          <w:lang w:val="fr-FR"/>
        </w:rPr>
        <w:t>37, raison pour laquelle la note</w:t>
      </w:r>
      <w:r>
        <w:rPr>
          <w:rFonts w:eastAsia="Times New Roman"/>
          <w:lang w:val="fr-FR"/>
        </w:rPr>
        <w:t xml:space="preserve"> de bas de page de l’</w:t>
      </w:r>
      <w:r w:rsidR="00B7735F">
        <w:rPr>
          <w:rFonts w:eastAsia="Times New Roman"/>
          <w:lang w:val="fr-FR"/>
        </w:rPr>
        <w:t>a</w:t>
      </w:r>
      <w:r>
        <w:rPr>
          <w:rFonts w:eastAsia="Times New Roman"/>
          <w:lang w:val="fr-FR"/>
        </w:rPr>
        <w:t>nnexe</w:t>
      </w:r>
      <w:r w:rsidR="00B7735F">
        <w:rPr>
          <w:rFonts w:eastAsia="Times New Roman"/>
          <w:lang w:val="fr-FR"/>
        </w:rPr>
        <w:t> </w:t>
      </w:r>
      <w:r>
        <w:rPr>
          <w:rFonts w:eastAsia="Times New Roman"/>
          <w:lang w:val="fr-FR"/>
        </w:rPr>
        <w:t>3 figure dans les deux Règlements</w:t>
      </w:r>
      <w:r w:rsidR="00993F57">
        <w:rPr>
          <w:rFonts w:eastAsia="Times New Roman"/>
          <w:lang w:val="fr-FR"/>
        </w:rPr>
        <w:t>.</w:t>
      </w:r>
      <w:r>
        <w:rPr>
          <w:rFonts w:eastAsia="Times New Roman"/>
          <w:lang w:val="fr-FR"/>
        </w:rPr>
        <w:t xml:space="preserve"> Cette note devrait être supprimée du Règlement </w:t>
      </w:r>
      <w:r w:rsidR="00B7735F" w:rsidRPr="0046703B">
        <w:rPr>
          <w:lang w:val="fr-FR"/>
        </w:rPr>
        <w:t>n</w:t>
      </w:r>
      <w:r w:rsidR="00B7735F" w:rsidRPr="00B7735F">
        <w:rPr>
          <w:vertAlign w:val="superscript"/>
          <w:lang w:val="fr-FR"/>
        </w:rPr>
        <w:t>o</w:t>
      </w:r>
      <w:r w:rsidR="00B7735F">
        <w:rPr>
          <w:lang w:val="fr-FR"/>
        </w:rPr>
        <w:t> </w:t>
      </w:r>
      <w:r>
        <w:rPr>
          <w:rFonts w:eastAsia="Times New Roman"/>
          <w:lang w:val="fr-FR"/>
        </w:rPr>
        <w:t xml:space="preserve">128, étant donné que dans le Règlement </w:t>
      </w:r>
      <w:r w:rsidR="00B7735F" w:rsidRPr="0046703B">
        <w:rPr>
          <w:lang w:val="fr-FR"/>
        </w:rPr>
        <w:t>n</w:t>
      </w:r>
      <w:r w:rsidR="00B7735F" w:rsidRPr="00B7735F">
        <w:rPr>
          <w:vertAlign w:val="superscript"/>
          <w:lang w:val="fr-FR"/>
        </w:rPr>
        <w:t>o</w:t>
      </w:r>
      <w:r w:rsidR="00B7735F">
        <w:rPr>
          <w:lang w:val="fr-FR"/>
        </w:rPr>
        <w:t> </w:t>
      </w:r>
      <w:r>
        <w:rPr>
          <w:rFonts w:eastAsia="Times New Roman"/>
          <w:lang w:val="fr-FR"/>
        </w:rPr>
        <w:t xml:space="preserve">37 elle renvoyait aux séries d’amendement 02 et 03 alors que le Règlement </w:t>
      </w:r>
      <w:r w:rsidR="00B7735F" w:rsidRPr="0046703B">
        <w:rPr>
          <w:lang w:val="fr-FR"/>
        </w:rPr>
        <w:t>n</w:t>
      </w:r>
      <w:r w:rsidR="00B7735F" w:rsidRPr="00B7735F">
        <w:rPr>
          <w:vertAlign w:val="superscript"/>
          <w:lang w:val="fr-FR"/>
        </w:rPr>
        <w:t>o</w:t>
      </w:r>
      <w:r w:rsidR="00B7735F">
        <w:rPr>
          <w:lang w:val="fr-FR"/>
        </w:rPr>
        <w:t> </w:t>
      </w:r>
      <w:r>
        <w:rPr>
          <w:rFonts w:eastAsia="Times New Roman"/>
          <w:lang w:val="fr-FR"/>
        </w:rPr>
        <w:t>128 en est toujours à sa version initiale.</w:t>
      </w:r>
    </w:p>
    <w:p w:rsidR="001119A8" w:rsidRDefault="001119A8" w:rsidP="0046703B">
      <w:pPr>
        <w:pStyle w:val="SingleTxtG"/>
        <w:rPr>
          <w:rFonts w:eastAsia="Times New Roman"/>
          <w:lang w:val="fr-FR"/>
        </w:rPr>
      </w:pPr>
      <w:r>
        <w:rPr>
          <w:rFonts w:eastAsia="Times New Roman"/>
          <w:lang w:val="fr-FR"/>
        </w:rPr>
        <w:lastRenderedPageBreak/>
        <w:t>6.</w:t>
      </w:r>
      <w:r w:rsidR="00D7189A">
        <w:rPr>
          <w:rFonts w:eastAsia="Times New Roman"/>
          <w:lang w:val="fr-FR"/>
        </w:rPr>
        <w:tab/>
      </w:r>
      <w:r>
        <w:rPr>
          <w:rFonts w:eastAsia="Times New Roman"/>
          <w:lang w:val="fr-FR"/>
        </w:rPr>
        <w:t>Dans l’</w:t>
      </w:r>
      <w:r w:rsidR="00D7189A">
        <w:rPr>
          <w:rFonts w:eastAsia="Times New Roman"/>
          <w:lang w:val="fr-FR"/>
        </w:rPr>
        <w:t>a</w:t>
      </w:r>
      <w:r>
        <w:rPr>
          <w:rFonts w:eastAsia="Times New Roman"/>
          <w:lang w:val="fr-FR"/>
        </w:rPr>
        <w:t>nnexe 2 des Règlements n</w:t>
      </w:r>
      <w:r w:rsidRPr="00D7189A">
        <w:rPr>
          <w:rFonts w:eastAsia="Times New Roman"/>
          <w:vertAlign w:val="superscript"/>
          <w:lang w:val="fr-FR"/>
        </w:rPr>
        <w:t>os</w:t>
      </w:r>
      <w:r w:rsidR="00D7189A">
        <w:rPr>
          <w:rFonts w:eastAsia="Times New Roman"/>
          <w:lang w:val="fr-FR"/>
        </w:rPr>
        <w:t> </w:t>
      </w:r>
      <w:r>
        <w:rPr>
          <w:rFonts w:eastAsia="Times New Roman"/>
          <w:lang w:val="fr-FR"/>
        </w:rPr>
        <w:t>37 et 128, il convient de remplacer le terme « dispositif » respectivement par « source lumineuse à incandescence » et « source lumineuse à DEL ».</w:t>
      </w:r>
    </w:p>
    <w:p w:rsidR="001119A8" w:rsidRPr="007B3BA7" w:rsidRDefault="00D7189A" w:rsidP="00D7189A">
      <w:pPr>
        <w:pStyle w:val="H4G"/>
        <w:rPr>
          <w:lang w:val="fr-FR"/>
        </w:rPr>
      </w:pPr>
      <w:r>
        <w:rPr>
          <w:lang w:val="fr-FR"/>
        </w:rPr>
        <w:tab/>
      </w:r>
      <w:r>
        <w:rPr>
          <w:lang w:val="fr-FR"/>
        </w:rPr>
        <w:tab/>
      </w:r>
      <w:r w:rsidR="001119A8">
        <w:rPr>
          <w:lang w:val="fr-FR"/>
        </w:rPr>
        <w:t>Proposition de simplification supplémentaire</w:t>
      </w:r>
    </w:p>
    <w:p w:rsidR="001119A8" w:rsidRDefault="001119A8" w:rsidP="0046703B">
      <w:pPr>
        <w:pStyle w:val="SingleTxtG"/>
        <w:rPr>
          <w:rFonts w:eastAsia="Times New Roman"/>
          <w:lang w:val="fr-FR"/>
        </w:rPr>
      </w:pPr>
      <w:r>
        <w:rPr>
          <w:rFonts w:eastAsia="Times New Roman"/>
          <w:lang w:val="fr-FR"/>
        </w:rPr>
        <w:t>7.</w:t>
      </w:r>
      <w:r w:rsidR="00D7189A">
        <w:rPr>
          <w:rFonts w:eastAsia="Times New Roman"/>
          <w:lang w:val="fr-FR"/>
        </w:rPr>
        <w:tab/>
      </w:r>
      <w:r>
        <w:rPr>
          <w:rFonts w:eastAsia="Times New Roman"/>
          <w:lang w:val="fr-FR"/>
        </w:rPr>
        <w:t>Afin de simplifier le travail de numérotation qui incombe aux autorités d’homologation, il est proposé de mettre en corrélation le code d’homologation et le numéro d’homologation. Il est notamment proposé de remplacer l’actuelle prescription régissant l’établissement des codes d’homologation figurant dans les Règlements n</w:t>
      </w:r>
      <w:r w:rsidRPr="005001D5">
        <w:rPr>
          <w:rFonts w:eastAsia="Times New Roman"/>
          <w:vertAlign w:val="superscript"/>
          <w:lang w:val="fr-FR"/>
        </w:rPr>
        <w:t>os</w:t>
      </w:r>
      <w:r w:rsidR="00D7189A">
        <w:rPr>
          <w:rFonts w:eastAsia="Times New Roman"/>
          <w:lang w:val="fr-FR"/>
        </w:rPr>
        <w:t> </w:t>
      </w:r>
      <w:r>
        <w:rPr>
          <w:rFonts w:eastAsia="Times New Roman"/>
          <w:lang w:val="fr-FR"/>
        </w:rPr>
        <w:t>37, 99 et 128 par une prescription prévoyant d’utiliser la section 3 du numéro d’homologation, comme indiqué au paragraphe</w:t>
      </w:r>
      <w:r w:rsidR="00D7189A">
        <w:rPr>
          <w:rFonts w:eastAsia="Times New Roman"/>
          <w:lang w:val="fr-FR"/>
        </w:rPr>
        <w:t> </w:t>
      </w:r>
      <w:r>
        <w:rPr>
          <w:rFonts w:eastAsia="Times New Roman"/>
          <w:lang w:val="fr-FR"/>
        </w:rPr>
        <w:t>3 de l’</w:t>
      </w:r>
      <w:r w:rsidR="00D7189A">
        <w:rPr>
          <w:rFonts w:eastAsia="Times New Roman"/>
          <w:lang w:val="fr-FR"/>
        </w:rPr>
        <w:t>a</w:t>
      </w:r>
      <w:r>
        <w:rPr>
          <w:rFonts w:eastAsia="Times New Roman"/>
          <w:lang w:val="fr-FR"/>
        </w:rPr>
        <w:t>nnexe</w:t>
      </w:r>
      <w:r w:rsidR="00D7189A">
        <w:rPr>
          <w:rFonts w:eastAsia="Times New Roman"/>
          <w:lang w:val="fr-FR"/>
        </w:rPr>
        <w:t> </w:t>
      </w:r>
      <w:r>
        <w:rPr>
          <w:rFonts w:eastAsia="Times New Roman"/>
          <w:lang w:val="fr-FR"/>
        </w:rPr>
        <w:t xml:space="preserve">4 de la </w:t>
      </w:r>
      <w:r w:rsidR="00D7189A">
        <w:rPr>
          <w:rFonts w:eastAsia="Times New Roman"/>
          <w:lang w:val="fr-FR"/>
        </w:rPr>
        <w:t xml:space="preserve">révision </w:t>
      </w:r>
      <w:r>
        <w:rPr>
          <w:rFonts w:eastAsia="Times New Roman"/>
          <w:lang w:val="fr-FR"/>
        </w:rPr>
        <w:t>3 de l’Accord de 1958 (E/ECE/TRANS/505/Rev.3).</w:t>
      </w:r>
    </w:p>
    <w:p w:rsidR="001119A8" w:rsidRDefault="001119A8" w:rsidP="0046703B">
      <w:pPr>
        <w:pStyle w:val="SingleTxtG"/>
        <w:rPr>
          <w:rFonts w:eastAsia="Times New Roman"/>
          <w:lang w:val="fr-FR"/>
        </w:rPr>
      </w:pPr>
      <w:r>
        <w:rPr>
          <w:rFonts w:eastAsia="Times New Roman"/>
          <w:lang w:val="fr-FR"/>
        </w:rPr>
        <w:t>8.</w:t>
      </w:r>
      <w:r w:rsidR="00D7189A">
        <w:rPr>
          <w:rFonts w:eastAsia="Times New Roman"/>
          <w:lang w:val="fr-FR"/>
        </w:rPr>
        <w:tab/>
      </w:r>
      <w:r>
        <w:rPr>
          <w:rFonts w:eastAsia="Times New Roman"/>
          <w:lang w:val="fr-FR"/>
        </w:rPr>
        <w:t>La section 3 du numéro d’homologation se compose d’un nombre à quatre chiffres commençant par des zéros le cas échéant. Le premier nombre serait le 0001.</w:t>
      </w:r>
    </w:p>
    <w:p w:rsidR="001119A8" w:rsidRDefault="001119A8" w:rsidP="00D7189A">
      <w:pPr>
        <w:pStyle w:val="SingleTxtG"/>
        <w:keepNext/>
        <w:rPr>
          <w:rFonts w:eastAsia="Times New Roman"/>
          <w:lang w:val="fr-FR"/>
        </w:rPr>
      </w:pPr>
      <w:r>
        <w:rPr>
          <w:rFonts w:eastAsia="Times New Roman"/>
          <w:lang w:val="fr-FR"/>
        </w:rPr>
        <w:t>9.</w:t>
      </w:r>
      <w:r w:rsidR="00D7189A">
        <w:rPr>
          <w:rFonts w:eastAsia="Times New Roman"/>
          <w:lang w:val="fr-FR"/>
        </w:rPr>
        <w:tab/>
      </w:r>
      <w:r>
        <w:rPr>
          <w:rFonts w:eastAsia="Times New Roman"/>
          <w:lang w:val="fr-FR"/>
        </w:rPr>
        <w:t>Actuellement, le code d’homologation utilisé dans les Règlements concernant les sources lumineuses se compose de quatre caractères, dont le premier indique la série d’amendements en vigueur au moment de la délivrance de l’homologation. Le Règlement n</w:t>
      </w:r>
      <w:r w:rsidR="00D7189A" w:rsidRPr="00D7189A">
        <w:rPr>
          <w:rFonts w:eastAsia="Times New Roman"/>
          <w:vertAlign w:val="superscript"/>
          <w:lang w:val="fr-FR"/>
        </w:rPr>
        <w:t>o</w:t>
      </w:r>
      <w:r w:rsidR="00D7189A">
        <w:rPr>
          <w:rFonts w:eastAsia="Times New Roman"/>
          <w:lang w:val="fr-FR"/>
        </w:rPr>
        <w:t> </w:t>
      </w:r>
      <w:r>
        <w:rPr>
          <w:rFonts w:eastAsia="Times New Roman"/>
          <w:lang w:val="fr-FR"/>
        </w:rPr>
        <w:t>37 fait exception puisque le chiffre « 2 » est conservé y compris pour la série 03 d’amendements. En ce qui concerne les Règlements n</w:t>
      </w:r>
      <w:r w:rsidRPr="005001D5">
        <w:rPr>
          <w:rFonts w:eastAsia="Times New Roman"/>
          <w:vertAlign w:val="superscript"/>
          <w:lang w:val="fr-FR"/>
        </w:rPr>
        <w:t>os</w:t>
      </w:r>
      <w:r w:rsidR="00D7189A">
        <w:rPr>
          <w:rFonts w:eastAsia="Times New Roman"/>
          <w:lang w:val="fr-FR"/>
        </w:rPr>
        <w:t> </w:t>
      </w:r>
      <w:r>
        <w:rPr>
          <w:rFonts w:eastAsia="Times New Roman"/>
          <w:lang w:val="fr-FR"/>
        </w:rPr>
        <w:t>99 et 128, il s’agit du chiffre « 0 » pour le moment. Ce chiffre sera suivi par un code d’identification comprenant au maximum trois caractères qui devront obligatoirement être choisis parmi les chiffres et les lettres suivants :</w:t>
      </w:r>
    </w:p>
    <w:p w:rsidR="001119A8" w:rsidRPr="004E4987" w:rsidRDefault="00431B75" w:rsidP="00431B75">
      <w:pPr>
        <w:pStyle w:val="SingleTxtG"/>
        <w:tabs>
          <w:tab w:val="left" w:pos="3544"/>
        </w:tabs>
        <w:ind w:left="1701"/>
        <w:rPr>
          <w:lang w:val="es-ES" w:eastAsia="it-IT"/>
        </w:rPr>
      </w:pPr>
      <w:r w:rsidRPr="00431B75">
        <w:rPr>
          <w:lang w:val="es-ES" w:eastAsia="it-IT"/>
        </w:rPr>
        <w:t>« </w:t>
      </w:r>
      <w:r>
        <w:rPr>
          <w:lang w:val="es-ES" w:eastAsia="it-IT"/>
        </w:rPr>
        <w:t>0 1 2 3 4 5 6 7 8 9</w:t>
      </w:r>
      <w:r w:rsidR="001119A8" w:rsidRPr="004E4987">
        <w:rPr>
          <w:lang w:val="es-ES" w:eastAsia="it-IT"/>
        </w:rPr>
        <w:tab/>
        <w:t>A B C D E F G H J K L M N P R S T U V W X Y Z</w:t>
      </w:r>
      <w:r w:rsidRPr="00431B75">
        <w:rPr>
          <w:lang w:val="es-ES" w:eastAsia="it-IT"/>
        </w:rPr>
        <w:t> »</w:t>
      </w:r>
      <w:r w:rsidR="001119A8" w:rsidRPr="004E4987">
        <w:rPr>
          <w:lang w:val="es-ES" w:eastAsia="it-IT"/>
        </w:rPr>
        <w:t>.</w:t>
      </w:r>
    </w:p>
    <w:p w:rsidR="001119A8" w:rsidRDefault="001119A8" w:rsidP="000E0864">
      <w:pPr>
        <w:pStyle w:val="SingleTxtG"/>
        <w:keepNext/>
        <w:rPr>
          <w:rFonts w:eastAsia="Times New Roman"/>
          <w:lang w:val="fr-FR"/>
        </w:rPr>
      </w:pPr>
      <w:r>
        <w:rPr>
          <w:rFonts w:eastAsia="Times New Roman"/>
          <w:lang w:val="fr-FR"/>
        </w:rPr>
        <w:t>10.</w:t>
      </w:r>
      <w:r w:rsidR="00431B75">
        <w:rPr>
          <w:rFonts w:eastAsia="Times New Roman"/>
          <w:lang w:val="fr-FR"/>
        </w:rPr>
        <w:tab/>
      </w:r>
      <w:r>
        <w:rPr>
          <w:rFonts w:eastAsia="Times New Roman"/>
          <w:lang w:val="fr-FR"/>
        </w:rPr>
        <w:t>Le tableau ci-dessous compare les codes d’homologation existants et les</w:t>
      </w:r>
      <w:r w:rsidR="00FD77F4">
        <w:rPr>
          <w:rFonts w:eastAsia="Times New Roman"/>
          <w:lang w:val="fr-FR"/>
        </w:rPr>
        <w:t xml:space="preserve"> codes d’homologation proposés.</w:t>
      </w:r>
    </w:p>
    <w:tbl>
      <w:tblPr>
        <w:tblStyle w:val="TableGrid"/>
        <w:tblW w:w="7371" w:type="dxa"/>
        <w:tblInd w:w="1134" w:type="dxa"/>
        <w:tblLook w:val="04A0" w:firstRow="1" w:lastRow="0" w:firstColumn="1" w:lastColumn="0" w:noHBand="0" w:noVBand="1"/>
      </w:tblPr>
      <w:tblGrid>
        <w:gridCol w:w="1704"/>
        <w:gridCol w:w="2833"/>
        <w:gridCol w:w="2834"/>
      </w:tblGrid>
      <w:tr w:rsidR="001119A8" w:rsidRPr="005001D5" w:rsidTr="000E0864">
        <w:tc>
          <w:tcPr>
            <w:tcW w:w="1706" w:type="dxa"/>
            <w:tcBorders>
              <w:bottom w:val="single" w:sz="12" w:space="0" w:color="auto"/>
            </w:tcBorders>
          </w:tcPr>
          <w:p w:rsidR="001119A8" w:rsidRPr="007E3EF6" w:rsidRDefault="001119A8" w:rsidP="000E0864">
            <w:pPr>
              <w:spacing w:before="80" w:after="80" w:line="200" w:lineRule="exact"/>
              <w:ind w:left="57" w:right="57"/>
              <w:rPr>
                <w:rFonts w:eastAsia="Times New Roman"/>
                <w:bCs/>
                <w:i/>
                <w:sz w:val="16"/>
                <w:szCs w:val="16"/>
                <w:lang w:eastAsia="it-IT"/>
              </w:rPr>
            </w:pPr>
            <w:r w:rsidRPr="007E3EF6">
              <w:rPr>
                <w:b/>
                <w:bCs/>
                <w:i/>
                <w:sz w:val="16"/>
                <w:szCs w:val="16"/>
                <w:lang w:eastAsia="it-IT"/>
              </w:rPr>
              <w:t>R</w:t>
            </w:r>
            <w:r>
              <w:rPr>
                <w:b/>
                <w:bCs/>
                <w:i/>
                <w:sz w:val="16"/>
                <w:szCs w:val="16"/>
                <w:lang w:eastAsia="it-IT"/>
              </w:rPr>
              <w:t>èglement</w:t>
            </w:r>
            <w:r w:rsidRPr="007E3EF6">
              <w:rPr>
                <w:b/>
                <w:bCs/>
                <w:i/>
                <w:sz w:val="16"/>
                <w:szCs w:val="16"/>
                <w:lang w:eastAsia="it-IT"/>
              </w:rPr>
              <w:t xml:space="preserve"> N</w:t>
            </w:r>
            <w:r w:rsidRPr="000E0864">
              <w:rPr>
                <w:b/>
                <w:bCs/>
                <w:i/>
                <w:sz w:val="16"/>
                <w:szCs w:val="16"/>
                <w:vertAlign w:val="superscript"/>
                <w:lang w:eastAsia="it-IT"/>
              </w:rPr>
              <w:t>o</w:t>
            </w:r>
          </w:p>
        </w:tc>
        <w:tc>
          <w:tcPr>
            <w:tcW w:w="2835" w:type="dxa"/>
            <w:tcBorders>
              <w:bottom w:val="single" w:sz="12" w:space="0" w:color="auto"/>
            </w:tcBorders>
          </w:tcPr>
          <w:p w:rsidR="001119A8" w:rsidRPr="005001D5" w:rsidRDefault="001119A8" w:rsidP="000E0864">
            <w:pPr>
              <w:spacing w:before="80" w:after="80" w:line="200" w:lineRule="exact"/>
              <w:ind w:left="57" w:right="57"/>
              <w:rPr>
                <w:rFonts w:eastAsia="Times New Roman"/>
                <w:bCs/>
                <w:i/>
                <w:sz w:val="16"/>
                <w:szCs w:val="16"/>
                <w:lang w:val="fr-FR" w:eastAsia="it-IT"/>
              </w:rPr>
            </w:pPr>
            <w:r w:rsidRPr="005001D5">
              <w:rPr>
                <w:bCs/>
                <w:i/>
                <w:sz w:val="16"/>
                <w:szCs w:val="16"/>
                <w:lang w:val="fr-FR" w:eastAsia="it-IT"/>
              </w:rPr>
              <w:t xml:space="preserve">Actuel </w:t>
            </w:r>
            <w:r w:rsidR="000E0864">
              <w:rPr>
                <w:bCs/>
                <w:i/>
                <w:sz w:val="16"/>
                <w:szCs w:val="16"/>
                <w:lang w:val="fr-FR" w:eastAsia="it-IT"/>
              </w:rPr>
              <w:t>« </w:t>
            </w:r>
            <w:r w:rsidRPr="007B3BA7">
              <w:rPr>
                <w:bCs/>
                <w:i/>
                <w:sz w:val="16"/>
                <w:szCs w:val="16"/>
                <w:u w:val="single"/>
                <w:lang w:val="fr-FR" w:eastAsia="it-IT"/>
              </w:rPr>
              <w:t>code d</w:t>
            </w:r>
            <w:r>
              <w:rPr>
                <w:bCs/>
                <w:i/>
                <w:sz w:val="16"/>
                <w:szCs w:val="16"/>
                <w:u w:val="single"/>
                <w:lang w:val="fr-FR" w:eastAsia="it-IT"/>
              </w:rPr>
              <w:t>’</w:t>
            </w:r>
            <w:r w:rsidRPr="007B3BA7">
              <w:rPr>
                <w:bCs/>
                <w:i/>
                <w:sz w:val="16"/>
                <w:szCs w:val="16"/>
                <w:u w:val="single"/>
                <w:lang w:val="fr-FR" w:eastAsia="it-IT"/>
              </w:rPr>
              <w:t>homologation</w:t>
            </w:r>
            <w:r w:rsidR="000E0864">
              <w:rPr>
                <w:bCs/>
                <w:i/>
                <w:sz w:val="16"/>
                <w:szCs w:val="16"/>
                <w:lang w:val="fr-FR" w:eastAsia="it-IT"/>
              </w:rPr>
              <w:t> »</w:t>
            </w:r>
            <w:r w:rsidRPr="005001D5">
              <w:rPr>
                <w:bCs/>
                <w:i/>
                <w:sz w:val="16"/>
                <w:szCs w:val="16"/>
                <w:lang w:val="fr-FR" w:eastAsia="it-IT"/>
              </w:rPr>
              <w:t xml:space="preserve"> incorporant la série d</w:t>
            </w:r>
            <w:r>
              <w:rPr>
                <w:bCs/>
                <w:i/>
                <w:sz w:val="16"/>
                <w:szCs w:val="16"/>
                <w:lang w:val="fr-FR" w:eastAsia="it-IT"/>
              </w:rPr>
              <w:t>’</w:t>
            </w:r>
            <w:r w:rsidRPr="005001D5">
              <w:rPr>
                <w:bCs/>
                <w:i/>
                <w:sz w:val="16"/>
                <w:szCs w:val="16"/>
                <w:lang w:val="fr-FR" w:eastAsia="it-IT"/>
              </w:rPr>
              <w:t xml:space="preserve">amendements </w:t>
            </w:r>
            <w:r w:rsidR="000E0864">
              <w:rPr>
                <w:bCs/>
                <w:i/>
                <w:sz w:val="16"/>
                <w:szCs w:val="16"/>
                <w:lang w:val="fr-FR" w:eastAsia="it-IT"/>
              </w:rPr>
              <w:br/>
            </w:r>
            <w:r w:rsidRPr="005001D5">
              <w:rPr>
                <w:bCs/>
                <w:i/>
                <w:sz w:val="16"/>
                <w:szCs w:val="16"/>
                <w:lang w:val="fr-FR" w:eastAsia="it-IT"/>
              </w:rPr>
              <w:t>dans son premier caractère</w:t>
            </w:r>
            <w:r>
              <w:rPr>
                <w:bCs/>
                <w:i/>
                <w:sz w:val="16"/>
                <w:szCs w:val="16"/>
                <w:lang w:val="fr-FR" w:eastAsia="it-IT"/>
              </w:rPr>
              <w:t xml:space="preserve"> </w:t>
            </w:r>
            <w:r w:rsidR="00AF3CD6">
              <w:rPr>
                <w:bCs/>
                <w:i/>
                <w:sz w:val="16"/>
                <w:szCs w:val="16"/>
                <w:lang w:val="fr-FR" w:eastAsia="it-IT"/>
              </w:rPr>
              <w:t>(</w:t>
            </w:r>
            <w:r w:rsidR="00AF3CD6" w:rsidRPr="005001D5">
              <w:rPr>
                <w:bCs/>
                <w:i/>
                <w:sz w:val="16"/>
                <w:szCs w:val="16"/>
                <w:lang w:val="fr-FR" w:eastAsia="it-IT"/>
              </w:rPr>
              <w:t>le</w:t>
            </w:r>
            <w:r>
              <w:rPr>
                <w:bCs/>
                <w:i/>
                <w:sz w:val="16"/>
                <w:szCs w:val="16"/>
                <w:lang w:val="fr-FR" w:eastAsia="it-IT"/>
              </w:rPr>
              <w:t xml:space="preserve"> chiffre </w:t>
            </w:r>
            <w:r w:rsidR="000E0864">
              <w:rPr>
                <w:bCs/>
                <w:i/>
                <w:sz w:val="16"/>
                <w:szCs w:val="16"/>
                <w:lang w:val="fr-FR" w:eastAsia="it-IT"/>
              </w:rPr>
              <w:t>« </w:t>
            </w:r>
            <w:r w:rsidRPr="005001D5">
              <w:rPr>
                <w:bCs/>
                <w:i/>
                <w:sz w:val="16"/>
                <w:szCs w:val="16"/>
                <w:lang w:val="fr-FR" w:eastAsia="it-IT"/>
              </w:rPr>
              <w:t>2</w:t>
            </w:r>
            <w:r w:rsidR="000E0864">
              <w:rPr>
                <w:bCs/>
                <w:i/>
                <w:sz w:val="16"/>
                <w:szCs w:val="16"/>
                <w:lang w:val="fr-FR" w:eastAsia="it-IT"/>
              </w:rPr>
              <w:t xml:space="preserve"> » </w:t>
            </w:r>
            <w:r>
              <w:rPr>
                <w:bCs/>
                <w:i/>
                <w:sz w:val="16"/>
                <w:szCs w:val="16"/>
                <w:lang w:val="fr-FR" w:eastAsia="it-IT"/>
              </w:rPr>
              <w:t>sert aussi pour l</w:t>
            </w:r>
            <w:r w:rsidR="000E0864">
              <w:rPr>
                <w:bCs/>
                <w:i/>
                <w:sz w:val="16"/>
                <w:szCs w:val="16"/>
                <w:lang w:val="fr-FR" w:eastAsia="it-IT"/>
              </w:rPr>
              <w:t xml:space="preserve">a série 03 </w:t>
            </w:r>
            <w:r w:rsidR="000E0864">
              <w:rPr>
                <w:bCs/>
                <w:i/>
                <w:sz w:val="16"/>
                <w:szCs w:val="16"/>
                <w:lang w:val="fr-FR" w:eastAsia="it-IT"/>
              </w:rPr>
              <w:br/>
              <w:t>dans le Règlement n</w:t>
            </w:r>
            <w:r w:rsidR="000E0864" w:rsidRPr="000E0864">
              <w:rPr>
                <w:bCs/>
                <w:i/>
                <w:sz w:val="16"/>
                <w:szCs w:val="16"/>
                <w:vertAlign w:val="superscript"/>
                <w:lang w:val="fr-FR" w:eastAsia="it-IT"/>
              </w:rPr>
              <w:t>o</w:t>
            </w:r>
            <w:r w:rsidR="000E0864">
              <w:rPr>
                <w:bCs/>
                <w:i/>
                <w:sz w:val="16"/>
                <w:szCs w:val="16"/>
                <w:lang w:val="fr-FR" w:eastAsia="it-IT"/>
              </w:rPr>
              <w:t> </w:t>
            </w:r>
            <w:r>
              <w:rPr>
                <w:bCs/>
                <w:i/>
                <w:sz w:val="16"/>
                <w:szCs w:val="16"/>
                <w:lang w:val="fr-FR" w:eastAsia="it-IT"/>
              </w:rPr>
              <w:t>37)</w:t>
            </w:r>
          </w:p>
        </w:tc>
        <w:tc>
          <w:tcPr>
            <w:tcW w:w="2835" w:type="dxa"/>
            <w:tcBorders>
              <w:bottom w:val="single" w:sz="12" w:space="0" w:color="auto"/>
            </w:tcBorders>
          </w:tcPr>
          <w:p w:rsidR="001119A8" w:rsidRPr="005001D5" w:rsidRDefault="001119A8" w:rsidP="000E0864">
            <w:pPr>
              <w:spacing w:before="80" w:after="80" w:line="200" w:lineRule="exact"/>
              <w:ind w:left="57" w:right="57"/>
              <w:rPr>
                <w:bCs/>
                <w:i/>
                <w:sz w:val="16"/>
                <w:szCs w:val="16"/>
                <w:lang w:val="fr-FR" w:eastAsia="it-IT"/>
              </w:rPr>
            </w:pPr>
            <w:r w:rsidRPr="005001D5">
              <w:rPr>
                <w:bCs/>
                <w:i/>
                <w:sz w:val="16"/>
                <w:szCs w:val="16"/>
                <w:lang w:val="fr-FR" w:eastAsia="it-IT"/>
              </w:rPr>
              <w:t>Numéro d</w:t>
            </w:r>
            <w:r>
              <w:rPr>
                <w:bCs/>
                <w:i/>
                <w:sz w:val="16"/>
                <w:szCs w:val="16"/>
                <w:lang w:val="fr-FR" w:eastAsia="it-IT"/>
              </w:rPr>
              <w:t>’</w:t>
            </w:r>
            <w:r w:rsidRPr="005001D5">
              <w:rPr>
                <w:bCs/>
                <w:i/>
                <w:sz w:val="16"/>
                <w:szCs w:val="16"/>
                <w:lang w:val="fr-FR" w:eastAsia="it-IT"/>
              </w:rPr>
              <w:t xml:space="preserve">homologation avec un éventuel nouveau </w:t>
            </w:r>
            <w:r w:rsidRPr="005001D5">
              <w:rPr>
                <w:bCs/>
                <w:i/>
                <w:sz w:val="16"/>
                <w:szCs w:val="16"/>
                <w:u w:val="single"/>
                <w:lang w:val="fr-FR" w:eastAsia="it-IT"/>
              </w:rPr>
              <w:t>code d</w:t>
            </w:r>
            <w:r>
              <w:rPr>
                <w:bCs/>
                <w:i/>
                <w:sz w:val="16"/>
                <w:szCs w:val="16"/>
                <w:u w:val="single"/>
                <w:lang w:val="fr-FR" w:eastAsia="it-IT"/>
              </w:rPr>
              <w:t>’</w:t>
            </w:r>
            <w:r w:rsidRPr="005001D5">
              <w:rPr>
                <w:bCs/>
                <w:i/>
                <w:sz w:val="16"/>
                <w:szCs w:val="16"/>
                <w:u w:val="single"/>
                <w:lang w:val="fr-FR" w:eastAsia="it-IT"/>
              </w:rPr>
              <w:t>homologation</w:t>
            </w:r>
            <w:r w:rsidRPr="005001D5">
              <w:rPr>
                <w:bCs/>
                <w:i/>
                <w:sz w:val="16"/>
                <w:szCs w:val="16"/>
                <w:lang w:val="fr-FR" w:eastAsia="it-IT"/>
              </w:rPr>
              <w:t xml:space="preserve"> </w:t>
            </w:r>
            <w:r w:rsidR="000E0864">
              <w:rPr>
                <w:bCs/>
                <w:i/>
                <w:sz w:val="16"/>
                <w:szCs w:val="16"/>
                <w:lang w:val="fr-FR" w:eastAsia="it-IT"/>
              </w:rPr>
              <w:br/>
            </w:r>
            <w:r w:rsidRPr="005001D5">
              <w:rPr>
                <w:bCs/>
                <w:i/>
                <w:sz w:val="16"/>
                <w:szCs w:val="16"/>
                <w:lang w:val="fr-FR" w:eastAsia="it-IT"/>
              </w:rPr>
              <w:t>dans la section 3</w:t>
            </w:r>
          </w:p>
        </w:tc>
      </w:tr>
      <w:tr w:rsidR="001119A8" w:rsidRPr="007E3EF6" w:rsidTr="000E0864">
        <w:tc>
          <w:tcPr>
            <w:tcW w:w="1706" w:type="dxa"/>
            <w:tcBorders>
              <w:top w:val="single" w:sz="12" w:space="0" w:color="auto"/>
            </w:tcBorders>
          </w:tcPr>
          <w:p w:rsidR="001119A8" w:rsidRPr="007E3EF6" w:rsidRDefault="001119A8" w:rsidP="000E0864">
            <w:pPr>
              <w:spacing w:before="40" w:after="40" w:line="220" w:lineRule="atLeast"/>
              <w:ind w:left="57" w:right="57"/>
              <w:rPr>
                <w:rFonts w:eastAsia="Times New Roman"/>
                <w:bCs/>
                <w:sz w:val="18"/>
                <w:szCs w:val="18"/>
                <w:lang w:eastAsia="it-IT"/>
              </w:rPr>
            </w:pPr>
            <w:r w:rsidRPr="007E3EF6">
              <w:rPr>
                <w:b/>
                <w:bCs/>
                <w:sz w:val="18"/>
                <w:szCs w:val="18"/>
                <w:lang w:eastAsia="it-IT"/>
              </w:rPr>
              <w:t>37</w:t>
            </w:r>
          </w:p>
        </w:tc>
        <w:tc>
          <w:tcPr>
            <w:tcW w:w="2835" w:type="dxa"/>
            <w:tcBorders>
              <w:top w:val="single" w:sz="12" w:space="0" w:color="auto"/>
            </w:tcBorders>
          </w:tcPr>
          <w:p w:rsidR="001119A8" w:rsidRPr="007E3EF6" w:rsidRDefault="001119A8" w:rsidP="000E0864">
            <w:pPr>
              <w:spacing w:before="40" w:after="40" w:line="220" w:lineRule="atLeast"/>
              <w:ind w:left="57" w:right="57"/>
              <w:rPr>
                <w:rFonts w:eastAsia="Times New Roman"/>
                <w:bCs/>
                <w:sz w:val="18"/>
                <w:szCs w:val="18"/>
                <w:lang w:eastAsia="it-IT"/>
              </w:rPr>
            </w:pPr>
            <w:r w:rsidRPr="007E3EF6">
              <w:rPr>
                <w:bCs/>
                <w:sz w:val="18"/>
                <w:szCs w:val="18"/>
                <w:u w:val="single"/>
                <w:lang w:eastAsia="it-IT"/>
              </w:rPr>
              <w:t>2A01</w:t>
            </w:r>
          </w:p>
        </w:tc>
        <w:tc>
          <w:tcPr>
            <w:tcW w:w="2835" w:type="dxa"/>
            <w:tcBorders>
              <w:top w:val="single" w:sz="12" w:space="0" w:color="auto"/>
            </w:tcBorders>
          </w:tcPr>
          <w:p w:rsidR="001119A8" w:rsidRPr="007E3EF6" w:rsidRDefault="001119A8" w:rsidP="000E0864">
            <w:pPr>
              <w:spacing w:before="40" w:after="40" w:line="220" w:lineRule="atLeast"/>
              <w:ind w:left="57" w:right="57"/>
              <w:rPr>
                <w:bCs/>
                <w:sz w:val="18"/>
                <w:szCs w:val="18"/>
                <w:lang w:eastAsia="it-IT"/>
              </w:rPr>
            </w:pPr>
            <w:r w:rsidRPr="007E3EF6">
              <w:rPr>
                <w:bCs/>
                <w:sz w:val="18"/>
                <w:szCs w:val="18"/>
                <w:lang w:eastAsia="it-IT"/>
              </w:rPr>
              <w:t>E4*37R03/47*</w:t>
            </w:r>
            <w:r w:rsidRPr="007E3EF6">
              <w:rPr>
                <w:bCs/>
                <w:sz w:val="18"/>
                <w:szCs w:val="18"/>
                <w:u w:val="single"/>
                <w:lang w:eastAsia="it-IT"/>
              </w:rPr>
              <w:t>0001</w:t>
            </w:r>
            <w:r w:rsidRPr="007E3EF6">
              <w:rPr>
                <w:bCs/>
                <w:sz w:val="18"/>
                <w:szCs w:val="18"/>
                <w:lang w:eastAsia="it-IT"/>
              </w:rPr>
              <w:t>*00</w:t>
            </w:r>
          </w:p>
        </w:tc>
      </w:tr>
      <w:tr w:rsidR="001119A8" w:rsidRPr="007E3EF6" w:rsidTr="000E0864">
        <w:tc>
          <w:tcPr>
            <w:tcW w:w="1706" w:type="dxa"/>
            <w:tcBorders>
              <w:bottom w:val="single" w:sz="4" w:space="0" w:color="auto"/>
            </w:tcBorders>
          </w:tcPr>
          <w:p w:rsidR="001119A8" w:rsidRPr="007E3EF6" w:rsidRDefault="001119A8" w:rsidP="000E0864">
            <w:pPr>
              <w:spacing w:before="40" w:after="40" w:line="220" w:lineRule="atLeast"/>
              <w:ind w:left="57" w:right="57"/>
              <w:rPr>
                <w:rFonts w:eastAsia="Times New Roman"/>
                <w:bCs/>
                <w:sz w:val="18"/>
                <w:szCs w:val="18"/>
                <w:lang w:eastAsia="it-IT"/>
              </w:rPr>
            </w:pPr>
            <w:r w:rsidRPr="007E3EF6">
              <w:rPr>
                <w:b/>
                <w:bCs/>
                <w:sz w:val="18"/>
                <w:szCs w:val="18"/>
                <w:lang w:eastAsia="it-IT"/>
              </w:rPr>
              <w:t>99</w:t>
            </w:r>
          </w:p>
        </w:tc>
        <w:tc>
          <w:tcPr>
            <w:tcW w:w="2835" w:type="dxa"/>
            <w:tcBorders>
              <w:bottom w:val="single" w:sz="4" w:space="0" w:color="auto"/>
            </w:tcBorders>
          </w:tcPr>
          <w:p w:rsidR="001119A8" w:rsidRPr="007E3EF6" w:rsidRDefault="001119A8" w:rsidP="000E0864">
            <w:pPr>
              <w:spacing w:before="40" w:after="40" w:line="220" w:lineRule="atLeast"/>
              <w:ind w:left="57" w:right="57"/>
              <w:rPr>
                <w:rFonts w:eastAsia="Times New Roman"/>
                <w:bCs/>
                <w:sz w:val="18"/>
                <w:szCs w:val="18"/>
                <w:lang w:eastAsia="it-IT"/>
              </w:rPr>
            </w:pPr>
            <w:r w:rsidRPr="007E3EF6">
              <w:rPr>
                <w:bCs/>
                <w:sz w:val="18"/>
                <w:szCs w:val="18"/>
                <w:u w:val="single"/>
                <w:lang w:eastAsia="it-IT"/>
              </w:rPr>
              <w:t>0A01</w:t>
            </w:r>
          </w:p>
        </w:tc>
        <w:tc>
          <w:tcPr>
            <w:tcW w:w="2835" w:type="dxa"/>
            <w:tcBorders>
              <w:bottom w:val="single" w:sz="4" w:space="0" w:color="auto"/>
            </w:tcBorders>
          </w:tcPr>
          <w:p w:rsidR="001119A8" w:rsidRPr="007E3EF6" w:rsidRDefault="001119A8" w:rsidP="000E0864">
            <w:pPr>
              <w:spacing w:before="40" w:after="40" w:line="220" w:lineRule="atLeast"/>
              <w:ind w:left="57" w:right="57"/>
              <w:rPr>
                <w:bCs/>
                <w:sz w:val="18"/>
                <w:szCs w:val="18"/>
                <w:lang w:eastAsia="it-IT"/>
              </w:rPr>
            </w:pPr>
            <w:r w:rsidRPr="007E3EF6">
              <w:rPr>
                <w:bCs/>
                <w:sz w:val="18"/>
                <w:szCs w:val="18"/>
                <w:lang w:eastAsia="it-IT"/>
              </w:rPr>
              <w:t>E4*99R00/14*</w:t>
            </w:r>
            <w:r w:rsidRPr="007E3EF6">
              <w:rPr>
                <w:bCs/>
                <w:sz w:val="18"/>
                <w:szCs w:val="18"/>
                <w:u w:val="single"/>
                <w:lang w:eastAsia="it-IT"/>
              </w:rPr>
              <w:t>0001</w:t>
            </w:r>
            <w:r w:rsidRPr="007E3EF6">
              <w:rPr>
                <w:bCs/>
                <w:sz w:val="18"/>
                <w:szCs w:val="18"/>
                <w:lang w:eastAsia="it-IT"/>
              </w:rPr>
              <w:t>*00</w:t>
            </w:r>
          </w:p>
        </w:tc>
      </w:tr>
      <w:tr w:rsidR="001119A8" w:rsidRPr="007E3EF6" w:rsidTr="000E0864">
        <w:tc>
          <w:tcPr>
            <w:tcW w:w="1706" w:type="dxa"/>
            <w:tcBorders>
              <w:bottom w:val="single" w:sz="12" w:space="0" w:color="auto"/>
            </w:tcBorders>
          </w:tcPr>
          <w:p w:rsidR="001119A8" w:rsidRPr="007E3EF6" w:rsidRDefault="001119A8" w:rsidP="000E0864">
            <w:pPr>
              <w:spacing w:before="40" w:after="40" w:line="220" w:lineRule="atLeast"/>
              <w:ind w:left="57" w:right="57"/>
              <w:rPr>
                <w:rFonts w:eastAsia="Times New Roman"/>
                <w:bCs/>
                <w:sz w:val="18"/>
                <w:szCs w:val="18"/>
                <w:lang w:eastAsia="it-IT"/>
              </w:rPr>
            </w:pPr>
            <w:r w:rsidRPr="007E3EF6">
              <w:rPr>
                <w:b/>
                <w:bCs/>
                <w:sz w:val="18"/>
                <w:szCs w:val="18"/>
                <w:lang w:eastAsia="it-IT"/>
              </w:rPr>
              <w:t>128</w:t>
            </w:r>
          </w:p>
        </w:tc>
        <w:tc>
          <w:tcPr>
            <w:tcW w:w="2835" w:type="dxa"/>
            <w:tcBorders>
              <w:bottom w:val="single" w:sz="12" w:space="0" w:color="auto"/>
            </w:tcBorders>
          </w:tcPr>
          <w:p w:rsidR="001119A8" w:rsidRPr="007E3EF6" w:rsidRDefault="001119A8" w:rsidP="000E0864">
            <w:pPr>
              <w:spacing w:before="40" w:after="40" w:line="220" w:lineRule="atLeast"/>
              <w:ind w:left="57" w:right="57"/>
              <w:rPr>
                <w:rFonts w:eastAsia="Times New Roman"/>
                <w:bCs/>
                <w:sz w:val="18"/>
                <w:szCs w:val="18"/>
                <w:lang w:eastAsia="it-IT"/>
              </w:rPr>
            </w:pPr>
            <w:r w:rsidRPr="007E3EF6">
              <w:rPr>
                <w:bCs/>
                <w:sz w:val="18"/>
                <w:szCs w:val="18"/>
                <w:u w:val="single"/>
                <w:lang w:eastAsia="it-IT"/>
              </w:rPr>
              <w:t>0A01</w:t>
            </w:r>
          </w:p>
        </w:tc>
        <w:tc>
          <w:tcPr>
            <w:tcW w:w="2835" w:type="dxa"/>
            <w:tcBorders>
              <w:bottom w:val="single" w:sz="12" w:space="0" w:color="auto"/>
            </w:tcBorders>
          </w:tcPr>
          <w:p w:rsidR="001119A8" w:rsidRPr="007E3EF6" w:rsidRDefault="001119A8" w:rsidP="000E0864">
            <w:pPr>
              <w:spacing w:before="40" w:after="40" w:line="220" w:lineRule="atLeast"/>
              <w:ind w:left="57" w:right="57"/>
              <w:rPr>
                <w:bCs/>
                <w:sz w:val="18"/>
                <w:szCs w:val="18"/>
                <w:lang w:eastAsia="it-IT"/>
              </w:rPr>
            </w:pPr>
            <w:r w:rsidRPr="007E3EF6">
              <w:rPr>
                <w:bCs/>
                <w:sz w:val="18"/>
                <w:szCs w:val="18"/>
                <w:lang w:eastAsia="it-IT"/>
              </w:rPr>
              <w:t>E4*128R00/08*</w:t>
            </w:r>
            <w:r w:rsidRPr="007E3EF6">
              <w:rPr>
                <w:bCs/>
                <w:sz w:val="18"/>
                <w:szCs w:val="18"/>
                <w:u w:val="single"/>
                <w:lang w:eastAsia="it-IT"/>
              </w:rPr>
              <w:t>0001</w:t>
            </w:r>
            <w:r w:rsidRPr="007E3EF6">
              <w:rPr>
                <w:bCs/>
                <w:sz w:val="18"/>
                <w:szCs w:val="18"/>
                <w:lang w:eastAsia="it-IT"/>
              </w:rPr>
              <w:t>*00</w:t>
            </w:r>
          </w:p>
        </w:tc>
      </w:tr>
    </w:tbl>
    <w:p w:rsidR="001119A8" w:rsidRPr="005001D5" w:rsidRDefault="001119A8" w:rsidP="000E0864">
      <w:pPr>
        <w:pStyle w:val="SingleTxtG"/>
        <w:spacing w:before="240"/>
        <w:rPr>
          <w:lang w:val="fr-FR"/>
        </w:rPr>
      </w:pPr>
      <w:r w:rsidRPr="005001D5">
        <w:rPr>
          <w:lang w:val="fr-FR"/>
        </w:rPr>
        <w:t>11.</w:t>
      </w:r>
      <w:r w:rsidR="000E0864">
        <w:rPr>
          <w:lang w:val="fr-FR"/>
        </w:rPr>
        <w:tab/>
      </w:r>
      <w:r w:rsidRPr="005001D5">
        <w:rPr>
          <w:lang w:val="fr-FR"/>
        </w:rPr>
        <w:t>Bien que</w:t>
      </w:r>
      <w:r>
        <w:rPr>
          <w:lang w:val="fr-FR"/>
        </w:rPr>
        <w:t>,</w:t>
      </w:r>
      <w:r w:rsidRPr="005001D5">
        <w:rPr>
          <w:lang w:val="fr-FR"/>
        </w:rPr>
        <w:t xml:space="preserve"> contrairement à l</w:t>
      </w:r>
      <w:r>
        <w:rPr>
          <w:lang w:val="fr-FR"/>
        </w:rPr>
        <w:t>’</w:t>
      </w:r>
      <w:r w:rsidRPr="005001D5">
        <w:rPr>
          <w:lang w:val="fr-FR"/>
        </w:rPr>
        <w:t xml:space="preserve">actuel </w:t>
      </w:r>
      <w:r>
        <w:rPr>
          <w:lang w:val="fr-FR"/>
        </w:rPr>
        <w:t>code</w:t>
      </w:r>
      <w:r w:rsidRPr="005001D5">
        <w:rPr>
          <w:lang w:val="fr-FR"/>
        </w:rPr>
        <w:t xml:space="preserve"> d</w:t>
      </w:r>
      <w:r>
        <w:rPr>
          <w:lang w:val="fr-FR"/>
        </w:rPr>
        <w:t>’</w:t>
      </w:r>
      <w:r w:rsidRPr="005001D5">
        <w:rPr>
          <w:lang w:val="fr-FR"/>
        </w:rPr>
        <w:t>homologation</w:t>
      </w:r>
      <w:r>
        <w:rPr>
          <w:lang w:val="fr-FR"/>
        </w:rPr>
        <w:t>,</w:t>
      </w:r>
      <w:r w:rsidRPr="005001D5">
        <w:rPr>
          <w:lang w:val="fr-FR"/>
        </w:rPr>
        <w:t xml:space="preserve"> la section</w:t>
      </w:r>
      <w:r w:rsidR="000E0864">
        <w:rPr>
          <w:lang w:val="fr-FR"/>
        </w:rPr>
        <w:t> </w:t>
      </w:r>
      <w:r w:rsidRPr="005001D5">
        <w:rPr>
          <w:lang w:val="fr-FR"/>
        </w:rPr>
        <w:t>3 du numéro d</w:t>
      </w:r>
      <w:r>
        <w:rPr>
          <w:lang w:val="fr-FR"/>
        </w:rPr>
        <w:t>’</w:t>
      </w:r>
      <w:r w:rsidRPr="005001D5">
        <w:rPr>
          <w:lang w:val="fr-FR"/>
        </w:rPr>
        <w:t>homologation ne comp</w:t>
      </w:r>
      <w:r>
        <w:rPr>
          <w:lang w:val="fr-FR"/>
        </w:rPr>
        <w:t>o</w:t>
      </w:r>
      <w:r w:rsidRPr="005001D5">
        <w:rPr>
          <w:lang w:val="fr-FR"/>
        </w:rPr>
        <w:t xml:space="preserve">rte aucune </w:t>
      </w:r>
      <w:r>
        <w:rPr>
          <w:lang w:val="fr-FR"/>
        </w:rPr>
        <w:t>majuscule, une analyse a montré que</w:t>
      </w:r>
      <w:r w:rsidRPr="005001D5">
        <w:rPr>
          <w:lang w:val="fr-FR"/>
        </w:rPr>
        <w:t xml:space="preserve"> des permutations devraient être possibles.</w:t>
      </w:r>
    </w:p>
    <w:p w:rsidR="001119A8" w:rsidRDefault="001119A8" w:rsidP="0046703B">
      <w:pPr>
        <w:pStyle w:val="SingleTxtG"/>
        <w:rPr>
          <w:lang w:val="fr-FR"/>
        </w:rPr>
      </w:pPr>
      <w:r w:rsidRPr="005001D5">
        <w:rPr>
          <w:lang w:val="fr-FR"/>
        </w:rPr>
        <w:t>12.</w:t>
      </w:r>
      <w:r>
        <w:rPr>
          <w:lang w:val="fr-FR"/>
        </w:rPr>
        <w:tab/>
        <w:t xml:space="preserve">Cependant, il se peut que les nouveaux codes d’homologation proposés soient les mêmes que ceux déjà attribués (sans majuscule, même si les majuscules sont autorisées). Afin d’éviter cet inconvénient, tout numéro d’homologation comportant une </w:t>
      </w:r>
      <w:r w:rsidR="000E0864">
        <w:rPr>
          <w:lang w:val="fr-FR"/>
        </w:rPr>
        <w:t>s</w:t>
      </w:r>
      <w:r>
        <w:rPr>
          <w:lang w:val="fr-FR"/>
        </w:rPr>
        <w:t>ection</w:t>
      </w:r>
      <w:r w:rsidR="002E6779">
        <w:rPr>
          <w:lang w:val="fr-FR"/>
        </w:rPr>
        <w:t> </w:t>
      </w:r>
      <w:r>
        <w:rPr>
          <w:lang w:val="fr-FR"/>
        </w:rPr>
        <w:t>3 constituée d’un code d’homologation déjà attribué est exclu si une partie contractante a déjà attribué ce code.</w:t>
      </w:r>
    </w:p>
    <w:p w:rsidR="000E0864" w:rsidRPr="002E6779" w:rsidRDefault="002E6779" w:rsidP="002E677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E0864" w:rsidRPr="002E6779" w:rsidSect="008B7FBE">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4E" w:rsidRDefault="00860C4E" w:rsidP="00F95C08">
      <w:pPr>
        <w:spacing w:line="240" w:lineRule="auto"/>
      </w:pPr>
    </w:p>
  </w:endnote>
  <w:endnote w:type="continuationSeparator" w:id="0">
    <w:p w:rsidR="00860C4E" w:rsidRPr="00AC3823" w:rsidRDefault="00860C4E" w:rsidP="00AC3823">
      <w:pPr>
        <w:pStyle w:val="Footer"/>
      </w:pPr>
    </w:p>
  </w:endnote>
  <w:endnote w:type="continuationNotice" w:id="1">
    <w:p w:rsidR="00860C4E" w:rsidRDefault="00860C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4E" w:rsidRPr="008B7FBE" w:rsidRDefault="00860C4E" w:rsidP="008B7FBE">
    <w:pPr>
      <w:pStyle w:val="Footer"/>
      <w:tabs>
        <w:tab w:val="right" w:pos="9638"/>
      </w:tabs>
    </w:pPr>
    <w:r w:rsidRPr="008B7FBE">
      <w:rPr>
        <w:b/>
        <w:sz w:val="18"/>
      </w:rPr>
      <w:fldChar w:fldCharType="begin"/>
    </w:r>
    <w:r w:rsidRPr="008B7FBE">
      <w:rPr>
        <w:b/>
        <w:sz w:val="18"/>
      </w:rPr>
      <w:instrText xml:space="preserve"> PAGE  \* MERGEFORMAT </w:instrText>
    </w:r>
    <w:r w:rsidRPr="008B7FBE">
      <w:rPr>
        <w:b/>
        <w:sz w:val="18"/>
      </w:rPr>
      <w:fldChar w:fldCharType="separate"/>
    </w:r>
    <w:r w:rsidR="00C80DB0">
      <w:rPr>
        <w:b/>
        <w:noProof/>
        <w:sz w:val="18"/>
      </w:rPr>
      <w:t>2</w:t>
    </w:r>
    <w:r w:rsidRPr="008B7FBE">
      <w:rPr>
        <w:b/>
        <w:sz w:val="18"/>
      </w:rPr>
      <w:fldChar w:fldCharType="end"/>
    </w:r>
    <w:r>
      <w:rPr>
        <w:b/>
        <w:sz w:val="18"/>
      </w:rPr>
      <w:tab/>
    </w:r>
    <w:r>
      <w:t>GE.18-01875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4E" w:rsidRPr="008B7FBE" w:rsidRDefault="00860C4E" w:rsidP="008B7FBE">
    <w:pPr>
      <w:pStyle w:val="Footer"/>
      <w:tabs>
        <w:tab w:val="right" w:pos="9638"/>
      </w:tabs>
      <w:rPr>
        <w:b/>
        <w:sz w:val="18"/>
      </w:rPr>
    </w:pPr>
    <w:r>
      <w:t>GE.18-01875</w:t>
    </w:r>
    <w:r>
      <w:tab/>
    </w:r>
    <w:r w:rsidRPr="008B7FBE">
      <w:rPr>
        <w:b/>
        <w:sz w:val="18"/>
      </w:rPr>
      <w:fldChar w:fldCharType="begin"/>
    </w:r>
    <w:r w:rsidRPr="008B7FBE">
      <w:rPr>
        <w:b/>
        <w:sz w:val="18"/>
      </w:rPr>
      <w:instrText xml:space="preserve"> PAGE  \* MERGEFORMAT </w:instrText>
    </w:r>
    <w:r w:rsidRPr="008B7FBE">
      <w:rPr>
        <w:b/>
        <w:sz w:val="18"/>
      </w:rPr>
      <w:fldChar w:fldCharType="separate"/>
    </w:r>
    <w:r w:rsidR="00C80DB0">
      <w:rPr>
        <w:b/>
        <w:noProof/>
        <w:sz w:val="18"/>
      </w:rPr>
      <w:t>7</w:t>
    </w:r>
    <w:r w:rsidRPr="008B7F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4E" w:rsidRPr="008B7FBE" w:rsidRDefault="00860C4E" w:rsidP="008B7FB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18-01875  (F)    060318    170418</w:t>
    </w:r>
    <w:r>
      <w:rPr>
        <w:sz w:val="20"/>
      </w:rPr>
      <w:br/>
    </w:r>
    <w:r w:rsidRPr="008B7FBE">
      <w:rPr>
        <w:rFonts w:ascii="C39T30Lfz" w:hAnsi="C39T30Lfz"/>
        <w:sz w:val="56"/>
      </w:rPr>
      <w:t></w:t>
    </w:r>
    <w:r w:rsidRPr="008B7FBE">
      <w:rPr>
        <w:rFonts w:ascii="C39T30Lfz" w:hAnsi="C39T30Lfz"/>
        <w:sz w:val="56"/>
      </w:rPr>
      <w:t></w:t>
    </w:r>
    <w:r w:rsidRPr="008B7FBE">
      <w:rPr>
        <w:rFonts w:ascii="C39T30Lfz" w:hAnsi="C39T30Lfz"/>
        <w:sz w:val="56"/>
      </w:rPr>
      <w:t></w:t>
    </w:r>
    <w:r w:rsidRPr="008B7FBE">
      <w:rPr>
        <w:rFonts w:ascii="C39T30Lfz" w:hAnsi="C39T30Lfz"/>
        <w:sz w:val="56"/>
      </w:rPr>
      <w:t></w:t>
    </w:r>
    <w:r w:rsidRPr="008B7FBE">
      <w:rPr>
        <w:rFonts w:ascii="C39T30Lfz" w:hAnsi="C39T30Lfz"/>
        <w:sz w:val="56"/>
      </w:rPr>
      <w:t></w:t>
    </w:r>
    <w:r w:rsidRPr="008B7FBE">
      <w:rPr>
        <w:rFonts w:ascii="C39T30Lfz" w:hAnsi="C39T30Lfz"/>
        <w:sz w:val="56"/>
      </w:rPr>
      <w:t></w:t>
    </w:r>
    <w:r w:rsidRPr="008B7FBE">
      <w:rPr>
        <w:rFonts w:ascii="C39T30Lfz" w:hAnsi="C39T30Lfz"/>
        <w:sz w:val="56"/>
      </w:rPr>
      <w:t></w:t>
    </w:r>
    <w:r w:rsidRPr="008B7FBE">
      <w:rPr>
        <w:rFonts w:ascii="C39T30Lfz" w:hAnsi="C39T30Lfz"/>
        <w:sz w:val="56"/>
      </w:rPr>
      <w:t></w:t>
    </w:r>
    <w:r w:rsidRPr="008B7FB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4E" w:rsidRPr="00AC3823" w:rsidRDefault="00860C4E" w:rsidP="00AC3823">
      <w:pPr>
        <w:pStyle w:val="Footer"/>
        <w:tabs>
          <w:tab w:val="right" w:pos="2155"/>
        </w:tabs>
        <w:spacing w:after="80" w:line="240" w:lineRule="atLeast"/>
        <w:ind w:left="680"/>
        <w:rPr>
          <w:u w:val="single"/>
        </w:rPr>
      </w:pPr>
      <w:r>
        <w:rPr>
          <w:u w:val="single"/>
        </w:rPr>
        <w:tab/>
      </w:r>
    </w:p>
  </w:footnote>
  <w:footnote w:type="continuationSeparator" w:id="0">
    <w:p w:rsidR="00860C4E" w:rsidRPr="00AC3823" w:rsidRDefault="00860C4E" w:rsidP="00AC3823">
      <w:pPr>
        <w:pStyle w:val="Footer"/>
        <w:tabs>
          <w:tab w:val="right" w:pos="2155"/>
        </w:tabs>
        <w:spacing w:after="80" w:line="240" w:lineRule="atLeast"/>
        <w:ind w:left="680"/>
        <w:rPr>
          <w:u w:val="single"/>
        </w:rPr>
      </w:pPr>
      <w:r>
        <w:rPr>
          <w:u w:val="single"/>
        </w:rPr>
        <w:tab/>
      </w:r>
    </w:p>
  </w:footnote>
  <w:footnote w:type="continuationNotice" w:id="1">
    <w:p w:rsidR="00860C4E" w:rsidRPr="00AC3823" w:rsidRDefault="00860C4E">
      <w:pPr>
        <w:spacing w:line="240" w:lineRule="auto"/>
        <w:rPr>
          <w:sz w:val="2"/>
          <w:szCs w:val="2"/>
        </w:rPr>
      </w:pPr>
    </w:p>
  </w:footnote>
  <w:footnote w:id="2">
    <w:p w:rsidR="00860C4E" w:rsidRPr="0074795A" w:rsidRDefault="00860C4E">
      <w:pPr>
        <w:pStyle w:val="FootnoteText"/>
      </w:pPr>
      <w:r>
        <w:rPr>
          <w:rStyle w:val="FootnoteReference"/>
        </w:rPr>
        <w:tab/>
      </w:r>
      <w:r w:rsidRPr="0074795A">
        <w:rPr>
          <w:rStyle w:val="FootnoteReference"/>
          <w:sz w:val="20"/>
          <w:vertAlign w:val="baseline"/>
        </w:rPr>
        <w:t>*</w:t>
      </w:r>
      <w:r>
        <w:rPr>
          <w:rStyle w:val="FootnoteReference"/>
          <w:sz w:val="20"/>
          <w:vertAlign w:val="baseline"/>
        </w:rPr>
        <w:tab/>
      </w:r>
      <w:r>
        <w:t>Conformément au programme de travail du Comité des transports intérieurs pour la période 2014</w:t>
      </w:r>
      <w: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4E" w:rsidRPr="008B7FBE" w:rsidRDefault="00C80DB0">
    <w:pPr>
      <w:pStyle w:val="Header"/>
    </w:pPr>
    <w:r>
      <w:fldChar w:fldCharType="begin"/>
    </w:r>
    <w:r>
      <w:instrText xml:space="preserve"> TITLE  \* MERGEFORMAT </w:instrText>
    </w:r>
    <w:r>
      <w:fldChar w:fldCharType="separate"/>
    </w:r>
    <w:r w:rsidR="001056D8">
      <w:t>ECE/TRANS/WP.29/GRE/2018/21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4E" w:rsidRPr="008B7FBE" w:rsidRDefault="00C80DB0" w:rsidP="008B7FBE">
    <w:pPr>
      <w:pStyle w:val="Header"/>
      <w:jc w:val="right"/>
    </w:pPr>
    <w:r>
      <w:fldChar w:fldCharType="begin"/>
    </w:r>
    <w:r>
      <w:instrText xml:space="preserve"> TITLE  \* MERGEFORMAT </w:instrText>
    </w:r>
    <w:r>
      <w:fldChar w:fldCharType="separate"/>
    </w:r>
    <w:r w:rsidR="001056D8">
      <w:t>ECE/TRANS/WP.29/GRE/2018/21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84"/>
    <w:rsid w:val="00017F94"/>
    <w:rsid w:val="00023842"/>
    <w:rsid w:val="000334F9"/>
    <w:rsid w:val="00045FEB"/>
    <w:rsid w:val="00052AFB"/>
    <w:rsid w:val="0007796D"/>
    <w:rsid w:val="000B7790"/>
    <w:rsid w:val="000E0864"/>
    <w:rsid w:val="000E1075"/>
    <w:rsid w:val="001056D8"/>
    <w:rsid w:val="001119A8"/>
    <w:rsid w:val="00111F2F"/>
    <w:rsid w:val="001157CD"/>
    <w:rsid w:val="0014365E"/>
    <w:rsid w:val="00143C66"/>
    <w:rsid w:val="00160D1C"/>
    <w:rsid w:val="00176178"/>
    <w:rsid w:val="001F3553"/>
    <w:rsid w:val="001F525A"/>
    <w:rsid w:val="00223272"/>
    <w:rsid w:val="0024779E"/>
    <w:rsid w:val="00252484"/>
    <w:rsid w:val="00257168"/>
    <w:rsid w:val="002744B8"/>
    <w:rsid w:val="002832AC"/>
    <w:rsid w:val="002C2DD5"/>
    <w:rsid w:val="002D7C93"/>
    <w:rsid w:val="002E6779"/>
    <w:rsid w:val="00305801"/>
    <w:rsid w:val="003903C5"/>
    <w:rsid w:val="003916DE"/>
    <w:rsid w:val="00431B75"/>
    <w:rsid w:val="00441C3B"/>
    <w:rsid w:val="00446FE5"/>
    <w:rsid w:val="00452396"/>
    <w:rsid w:val="00466211"/>
    <w:rsid w:val="0046703B"/>
    <w:rsid w:val="004808B0"/>
    <w:rsid w:val="004837D8"/>
    <w:rsid w:val="00490AE5"/>
    <w:rsid w:val="004E468C"/>
    <w:rsid w:val="004F2DF7"/>
    <w:rsid w:val="00540723"/>
    <w:rsid w:val="00540FEF"/>
    <w:rsid w:val="005444D3"/>
    <w:rsid w:val="005505B7"/>
    <w:rsid w:val="00573BE5"/>
    <w:rsid w:val="00586ED3"/>
    <w:rsid w:val="00596AA9"/>
    <w:rsid w:val="005F6CB5"/>
    <w:rsid w:val="006123FE"/>
    <w:rsid w:val="006E30E9"/>
    <w:rsid w:val="00705580"/>
    <w:rsid w:val="0071601D"/>
    <w:rsid w:val="0074795A"/>
    <w:rsid w:val="007A62E6"/>
    <w:rsid w:val="007F20FA"/>
    <w:rsid w:val="0080684C"/>
    <w:rsid w:val="00840302"/>
    <w:rsid w:val="00860C4E"/>
    <w:rsid w:val="00871C75"/>
    <w:rsid w:val="008776DC"/>
    <w:rsid w:val="008A25A6"/>
    <w:rsid w:val="008A5552"/>
    <w:rsid w:val="008B7FBE"/>
    <w:rsid w:val="008C46AB"/>
    <w:rsid w:val="00911DFE"/>
    <w:rsid w:val="009446C0"/>
    <w:rsid w:val="00944FFE"/>
    <w:rsid w:val="009705C8"/>
    <w:rsid w:val="00993F57"/>
    <w:rsid w:val="009C1CF4"/>
    <w:rsid w:val="009E2A65"/>
    <w:rsid w:val="009E6AE5"/>
    <w:rsid w:val="009F6B74"/>
    <w:rsid w:val="00A30353"/>
    <w:rsid w:val="00AC3823"/>
    <w:rsid w:val="00AE323C"/>
    <w:rsid w:val="00AF0CB5"/>
    <w:rsid w:val="00AF3CD6"/>
    <w:rsid w:val="00B00181"/>
    <w:rsid w:val="00B00B0D"/>
    <w:rsid w:val="00B06986"/>
    <w:rsid w:val="00B765F7"/>
    <w:rsid w:val="00B7735F"/>
    <w:rsid w:val="00BA0CA9"/>
    <w:rsid w:val="00C02897"/>
    <w:rsid w:val="00C6044C"/>
    <w:rsid w:val="00C80DB0"/>
    <w:rsid w:val="00C87A09"/>
    <w:rsid w:val="00C97039"/>
    <w:rsid w:val="00D3439C"/>
    <w:rsid w:val="00D7189A"/>
    <w:rsid w:val="00DA79F8"/>
    <w:rsid w:val="00DB1831"/>
    <w:rsid w:val="00DD3BFD"/>
    <w:rsid w:val="00DD5152"/>
    <w:rsid w:val="00DF6678"/>
    <w:rsid w:val="00E0299A"/>
    <w:rsid w:val="00E2126F"/>
    <w:rsid w:val="00E33132"/>
    <w:rsid w:val="00E769C4"/>
    <w:rsid w:val="00E85C74"/>
    <w:rsid w:val="00EA6547"/>
    <w:rsid w:val="00EC305F"/>
    <w:rsid w:val="00ED1A9A"/>
    <w:rsid w:val="00EE5C92"/>
    <w:rsid w:val="00EF2E22"/>
    <w:rsid w:val="00F0776E"/>
    <w:rsid w:val="00F35BAF"/>
    <w:rsid w:val="00F660DF"/>
    <w:rsid w:val="00F82585"/>
    <w:rsid w:val="00F94664"/>
    <w:rsid w:val="00F9573C"/>
    <w:rsid w:val="00F95C08"/>
    <w:rsid w:val="00FB1673"/>
    <w:rsid w:val="00FD77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ED4D69-C0DA-42AA-AE96-4926BB9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5D22-BCA7-46C1-A6A2-8EBA1951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12181</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ECE/TRANS/WP.29/GRE/2018/21</vt:lpstr>
      <vt:lpstr>ECE/TRANS/WP.29/GRE/2018/21</vt:lpstr>
    </vt:vector>
  </TitlesOfParts>
  <Company>DCM</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ECE/TRANS/WP.29/GRE/2018/21</dc:title>
  <dc:subject/>
  <dc:creator>Christine  CHAUTAGNAT</dc:creator>
  <cp:keywords/>
  <cp:lastModifiedBy>Benedicte Boudol</cp:lastModifiedBy>
  <cp:revision>2</cp:revision>
  <cp:lastPrinted>2018-04-17T11:28:00Z</cp:lastPrinted>
  <dcterms:created xsi:type="dcterms:W3CDTF">2018-04-17T13:54:00Z</dcterms:created>
  <dcterms:modified xsi:type="dcterms:W3CDTF">2018-04-17T13:54:00Z</dcterms:modified>
</cp:coreProperties>
</file>