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04AB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04ABA" w:rsidP="00704ABA">
            <w:pPr>
              <w:jc w:val="right"/>
            </w:pPr>
            <w:r w:rsidRPr="00704ABA">
              <w:rPr>
                <w:sz w:val="40"/>
              </w:rPr>
              <w:t>ECE</w:t>
            </w:r>
            <w:r>
              <w:t>/TRANS/WP.29/GRE/2018/15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04ABA" w:rsidP="00C97039">
            <w:pPr>
              <w:spacing w:before="240"/>
            </w:pPr>
            <w:r>
              <w:t>Distr. générale</w:t>
            </w:r>
          </w:p>
          <w:p w:rsidR="00704ABA" w:rsidRDefault="00704ABA" w:rsidP="00704ABA">
            <w:pPr>
              <w:spacing w:line="240" w:lineRule="exact"/>
            </w:pPr>
            <w:r>
              <w:t>6 février 2018</w:t>
            </w:r>
          </w:p>
          <w:p w:rsidR="00704ABA" w:rsidRDefault="00704ABA" w:rsidP="00704ABA">
            <w:pPr>
              <w:spacing w:line="240" w:lineRule="exact"/>
            </w:pPr>
            <w:r>
              <w:t>Français</w:t>
            </w:r>
          </w:p>
          <w:p w:rsidR="00704ABA" w:rsidRPr="00DB58B5" w:rsidRDefault="00704ABA" w:rsidP="00704AB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9080A" w:rsidRDefault="0069080A" w:rsidP="0069080A">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9080A" w:rsidRDefault="0069080A" w:rsidP="0069080A">
      <w:pPr>
        <w:spacing w:before="120" w:after="120" w:line="240" w:lineRule="exact"/>
        <w:rPr>
          <w:b/>
        </w:rPr>
      </w:pPr>
      <w:r>
        <w:rPr>
          <w:b/>
        </w:rPr>
        <w:t>Groupe de travail de l’éclairage et de la signalisation lumineuse</w:t>
      </w:r>
    </w:p>
    <w:p w:rsidR="0069080A" w:rsidRDefault="0069080A" w:rsidP="0069080A">
      <w:pPr>
        <w:spacing w:before="120" w:line="240" w:lineRule="exact"/>
        <w:rPr>
          <w:b/>
        </w:rPr>
      </w:pPr>
      <w:r>
        <w:rPr>
          <w:b/>
        </w:rPr>
        <w:t>Soixante-dix-neuvième session</w:t>
      </w:r>
    </w:p>
    <w:p w:rsidR="0069080A" w:rsidRDefault="0069080A" w:rsidP="0069080A">
      <w:pPr>
        <w:spacing w:line="240" w:lineRule="exact"/>
      </w:pPr>
      <w:r>
        <w:t>Genève, 24-27 avril 2018</w:t>
      </w:r>
    </w:p>
    <w:p w:rsidR="0069080A" w:rsidRPr="002E58C3" w:rsidRDefault="0069080A" w:rsidP="0069080A">
      <w:pPr>
        <w:rPr>
          <w:bCs/>
          <w:lang w:val="fr-FR"/>
        </w:rPr>
      </w:pPr>
      <w:r w:rsidRPr="002E58C3">
        <w:rPr>
          <w:bCs/>
          <w:lang w:val="fr-FR"/>
        </w:rPr>
        <w:t>Point 4 de l’ordre du jour</w:t>
      </w:r>
      <w:r w:rsidR="00DB7857">
        <w:rPr>
          <w:bCs/>
          <w:lang w:val="fr-FR"/>
        </w:rPr>
        <w:t xml:space="preserve"> provisoire</w:t>
      </w:r>
    </w:p>
    <w:p w:rsidR="0069080A" w:rsidRPr="0069080A" w:rsidRDefault="0069080A" w:rsidP="0069080A">
      <w:pPr>
        <w:rPr>
          <w:b/>
          <w:bCs/>
          <w:lang w:val="fr-FR"/>
        </w:rPr>
      </w:pPr>
      <w:r w:rsidRPr="0069080A">
        <w:rPr>
          <w:b/>
          <w:bCs/>
          <w:lang w:val="fr-FR"/>
        </w:rPr>
        <w:t>Simplification des Rè</w:t>
      </w:r>
      <w:r>
        <w:rPr>
          <w:b/>
          <w:bCs/>
          <w:lang w:val="fr-FR"/>
        </w:rPr>
        <w:t>glements concernant l’éclairage</w:t>
      </w:r>
      <w:r>
        <w:rPr>
          <w:b/>
          <w:bCs/>
          <w:lang w:val="fr-FR"/>
        </w:rPr>
        <w:br/>
      </w:r>
      <w:r w:rsidRPr="0069080A">
        <w:rPr>
          <w:b/>
          <w:bCs/>
          <w:lang w:val="fr-FR"/>
        </w:rPr>
        <w:t>et la signalisation lumineuse</w:t>
      </w:r>
    </w:p>
    <w:p w:rsidR="0069080A" w:rsidRPr="002E58C3" w:rsidRDefault="0069080A" w:rsidP="0069080A">
      <w:pPr>
        <w:pStyle w:val="HChG"/>
        <w:rPr>
          <w:lang w:val="fr-FR"/>
        </w:rPr>
      </w:pPr>
      <w:r w:rsidRPr="002E58C3">
        <w:rPr>
          <w:lang w:val="fr-FR"/>
        </w:rPr>
        <w:tab/>
      </w:r>
      <w:r w:rsidRPr="002E58C3">
        <w:rPr>
          <w:lang w:val="fr-FR"/>
        </w:rPr>
        <w:tab/>
        <w:t>Proposition de complément [2] à la série 02 d’amendements au Règlement n</w:t>
      </w:r>
      <w:r w:rsidRPr="002E58C3">
        <w:rPr>
          <w:vertAlign w:val="superscript"/>
          <w:lang w:val="fr-FR"/>
        </w:rPr>
        <w:t>o</w:t>
      </w:r>
      <w:r w:rsidRPr="002E58C3">
        <w:rPr>
          <w:lang w:val="fr-FR"/>
        </w:rPr>
        <w:t xml:space="preserve"> 53 </w:t>
      </w:r>
    </w:p>
    <w:p w:rsidR="0069080A" w:rsidRPr="002E58C3" w:rsidRDefault="0069080A" w:rsidP="0069080A">
      <w:pPr>
        <w:pStyle w:val="H1G"/>
        <w:rPr>
          <w:szCs w:val="24"/>
          <w:lang w:val="fr-FR"/>
        </w:rPr>
      </w:pPr>
      <w:r w:rsidRPr="002E58C3">
        <w:rPr>
          <w:lang w:val="fr-FR"/>
        </w:rPr>
        <w:tab/>
      </w:r>
      <w:r w:rsidRPr="002E58C3">
        <w:rPr>
          <w:lang w:val="fr-FR"/>
        </w:rPr>
        <w:tab/>
        <w:t>Communication du gr</w:t>
      </w:r>
      <w:r>
        <w:rPr>
          <w:lang w:val="fr-FR"/>
        </w:rPr>
        <w:t>oupe de travail informel chargé</w:t>
      </w:r>
      <w:r>
        <w:rPr>
          <w:lang w:val="fr-FR"/>
        </w:rPr>
        <w:br/>
      </w:r>
      <w:r w:rsidRPr="002E58C3">
        <w:rPr>
          <w:lang w:val="fr-FR"/>
        </w:rPr>
        <w:t>de la simplification des R</w:t>
      </w:r>
      <w:r>
        <w:rPr>
          <w:lang w:val="fr-FR"/>
        </w:rPr>
        <w:t>èglements rela</w:t>
      </w:r>
      <w:r w:rsidR="00BA2F4D">
        <w:rPr>
          <w:lang w:val="fr-FR"/>
        </w:rPr>
        <w:t>tifs</w:t>
      </w:r>
      <w:r w:rsidR="00BA2F4D">
        <w:rPr>
          <w:lang w:val="fr-FR"/>
        </w:rPr>
        <w:br/>
      </w:r>
      <w:r>
        <w:rPr>
          <w:lang w:val="fr-FR"/>
        </w:rPr>
        <w:t>à l’éclairag</w:t>
      </w:r>
      <w:r w:rsidR="00BA2F4D">
        <w:rPr>
          <w:lang w:val="fr-FR"/>
        </w:rPr>
        <w:t xml:space="preserve">e </w:t>
      </w:r>
      <w:r w:rsidRPr="002E58C3">
        <w:rPr>
          <w:lang w:val="fr-FR"/>
        </w:rPr>
        <w:t>et à la signalisation lumineuse</w:t>
      </w:r>
      <w:r w:rsidRPr="0069080A">
        <w:rPr>
          <w:b w:val="0"/>
          <w:sz w:val="20"/>
          <w:lang w:val="fr-FR"/>
        </w:rPr>
        <w:footnoteReference w:customMarkFollows="1" w:id="2"/>
        <w:t xml:space="preserve">* </w:t>
      </w:r>
    </w:p>
    <w:p w:rsidR="00BA2F4D" w:rsidRDefault="0069080A" w:rsidP="00BA2F4D">
      <w:pPr>
        <w:pStyle w:val="SingleTxtG"/>
        <w:ind w:firstLine="567"/>
        <w:rPr>
          <w:lang w:val="fr-FR"/>
        </w:rPr>
      </w:pPr>
      <w:r w:rsidRPr="002E58C3">
        <w:rPr>
          <w:lang w:val="fr-FR"/>
        </w:rPr>
        <w:t>Le texte ci-après, établi par le groupe de travail informel chargé de la simplification des Règlements relatifs à l’éclairage et à la signalisation lumineuse sur la base du document informel GRE-78-11, vise à introduire dans la série 02 d’amendements au Règlement n</w:t>
      </w:r>
      <w:r w:rsidRPr="002E58C3">
        <w:rPr>
          <w:vertAlign w:val="superscript"/>
          <w:lang w:val="fr-FR"/>
        </w:rPr>
        <w:t>o</w:t>
      </w:r>
      <w:r w:rsidRPr="002E58C3">
        <w:rPr>
          <w:lang w:val="fr-FR"/>
        </w:rPr>
        <w:t> 53 des références aux trois nouveaux Règlements simplifiés sur les dispositifs de signalisation lumineuse (LSD), les dispositifs d’éclairage de la route (RID) et les dispositifs catadioptriques (RRD). Les modifications qu’il est proposé d’apporter au texte actuel du Règlement n</w:t>
      </w:r>
      <w:r w:rsidRPr="002E58C3">
        <w:rPr>
          <w:vertAlign w:val="superscript"/>
          <w:lang w:val="fr-FR"/>
        </w:rPr>
        <w:t>o</w:t>
      </w:r>
      <w:r w:rsidRPr="002E58C3">
        <w:rPr>
          <w:lang w:val="fr-FR"/>
        </w:rPr>
        <w:t xml:space="preserve"> 53 figurent en caractères gras pour les ajouts et biffés pour les suppressions. Les parties qui figurent entre crochets signifient que le texte concerné doit être examiné et faire l’objet d’une décision. </w:t>
      </w:r>
    </w:p>
    <w:p w:rsidR="00BA2F4D" w:rsidRPr="002E58C3" w:rsidRDefault="00BA2F4D" w:rsidP="00C8444E">
      <w:pPr>
        <w:pStyle w:val="HChG"/>
        <w:rPr>
          <w:lang w:val="fr-FR"/>
        </w:rPr>
      </w:pPr>
      <w:r>
        <w:rPr>
          <w:lang w:val="fr-FR"/>
        </w:rPr>
        <w:br w:type="page"/>
      </w:r>
      <w:r w:rsidR="00C8444E">
        <w:rPr>
          <w:lang w:val="fr-FR"/>
        </w:rPr>
        <w:lastRenderedPageBreak/>
        <w:tab/>
      </w:r>
      <w:r w:rsidRPr="002E58C3">
        <w:rPr>
          <w:lang w:val="fr-FR"/>
        </w:rPr>
        <w:t>I.</w:t>
      </w:r>
      <w:r w:rsidRPr="002E58C3">
        <w:rPr>
          <w:lang w:val="fr-FR"/>
        </w:rPr>
        <w:tab/>
        <w:t>Proposition</w:t>
      </w:r>
    </w:p>
    <w:p w:rsidR="00BA2F4D" w:rsidRPr="002E58C3" w:rsidRDefault="00BA2F4D" w:rsidP="00C8444E">
      <w:pPr>
        <w:pStyle w:val="SingleTxtG"/>
        <w:rPr>
          <w:lang w:val="fr-FR"/>
        </w:rPr>
      </w:pPr>
      <w:r w:rsidRPr="002E58C3">
        <w:rPr>
          <w:rFonts w:eastAsia="Calibri"/>
          <w:i/>
          <w:lang w:val="fr-FR" w:eastAsia="it-IT"/>
        </w:rPr>
        <w:t xml:space="preserve">Paragraphe </w:t>
      </w:r>
      <w:r w:rsidRPr="002E58C3">
        <w:rPr>
          <w:i/>
          <w:lang w:val="fr-FR"/>
        </w:rPr>
        <w:t>5.8.1</w:t>
      </w:r>
      <w:r w:rsidRPr="00C8444E">
        <w:rPr>
          <w:lang w:val="fr-FR"/>
        </w:rPr>
        <w:t>,</w:t>
      </w:r>
      <w:r w:rsidRPr="002E58C3">
        <w:rPr>
          <w:i/>
          <w:lang w:val="fr-FR"/>
        </w:rPr>
        <w:t xml:space="preserve"> </w:t>
      </w:r>
      <w:r w:rsidRPr="002E58C3">
        <w:rPr>
          <w:lang w:val="fr-FR"/>
        </w:rPr>
        <w:t>modifier comme suit</w:t>
      </w:r>
      <w:r w:rsidR="00B17D8D">
        <w:rPr>
          <w:lang w:val="fr-FR"/>
        </w:rPr>
        <w:t> :</w:t>
      </w:r>
    </w:p>
    <w:p w:rsidR="00C8444E" w:rsidRDefault="00C8444E" w:rsidP="00C8444E">
      <w:pPr>
        <w:pStyle w:val="SingleTxtG"/>
        <w:ind w:left="2268" w:hanging="1134"/>
        <w:rPr>
          <w:lang w:val="fr-FR"/>
        </w:rPr>
      </w:pPr>
      <w:r>
        <w:rPr>
          <w:lang w:val="fr-FR"/>
        </w:rPr>
        <w:t>« </w:t>
      </w:r>
      <w:r w:rsidR="00BA2F4D" w:rsidRPr="002E58C3">
        <w:rPr>
          <w:lang w:val="fr-FR"/>
        </w:rPr>
        <w:t>5.8.1</w:t>
      </w:r>
      <w:r>
        <w:rPr>
          <w:lang w:val="fr-FR"/>
        </w:rPr>
        <w:tab/>
      </w:r>
      <w:r w:rsidR="00BA2F4D" w:rsidRPr="002E58C3">
        <w:rPr>
          <w:lang w:val="fr-FR"/>
        </w:rPr>
        <w:tab/>
        <w:t>Les caractéristiques photométriques des feux indicateurs de direction, à l’exception de ceux des catégories 5 et 6</w:t>
      </w:r>
      <w:r>
        <w:rPr>
          <w:lang w:val="fr-FR"/>
        </w:rPr>
        <w:t xml:space="preserve"> précisées dans le Règlement </w:t>
      </w:r>
      <w:r w:rsidR="00B17D8D" w:rsidRPr="002E58C3">
        <w:rPr>
          <w:lang w:val="fr-FR"/>
        </w:rPr>
        <w:t>n</w:t>
      </w:r>
      <w:r w:rsidR="00B17D8D" w:rsidRPr="002E58C3">
        <w:rPr>
          <w:vertAlign w:val="superscript"/>
          <w:lang w:val="fr-FR"/>
        </w:rPr>
        <w:t>o</w:t>
      </w:r>
      <w:r w:rsidR="00B17D8D">
        <w:rPr>
          <w:lang w:val="fr-FR"/>
        </w:rPr>
        <w:t> </w:t>
      </w:r>
      <w:r w:rsidR="00BA2F4D" w:rsidRPr="002E58C3">
        <w:rPr>
          <w:lang w:val="fr-FR"/>
        </w:rPr>
        <w:t xml:space="preserve">6 </w:t>
      </w:r>
      <w:r w:rsidR="00BA2F4D" w:rsidRPr="00C8444E">
        <w:rPr>
          <w:b/>
          <w:lang w:val="fr-FR"/>
        </w:rPr>
        <w:t>ou [LSD]</w:t>
      </w:r>
      <w:r w:rsidR="00BA2F4D" w:rsidRPr="002E58C3">
        <w:rPr>
          <w:lang w:val="fr-FR"/>
        </w:rPr>
        <w:t xml:space="preserve">, et celles du feu indicateur de direction précisé dans le Règlement </w:t>
      </w:r>
      <w:r w:rsidRPr="00C8444E">
        <w:rPr>
          <w:rFonts w:eastAsia="MS Mincho"/>
          <w:lang w:val="fr-FR"/>
        </w:rPr>
        <w:t>n</w:t>
      </w:r>
      <w:r w:rsidRPr="00C8444E">
        <w:rPr>
          <w:rFonts w:eastAsia="MS Mincho"/>
          <w:vertAlign w:val="superscript"/>
          <w:lang w:val="fr-FR"/>
        </w:rPr>
        <w:t>o</w:t>
      </w:r>
      <w:r w:rsidRPr="00C8444E">
        <w:rPr>
          <w:rFonts w:eastAsia="MS Mincho"/>
          <w:lang w:val="fr-FR"/>
        </w:rPr>
        <w:t> </w:t>
      </w:r>
      <w:r w:rsidR="00BA2F4D" w:rsidRPr="002E58C3">
        <w:rPr>
          <w:lang w:val="fr-FR"/>
        </w:rPr>
        <w:t xml:space="preserve">50 </w:t>
      </w:r>
      <w:r w:rsidR="00BA2F4D" w:rsidRPr="00C8444E">
        <w:rPr>
          <w:b/>
          <w:lang w:val="fr-FR"/>
        </w:rPr>
        <w:t>ou [LSD]</w:t>
      </w:r>
      <w:r w:rsidR="00BA2F4D" w:rsidRPr="002E58C3">
        <w:rPr>
          <w:lang w:val="fr-FR"/>
        </w:rPr>
        <w:t>, peuvent varier durant un clignotement par activation séquentielle produit conformément a</w:t>
      </w:r>
      <w:r>
        <w:rPr>
          <w:lang w:val="fr-FR"/>
        </w:rPr>
        <w:t xml:space="preserve">u paragraphe 5.6 du Règlement </w:t>
      </w:r>
      <w:r w:rsidR="00B17D8D" w:rsidRPr="002E58C3">
        <w:rPr>
          <w:lang w:val="fr-FR"/>
        </w:rPr>
        <w:t>n</w:t>
      </w:r>
      <w:r w:rsidR="00B17D8D" w:rsidRPr="002E58C3">
        <w:rPr>
          <w:vertAlign w:val="superscript"/>
          <w:lang w:val="fr-FR"/>
        </w:rPr>
        <w:t>o</w:t>
      </w:r>
      <w:r w:rsidR="00B17D8D">
        <w:rPr>
          <w:lang w:val="fr-FR"/>
        </w:rPr>
        <w:t> </w:t>
      </w:r>
      <w:r w:rsidR="00BA2F4D" w:rsidRPr="002E58C3">
        <w:rPr>
          <w:lang w:val="fr-FR"/>
        </w:rPr>
        <w:t xml:space="preserve">6 </w:t>
      </w:r>
      <w:r w:rsidR="00BA2F4D" w:rsidRPr="00C8444E">
        <w:rPr>
          <w:b/>
          <w:lang w:val="fr-FR"/>
        </w:rPr>
        <w:t>ou au paragraphe 5.6.11 du Règlement n</w:t>
      </w:r>
      <w:r w:rsidR="00BA2F4D" w:rsidRPr="00C8444E">
        <w:rPr>
          <w:b/>
          <w:vertAlign w:val="superscript"/>
          <w:lang w:val="fr-FR"/>
        </w:rPr>
        <w:t>o</w:t>
      </w:r>
      <w:r w:rsidR="00BA2F4D" w:rsidRPr="00C8444E">
        <w:rPr>
          <w:b/>
          <w:lang w:val="fr-FR"/>
        </w:rPr>
        <w:t> [LSD]</w:t>
      </w:r>
      <w:r w:rsidR="00BA2F4D" w:rsidRPr="002E58C3">
        <w:rPr>
          <w:lang w:val="fr-FR"/>
        </w:rPr>
        <w:t xml:space="preserve"> ou au paragraphe 6.8 du Règlement </w:t>
      </w:r>
      <w:r w:rsidRPr="00C8444E">
        <w:rPr>
          <w:rFonts w:eastAsia="MS Mincho"/>
          <w:lang w:val="fr-FR"/>
        </w:rPr>
        <w:t>n</w:t>
      </w:r>
      <w:r w:rsidRPr="00C8444E">
        <w:rPr>
          <w:rFonts w:eastAsia="MS Mincho"/>
          <w:vertAlign w:val="superscript"/>
          <w:lang w:val="fr-FR"/>
        </w:rPr>
        <w:t>o</w:t>
      </w:r>
      <w:r w:rsidRPr="00C8444E">
        <w:rPr>
          <w:rFonts w:eastAsia="MS Mincho"/>
          <w:lang w:val="fr-FR"/>
        </w:rPr>
        <w:t> </w:t>
      </w:r>
      <w:r w:rsidR="00BA2F4D" w:rsidRPr="002E58C3">
        <w:rPr>
          <w:lang w:val="fr-FR"/>
        </w:rPr>
        <w:t>50.</w:t>
      </w:r>
    </w:p>
    <w:p w:rsidR="00BA2F4D" w:rsidRPr="002E58C3" w:rsidRDefault="00BA2F4D" w:rsidP="00C8444E">
      <w:pPr>
        <w:pStyle w:val="SingleTxtG"/>
        <w:ind w:left="2268"/>
        <w:rPr>
          <w:lang w:val="fr-FR"/>
        </w:rPr>
      </w:pPr>
      <w:r w:rsidRPr="002E58C3">
        <w:rPr>
          <w:lang w:val="fr-FR"/>
        </w:rPr>
        <w:t xml:space="preserve">La présente disposition n’est pas applicable lorsque des feux indicateurs de direction des catégories 2a et 2b précisées dans le Règlement </w:t>
      </w:r>
      <w:r w:rsidR="00C8444E" w:rsidRPr="00C8444E">
        <w:rPr>
          <w:rFonts w:eastAsia="MS Mincho"/>
          <w:lang w:val="fr-FR"/>
        </w:rPr>
        <w:t>n</w:t>
      </w:r>
      <w:r w:rsidR="00C8444E" w:rsidRPr="00C8444E">
        <w:rPr>
          <w:rFonts w:eastAsia="MS Mincho"/>
          <w:vertAlign w:val="superscript"/>
          <w:lang w:val="fr-FR"/>
        </w:rPr>
        <w:t>o</w:t>
      </w:r>
      <w:r w:rsidR="00C8444E" w:rsidRPr="00C8444E">
        <w:rPr>
          <w:rFonts w:eastAsia="MS Mincho"/>
          <w:lang w:val="fr-FR"/>
        </w:rPr>
        <w:t> </w:t>
      </w:r>
      <w:r w:rsidRPr="002E58C3">
        <w:rPr>
          <w:lang w:val="fr-FR"/>
        </w:rPr>
        <w:t xml:space="preserve">6 </w:t>
      </w:r>
      <w:r w:rsidRPr="00C8444E">
        <w:rPr>
          <w:b/>
          <w:lang w:val="fr-FR"/>
        </w:rPr>
        <w:t>ou [LSD]</w:t>
      </w:r>
      <w:r w:rsidRPr="002E58C3">
        <w:rPr>
          <w:lang w:val="fr-FR"/>
        </w:rPr>
        <w:t xml:space="preserve"> ou de la catégorie 12 précisée dans le Règlement </w:t>
      </w:r>
      <w:r w:rsidR="00C8444E" w:rsidRPr="00C8444E">
        <w:rPr>
          <w:rFonts w:eastAsia="MS Mincho"/>
          <w:lang w:val="fr-FR"/>
        </w:rPr>
        <w:t>n</w:t>
      </w:r>
      <w:r w:rsidR="00C8444E" w:rsidRPr="00C8444E">
        <w:rPr>
          <w:rFonts w:eastAsia="MS Mincho"/>
          <w:vertAlign w:val="superscript"/>
          <w:lang w:val="fr-FR"/>
        </w:rPr>
        <w:t>o</w:t>
      </w:r>
      <w:r w:rsidR="00C8444E" w:rsidRPr="00C8444E">
        <w:rPr>
          <w:rFonts w:eastAsia="MS Mincho"/>
          <w:lang w:val="fr-FR"/>
        </w:rPr>
        <w:t> </w:t>
      </w:r>
      <w:r w:rsidRPr="002E58C3">
        <w:rPr>
          <w:lang w:val="fr-FR"/>
        </w:rPr>
        <w:t xml:space="preserve">50 </w:t>
      </w:r>
      <w:r w:rsidRPr="00C8444E">
        <w:rPr>
          <w:b/>
          <w:lang w:val="fr-FR"/>
        </w:rPr>
        <w:t>ou [LSD]</w:t>
      </w:r>
      <w:r w:rsidRPr="002E58C3">
        <w:rPr>
          <w:lang w:val="fr-FR"/>
        </w:rPr>
        <w:t xml:space="preserve"> utilisés en tant que signaux de freinage d’urgence, conformément au paragraphe 6.14 du présent Règlement</w:t>
      </w:r>
      <w:r w:rsidR="00C8444E">
        <w:rPr>
          <w:lang w:val="fr-FR"/>
        </w:rPr>
        <w:t>. »</w:t>
      </w:r>
      <w:r w:rsidRPr="002E58C3">
        <w:rPr>
          <w:lang w:val="fr-FR"/>
        </w:rPr>
        <w:t>.</w:t>
      </w:r>
    </w:p>
    <w:p w:rsidR="00BA2F4D" w:rsidRPr="002E58C3" w:rsidRDefault="00BA2F4D" w:rsidP="00C8444E">
      <w:pPr>
        <w:pStyle w:val="SingleTxtG"/>
        <w:rPr>
          <w:lang w:val="fr-FR"/>
        </w:rPr>
      </w:pPr>
      <w:r w:rsidRPr="002E58C3">
        <w:rPr>
          <w:i/>
          <w:lang w:val="fr-FR"/>
        </w:rPr>
        <w:t>Paragraphe 5.14.4</w:t>
      </w:r>
      <w:r w:rsidRPr="00C8444E">
        <w:rPr>
          <w:lang w:val="fr-FR"/>
        </w:rPr>
        <w:t>,</w:t>
      </w:r>
      <w:r w:rsidRPr="002E58C3">
        <w:rPr>
          <w:i/>
          <w:lang w:val="fr-FR"/>
        </w:rPr>
        <w:t xml:space="preserve"> </w:t>
      </w:r>
      <w:r w:rsidRPr="002E58C3">
        <w:rPr>
          <w:lang w:val="fr-FR"/>
        </w:rPr>
        <w:t>modifier comme suit</w:t>
      </w:r>
      <w:r w:rsidR="00C92FF8" w:rsidRPr="00C92FF8">
        <w:rPr>
          <w:rStyle w:val="FooterChar"/>
        </w:rPr>
        <w:t xml:space="preserve"> :</w:t>
      </w:r>
    </w:p>
    <w:p w:rsidR="00BA2F4D" w:rsidRPr="002E58C3" w:rsidRDefault="00C8444E" w:rsidP="00C8444E">
      <w:pPr>
        <w:pStyle w:val="SingleTxtG"/>
        <w:ind w:left="2268" w:hanging="1134"/>
        <w:rPr>
          <w:lang w:val="fr-FR"/>
        </w:rPr>
      </w:pPr>
      <w:r>
        <w:rPr>
          <w:lang w:val="fr-FR"/>
        </w:rPr>
        <w:t>« 5.14.4</w:t>
      </w:r>
      <w:r w:rsidR="00BA2F4D" w:rsidRPr="002E58C3">
        <w:rPr>
          <w:lang w:val="fr-FR"/>
        </w:rPr>
        <w:tab/>
        <w:t>Feu-stop, dispositif de la catégorie S1 tel que précisé dans le Règlement n</w:t>
      </w:r>
      <w:r w:rsidR="00BA2F4D" w:rsidRPr="002E58C3">
        <w:rPr>
          <w:vertAlign w:val="superscript"/>
          <w:lang w:val="fr-FR"/>
        </w:rPr>
        <w:t>o</w:t>
      </w:r>
      <w:r w:rsidR="00BA2F4D" w:rsidRPr="002E58C3">
        <w:rPr>
          <w:lang w:val="fr-FR"/>
        </w:rPr>
        <w:t xml:space="preserve"> 7 </w:t>
      </w:r>
      <w:r w:rsidR="00BA2F4D" w:rsidRPr="00C8444E">
        <w:rPr>
          <w:b/>
          <w:lang w:val="fr-FR"/>
        </w:rPr>
        <w:t>ou [LSD]</w:t>
      </w:r>
      <w:r w:rsidR="00BA2F4D" w:rsidRPr="002E58C3">
        <w:rPr>
          <w:lang w:val="fr-FR"/>
        </w:rPr>
        <w:t xml:space="preserve"> ou feu-stop tel que précisé dans le Règlement n</w:t>
      </w:r>
      <w:r w:rsidR="00BA2F4D" w:rsidRPr="002E58C3">
        <w:rPr>
          <w:vertAlign w:val="superscript"/>
          <w:lang w:val="fr-FR"/>
        </w:rPr>
        <w:t>o</w:t>
      </w:r>
      <w:r>
        <w:rPr>
          <w:lang w:val="fr-FR"/>
        </w:rPr>
        <w:t> </w:t>
      </w:r>
      <w:r w:rsidR="00BA2F4D" w:rsidRPr="002E58C3">
        <w:rPr>
          <w:lang w:val="fr-FR"/>
        </w:rPr>
        <w:t xml:space="preserve">50 (par. 6.4) </w:t>
      </w:r>
      <w:r w:rsidR="00BA2F4D" w:rsidRPr="00C8444E">
        <w:rPr>
          <w:b/>
          <w:lang w:val="fr-FR"/>
        </w:rPr>
        <w:t>ou feu-stop pour véhicules de la catégorie L tel que précisé dans le Règlement n</w:t>
      </w:r>
      <w:r w:rsidR="00BA2F4D" w:rsidRPr="00C8444E">
        <w:rPr>
          <w:b/>
          <w:vertAlign w:val="superscript"/>
          <w:lang w:val="fr-FR"/>
        </w:rPr>
        <w:t>o</w:t>
      </w:r>
      <w:r w:rsidR="00C92FF8" w:rsidRPr="00C92FF8">
        <w:rPr>
          <w:rStyle w:val="FooterChar"/>
        </w:rPr>
        <w:t xml:space="preserve"> </w:t>
      </w:r>
      <w:r w:rsidRPr="00C8444E">
        <w:rPr>
          <w:b/>
          <w:lang w:val="fr-FR"/>
        </w:rPr>
        <w:t>[LSD] ;</w:t>
      </w:r>
      <w:r>
        <w:rPr>
          <w:lang w:val="fr-FR"/>
        </w:rPr>
        <w:t> »</w:t>
      </w:r>
      <w:r w:rsidR="00BA2F4D" w:rsidRPr="002E58C3">
        <w:rPr>
          <w:lang w:val="fr-FR"/>
        </w:rPr>
        <w:t>.</w:t>
      </w:r>
    </w:p>
    <w:p w:rsidR="00BA2F4D" w:rsidRPr="002E58C3" w:rsidRDefault="00BA2F4D" w:rsidP="00C8444E">
      <w:pPr>
        <w:pStyle w:val="SingleTxtG"/>
        <w:rPr>
          <w:lang w:val="fr-FR"/>
        </w:rPr>
      </w:pPr>
      <w:r w:rsidRPr="002E58C3">
        <w:rPr>
          <w:i/>
          <w:lang w:val="fr-FR"/>
        </w:rPr>
        <w:t>Paragraphe 5.15.4</w:t>
      </w:r>
      <w:r w:rsidRPr="00C8444E">
        <w:rPr>
          <w:lang w:val="fr-FR"/>
        </w:rPr>
        <w:t>,</w:t>
      </w:r>
      <w:r w:rsidRPr="002E58C3">
        <w:rPr>
          <w:i/>
          <w:lang w:val="fr-FR"/>
        </w:rPr>
        <w:t xml:space="preserve"> </w:t>
      </w:r>
      <w:r w:rsidRPr="002E58C3">
        <w:rPr>
          <w:lang w:val="fr-FR"/>
        </w:rPr>
        <w:t>modifier comme suit</w:t>
      </w:r>
      <w:r w:rsidR="00C92FF8" w:rsidRPr="00C92FF8">
        <w:rPr>
          <w:rStyle w:val="FooterChar"/>
        </w:rPr>
        <w:t xml:space="preserve"> :</w:t>
      </w:r>
    </w:p>
    <w:p w:rsidR="00BA2F4D" w:rsidRPr="002E58C3" w:rsidRDefault="00C8444E" w:rsidP="00C8444E">
      <w:pPr>
        <w:pStyle w:val="SingleTxtG"/>
        <w:ind w:left="2268" w:hanging="1134"/>
        <w:rPr>
          <w:lang w:val="fr-FR"/>
        </w:rPr>
      </w:pPr>
      <w:r>
        <w:rPr>
          <w:lang w:val="fr-FR"/>
        </w:rPr>
        <w:t>« 5.15.4</w:t>
      </w:r>
      <w:r w:rsidR="00BA2F4D" w:rsidRPr="002E58C3">
        <w:rPr>
          <w:lang w:val="fr-FR"/>
        </w:rPr>
        <w:tab/>
        <w:t xml:space="preserve">Feu-stop, dispositif de la catégorie S3 tel que précisé dans le Règlement </w:t>
      </w:r>
      <w:r w:rsidRPr="00C8444E">
        <w:rPr>
          <w:rFonts w:eastAsia="MS Mincho"/>
          <w:lang w:val="fr-FR"/>
        </w:rPr>
        <w:t>n</w:t>
      </w:r>
      <w:r w:rsidRPr="00C8444E">
        <w:rPr>
          <w:rFonts w:eastAsia="MS Mincho"/>
          <w:vertAlign w:val="superscript"/>
          <w:lang w:val="fr-FR"/>
        </w:rPr>
        <w:t>o</w:t>
      </w:r>
      <w:r w:rsidRPr="00C8444E">
        <w:rPr>
          <w:rFonts w:eastAsia="MS Mincho"/>
          <w:lang w:val="fr-FR"/>
        </w:rPr>
        <w:t> </w:t>
      </w:r>
      <w:r w:rsidR="00BA2F4D" w:rsidRPr="002E58C3">
        <w:rPr>
          <w:lang w:val="fr-FR"/>
        </w:rPr>
        <w:t xml:space="preserve">7 (par. 6.4). </w:t>
      </w:r>
      <w:r w:rsidR="00BA2F4D" w:rsidRPr="00C8444E">
        <w:rPr>
          <w:b/>
          <w:lang w:val="fr-FR"/>
        </w:rPr>
        <w:t>ou</w:t>
      </w:r>
      <w:r w:rsidRPr="00C8444E">
        <w:rPr>
          <w:b/>
          <w:lang w:val="fr-FR"/>
        </w:rPr>
        <w:t xml:space="preserve"> [LSD]</w:t>
      </w:r>
      <w:r>
        <w:rPr>
          <w:lang w:val="fr-FR"/>
        </w:rPr>
        <w:t> </w:t>
      </w:r>
      <w:r w:rsidRPr="00854270">
        <w:rPr>
          <w:b/>
          <w:lang w:val="fr-FR"/>
        </w:rPr>
        <w:t>;</w:t>
      </w:r>
      <w:r>
        <w:rPr>
          <w:lang w:val="fr-FR"/>
        </w:rPr>
        <w:t> »</w:t>
      </w:r>
      <w:r w:rsidR="00BA2F4D">
        <w:rPr>
          <w:lang w:val="fr-FR"/>
        </w:rPr>
        <w:t>.</w:t>
      </w:r>
    </w:p>
    <w:p w:rsidR="00BA2F4D" w:rsidRPr="002E58C3" w:rsidRDefault="00BA2F4D" w:rsidP="00C8444E">
      <w:pPr>
        <w:pStyle w:val="SingleTxtG"/>
        <w:rPr>
          <w:lang w:val="fr-FR"/>
        </w:rPr>
      </w:pPr>
      <w:r w:rsidRPr="002E58C3">
        <w:rPr>
          <w:i/>
          <w:lang w:val="fr-FR"/>
        </w:rPr>
        <w:t>Paragraphe 6.1.1.1</w:t>
      </w:r>
      <w:r w:rsidRPr="00C8444E">
        <w:rPr>
          <w:lang w:val="fr-FR"/>
        </w:rPr>
        <w:t>,</w:t>
      </w:r>
      <w:r w:rsidRPr="002E58C3">
        <w:rPr>
          <w:i/>
          <w:lang w:val="fr-FR"/>
        </w:rPr>
        <w:t xml:space="preserve"> </w:t>
      </w:r>
      <w:r w:rsidRPr="002E58C3">
        <w:rPr>
          <w:lang w:val="fr-FR"/>
        </w:rPr>
        <w:t>modifier comme suit</w:t>
      </w:r>
      <w:r w:rsidR="00C92FF8" w:rsidRPr="00C92FF8">
        <w:rPr>
          <w:rStyle w:val="FooterChar"/>
        </w:rPr>
        <w:t xml:space="preserve"> :</w:t>
      </w:r>
    </w:p>
    <w:p w:rsidR="00BA2F4D" w:rsidRPr="002E58C3" w:rsidRDefault="00C8444E" w:rsidP="00C8444E">
      <w:pPr>
        <w:pStyle w:val="SingleTxtG"/>
        <w:ind w:left="2268" w:hanging="1134"/>
        <w:rPr>
          <w:lang w:val="fr-FR"/>
        </w:rPr>
      </w:pPr>
      <w:r>
        <w:rPr>
          <w:lang w:val="fr-FR"/>
        </w:rPr>
        <w:t>« </w:t>
      </w:r>
      <w:r w:rsidR="00BA2F4D" w:rsidRPr="002E58C3">
        <w:rPr>
          <w:lang w:val="fr-FR"/>
        </w:rPr>
        <w:t>6.1.1.1</w:t>
      </w:r>
      <w:r w:rsidR="00BA2F4D" w:rsidRPr="002E58C3">
        <w:rPr>
          <w:lang w:val="fr-FR"/>
        </w:rPr>
        <w:tab/>
        <w:t>Pour les motocycles d’une cylindrée ≤125 cm</w:t>
      </w:r>
      <w:r w:rsidR="00BA2F4D" w:rsidRPr="00C8444E">
        <w:rPr>
          <w:vertAlign w:val="superscript"/>
          <w:lang w:val="fr-FR"/>
        </w:rPr>
        <w:t>3</w:t>
      </w:r>
    </w:p>
    <w:p w:rsidR="00BA2F4D" w:rsidRPr="002E58C3" w:rsidRDefault="00BA2F4D" w:rsidP="00C8444E">
      <w:pPr>
        <w:pStyle w:val="SingleTxtG"/>
        <w:ind w:left="2268"/>
        <w:rPr>
          <w:lang w:val="fr-FR"/>
        </w:rPr>
      </w:pPr>
      <w:r w:rsidRPr="002E58C3">
        <w:rPr>
          <w:lang w:val="fr-FR"/>
        </w:rPr>
        <w:t>Un ou deux du type homologué selon :</w:t>
      </w:r>
    </w:p>
    <w:p w:rsidR="00BA2F4D" w:rsidRPr="002E58C3" w:rsidRDefault="00BA2F4D" w:rsidP="00C8444E">
      <w:pPr>
        <w:pStyle w:val="SingleTxtG"/>
        <w:ind w:left="2268"/>
        <w:rPr>
          <w:lang w:val="fr-FR"/>
        </w:rPr>
      </w:pPr>
      <w:r w:rsidRPr="002E58C3">
        <w:rPr>
          <w:lang w:val="fr-FR"/>
        </w:rPr>
        <w:t>a)</w:t>
      </w:r>
      <w:r w:rsidRPr="002E58C3">
        <w:rPr>
          <w:lang w:val="fr-FR"/>
        </w:rPr>
        <w:tab/>
        <w:t xml:space="preserve">La classe C, D ou E du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113 ;</w:t>
      </w:r>
    </w:p>
    <w:p w:rsidR="00BA2F4D" w:rsidRPr="002E58C3" w:rsidRDefault="00BA2F4D" w:rsidP="00C8444E">
      <w:pPr>
        <w:pStyle w:val="SingleTxtG"/>
        <w:ind w:left="2268"/>
        <w:rPr>
          <w:lang w:val="fr-FR"/>
        </w:rPr>
      </w:pPr>
      <w:r w:rsidRPr="002E58C3">
        <w:rPr>
          <w:lang w:val="fr-FR"/>
        </w:rPr>
        <w:t>b)</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112 ;</w:t>
      </w:r>
    </w:p>
    <w:p w:rsidR="00BA2F4D" w:rsidRPr="002E58C3" w:rsidRDefault="00BA2F4D" w:rsidP="00C8444E">
      <w:pPr>
        <w:pStyle w:val="SingleTxtG"/>
        <w:ind w:left="2268"/>
        <w:rPr>
          <w:lang w:val="fr-FR"/>
        </w:rPr>
      </w:pPr>
      <w:r w:rsidRPr="002E58C3">
        <w:rPr>
          <w:lang w:val="fr-FR"/>
        </w:rPr>
        <w:t>c)</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1 ;</w:t>
      </w:r>
    </w:p>
    <w:p w:rsidR="00BA2F4D" w:rsidRPr="002E58C3" w:rsidRDefault="00BA2F4D" w:rsidP="00C8444E">
      <w:pPr>
        <w:pStyle w:val="SingleTxtG"/>
        <w:ind w:left="2268"/>
        <w:rPr>
          <w:lang w:val="fr-FR"/>
        </w:rPr>
      </w:pPr>
      <w:r w:rsidRPr="002E58C3">
        <w:rPr>
          <w:lang w:val="fr-FR"/>
        </w:rPr>
        <w:t>d)</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8 ;</w:t>
      </w:r>
    </w:p>
    <w:p w:rsidR="00BA2F4D" w:rsidRPr="002E58C3" w:rsidRDefault="00BA2F4D" w:rsidP="00C8444E">
      <w:pPr>
        <w:pStyle w:val="SingleTxtG"/>
        <w:ind w:left="2268"/>
        <w:rPr>
          <w:lang w:val="fr-FR"/>
        </w:rPr>
      </w:pPr>
      <w:r w:rsidRPr="002E58C3">
        <w:rPr>
          <w:lang w:val="fr-FR"/>
        </w:rPr>
        <w:t>e)</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20 ;</w:t>
      </w:r>
    </w:p>
    <w:p w:rsidR="00BA2F4D" w:rsidRPr="002E58C3" w:rsidRDefault="00BA2F4D" w:rsidP="00C8444E">
      <w:pPr>
        <w:pStyle w:val="SingleTxtG"/>
        <w:ind w:left="2268"/>
        <w:rPr>
          <w:lang w:val="fr-FR"/>
        </w:rPr>
      </w:pPr>
      <w:r w:rsidRPr="002E58C3">
        <w:rPr>
          <w:lang w:val="fr-FR"/>
        </w:rPr>
        <w:t>f)</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57 ;</w:t>
      </w:r>
    </w:p>
    <w:p w:rsidR="00BA2F4D" w:rsidRPr="002E58C3" w:rsidRDefault="00BA2F4D" w:rsidP="00C8444E">
      <w:pPr>
        <w:pStyle w:val="SingleTxtG"/>
        <w:ind w:left="2268"/>
        <w:rPr>
          <w:lang w:val="fr-FR"/>
        </w:rPr>
      </w:pPr>
      <w:r w:rsidRPr="002E58C3">
        <w:rPr>
          <w:lang w:val="fr-FR"/>
        </w:rPr>
        <w:t>g)</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72 ;</w:t>
      </w:r>
    </w:p>
    <w:p w:rsidR="00C8444E" w:rsidRDefault="00BA2F4D" w:rsidP="00C8444E">
      <w:pPr>
        <w:pStyle w:val="SingleTxtG"/>
        <w:ind w:left="2268"/>
        <w:rPr>
          <w:b/>
          <w:lang w:val="fr-FR"/>
        </w:rPr>
      </w:pPr>
      <w:r w:rsidRPr="002E58C3">
        <w:rPr>
          <w:lang w:val="fr-FR"/>
        </w:rPr>
        <w:t>h)</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98</w:t>
      </w:r>
      <w:r w:rsidR="00D342A2" w:rsidRPr="00D342A2">
        <w:rPr>
          <w:lang w:val="fr-FR"/>
        </w:rPr>
        <w:t>.</w:t>
      </w:r>
    </w:p>
    <w:p w:rsidR="00BA2F4D" w:rsidRPr="002E58C3" w:rsidRDefault="00BA2F4D" w:rsidP="00C8444E">
      <w:pPr>
        <w:pStyle w:val="SingleTxtG"/>
        <w:ind w:left="2268"/>
        <w:rPr>
          <w:lang w:val="fr-FR"/>
        </w:rPr>
      </w:pPr>
      <w:r w:rsidRPr="00C8444E">
        <w:rPr>
          <w:b/>
          <w:lang w:val="fr-FR"/>
        </w:rPr>
        <w:tab/>
        <w:t>i)</w:t>
      </w:r>
      <w:r w:rsidRPr="00C8444E">
        <w:rPr>
          <w:b/>
          <w:lang w:val="fr-FR"/>
        </w:rPr>
        <w:tab/>
        <w:t>Classe [A, B, D, CS, DS ou ES] du Règlement n</w:t>
      </w:r>
      <w:r w:rsidRPr="00C8444E">
        <w:rPr>
          <w:b/>
          <w:vertAlign w:val="superscript"/>
          <w:lang w:val="fr-FR"/>
        </w:rPr>
        <w:t>o</w:t>
      </w:r>
      <w:r w:rsidRPr="00C8444E">
        <w:rPr>
          <w:b/>
          <w:lang w:val="fr-FR"/>
        </w:rPr>
        <w:t> [RID].</w:t>
      </w:r>
      <w:r w:rsidR="00C8444E">
        <w:rPr>
          <w:lang w:val="fr-FR"/>
        </w:rPr>
        <w:t> »</w:t>
      </w:r>
      <w:r w:rsidRPr="002E58C3">
        <w:rPr>
          <w:lang w:val="fr-FR"/>
        </w:rPr>
        <w:t>.</w:t>
      </w:r>
    </w:p>
    <w:p w:rsidR="00BA2F4D" w:rsidRPr="002E58C3" w:rsidRDefault="00BA2F4D" w:rsidP="00C8444E">
      <w:pPr>
        <w:pStyle w:val="SingleTxtG"/>
        <w:rPr>
          <w:lang w:val="fr-FR"/>
        </w:rPr>
      </w:pPr>
      <w:r w:rsidRPr="002E58C3">
        <w:rPr>
          <w:i/>
          <w:lang w:val="fr-FR"/>
        </w:rPr>
        <w:t>Paragraphe 6.1.1.2</w:t>
      </w:r>
      <w:r w:rsidRPr="00C8444E">
        <w:rPr>
          <w:lang w:val="fr-FR"/>
        </w:rPr>
        <w:t xml:space="preserve">, </w:t>
      </w:r>
      <w:r w:rsidRPr="002E58C3">
        <w:rPr>
          <w:lang w:val="fr-FR"/>
        </w:rPr>
        <w:t>modifier comme suit</w:t>
      </w:r>
      <w:r w:rsidR="00B17D8D">
        <w:rPr>
          <w:lang w:val="fr-FR"/>
        </w:rPr>
        <w:t> :</w:t>
      </w:r>
    </w:p>
    <w:p w:rsidR="00BA2F4D" w:rsidRPr="002E58C3" w:rsidRDefault="00C8444E" w:rsidP="00B46F52">
      <w:pPr>
        <w:pStyle w:val="SingleTxtG"/>
        <w:ind w:left="2268" w:hanging="1134"/>
        <w:rPr>
          <w:lang w:val="fr-FR"/>
        </w:rPr>
      </w:pPr>
      <w:r>
        <w:rPr>
          <w:lang w:val="fr-FR"/>
        </w:rPr>
        <w:t>« </w:t>
      </w:r>
      <w:r w:rsidR="00B46F52">
        <w:rPr>
          <w:lang w:val="fr-FR"/>
        </w:rPr>
        <w:t>6.1.1.2</w:t>
      </w:r>
      <w:r w:rsidR="00B46F52">
        <w:rPr>
          <w:lang w:val="fr-FR"/>
        </w:rPr>
        <w:tab/>
      </w:r>
      <w:r w:rsidR="00BA2F4D" w:rsidRPr="002E58C3">
        <w:rPr>
          <w:lang w:val="fr-FR"/>
        </w:rPr>
        <w:t>Pour les motocycles d’une cylindrée &gt;125 cm</w:t>
      </w:r>
      <w:r w:rsidR="00BA2F4D" w:rsidRPr="006179B3">
        <w:rPr>
          <w:vertAlign w:val="superscript"/>
          <w:lang w:val="fr-FR"/>
        </w:rPr>
        <w:t>3</w:t>
      </w:r>
    </w:p>
    <w:p w:rsidR="00BA2F4D" w:rsidRPr="002E58C3" w:rsidRDefault="00BA2F4D" w:rsidP="00C8444E">
      <w:pPr>
        <w:pStyle w:val="SingleTxtG"/>
        <w:ind w:left="2268"/>
        <w:rPr>
          <w:lang w:val="fr-FR"/>
        </w:rPr>
      </w:pPr>
      <w:r w:rsidRPr="002E58C3">
        <w:rPr>
          <w:lang w:val="fr-FR"/>
        </w:rPr>
        <w:t>Un ou deux du type homologué selon :</w:t>
      </w:r>
    </w:p>
    <w:p w:rsidR="00BA2F4D" w:rsidRPr="002E58C3" w:rsidRDefault="00BA2F4D" w:rsidP="00C8444E">
      <w:pPr>
        <w:pStyle w:val="SingleTxtG"/>
        <w:ind w:left="2268"/>
        <w:rPr>
          <w:lang w:val="fr-FR"/>
        </w:rPr>
      </w:pPr>
      <w:r w:rsidRPr="002E58C3">
        <w:rPr>
          <w:lang w:val="fr-FR"/>
        </w:rPr>
        <w:t>a)</w:t>
      </w:r>
      <w:r w:rsidRPr="002E58C3">
        <w:rPr>
          <w:lang w:val="fr-FR"/>
        </w:rPr>
        <w:tab/>
        <w:t xml:space="preserve">La classe D ou E du Règlement </w:t>
      </w:r>
      <w:r w:rsidRPr="002E58C3">
        <w:rPr>
          <w:rFonts w:eastAsia="MS Mincho"/>
          <w:szCs w:val="22"/>
          <w:lang w:val="fr-FR"/>
        </w:rPr>
        <w:t>n</w:t>
      </w:r>
      <w:r w:rsidRPr="002E58C3">
        <w:rPr>
          <w:rFonts w:eastAsia="MS Mincho"/>
          <w:szCs w:val="22"/>
          <w:vertAlign w:val="superscript"/>
          <w:lang w:val="fr-FR"/>
        </w:rPr>
        <w:t>o</w:t>
      </w:r>
      <w:r w:rsidRPr="002E58C3">
        <w:rPr>
          <w:lang w:val="fr-FR"/>
        </w:rPr>
        <w:t> 113 ;</w:t>
      </w:r>
    </w:p>
    <w:p w:rsidR="00BA2F4D" w:rsidRPr="002E58C3" w:rsidRDefault="00BA2F4D" w:rsidP="00C8444E">
      <w:pPr>
        <w:pStyle w:val="SingleTxtG"/>
        <w:ind w:left="2268"/>
        <w:rPr>
          <w:lang w:val="fr-FR"/>
        </w:rPr>
      </w:pPr>
      <w:r w:rsidRPr="002E58C3">
        <w:rPr>
          <w:lang w:val="fr-FR"/>
        </w:rPr>
        <w:t>b)</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112 ;</w:t>
      </w:r>
    </w:p>
    <w:p w:rsidR="00BA2F4D" w:rsidRPr="002E58C3" w:rsidRDefault="00BA2F4D" w:rsidP="00C8444E">
      <w:pPr>
        <w:pStyle w:val="SingleTxtG"/>
        <w:ind w:left="2268"/>
        <w:rPr>
          <w:lang w:val="fr-FR"/>
        </w:rPr>
      </w:pPr>
      <w:r w:rsidRPr="002E58C3">
        <w:rPr>
          <w:lang w:val="fr-FR"/>
        </w:rPr>
        <w:t>c)</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1 ;</w:t>
      </w:r>
    </w:p>
    <w:p w:rsidR="00BA2F4D" w:rsidRPr="002E58C3" w:rsidRDefault="00BA2F4D" w:rsidP="00C8444E">
      <w:pPr>
        <w:pStyle w:val="SingleTxtG"/>
        <w:ind w:left="2268"/>
        <w:rPr>
          <w:lang w:val="fr-FR"/>
        </w:rPr>
      </w:pPr>
      <w:r w:rsidRPr="002E58C3">
        <w:rPr>
          <w:lang w:val="fr-FR"/>
        </w:rPr>
        <w:t>d)</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8 ;</w:t>
      </w:r>
    </w:p>
    <w:p w:rsidR="00BA2F4D" w:rsidRPr="002E58C3" w:rsidRDefault="00BA2F4D" w:rsidP="00C8444E">
      <w:pPr>
        <w:pStyle w:val="SingleTxtG"/>
        <w:ind w:left="2268"/>
        <w:rPr>
          <w:lang w:val="fr-FR"/>
        </w:rPr>
      </w:pPr>
      <w:r w:rsidRPr="002E58C3">
        <w:rPr>
          <w:lang w:val="fr-FR"/>
        </w:rPr>
        <w:t>e)</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20 ;</w:t>
      </w:r>
    </w:p>
    <w:p w:rsidR="00BA2F4D" w:rsidRPr="002E58C3" w:rsidRDefault="00BA2F4D" w:rsidP="00C8444E">
      <w:pPr>
        <w:pStyle w:val="SingleTxtG"/>
        <w:ind w:left="2268"/>
        <w:rPr>
          <w:lang w:val="fr-FR"/>
        </w:rPr>
      </w:pPr>
      <w:r w:rsidRPr="002E58C3">
        <w:rPr>
          <w:lang w:val="fr-FR"/>
        </w:rPr>
        <w:t>f)</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72 ;</w:t>
      </w:r>
    </w:p>
    <w:p w:rsidR="00BA2F4D" w:rsidRPr="00C8444E" w:rsidRDefault="00BA2F4D" w:rsidP="00C8444E">
      <w:pPr>
        <w:pStyle w:val="SingleTxtG"/>
        <w:ind w:left="2268"/>
        <w:rPr>
          <w:b/>
          <w:lang w:val="fr-FR"/>
        </w:rPr>
      </w:pPr>
      <w:r w:rsidRPr="002E58C3">
        <w:rPr>
          <w:lang w:val="fr-FR"/>
        </w:rPr>
        <w:lastRenderedPageBreak/>
        <w:t>g)</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98</w:t>
      </w:r>
      <w:r w:rsidR="0002225C" w:rsidRPr="0002225C">
        <w:rPr>
          <w:strike/>
          <w:lang w:val="fr-FR"/>
        </w:rPr>
        <w:t>.</w:t>
      </w:r>
      <w:r w:rsidR="00140137">
        <w:rPr>
          <w:lang w:val="fr-FR"/>
        </w:rPr>
        <w:t> </w:t>
      </w:r>
      <w:r w:rsidR="00140137" w:rsidRPr="0002225C">
        <w:rPr>
          <w:b/>
          <w:lang w:val="fr-FR"/>
        </w:rPr>
        <w:t>;</w:t>
      </w:r>
    </w:p>
    <w:p w:rsidR="00BA2F4D" w:rsidRPr="002E58C3" w:rsidRDefault="00BA2F4D" w:rsidP="00C8444E">
      <w:pPr>
        <w:pStyle w:val="SingleTxtG"/>
        <w:ind w:left="2268"/>
        <w:rPr>
          <w:lang w:val="fr-FR"/>
        </w:rPr>
      </w:pPr>
      <w:r w:rsidRPr="00C8444E">
        <w:rPr>
          <w:b/>
          <w:lang w:val="fr-FR"/>
        </w:rPr>
        <w:tab/>
        <w:t>h)</w:t>
      </w:r>
      <w:r w:rsidRPr="00C8444E">
        <w:rPr>
          <w:b/>
          <w:lang w:val="fr-FR"/>
        </w:rPr>
        <w:tab/>
        <w:t>La classe [A, B, D, DS ou ES] du Règlement n</w:t>
      </w:r>
      <w:r w:rsidRPr="00C8444E">
        <w:rPr>
          <w:b/>
          <w:vertAlign w:val="superscript"/>
          <w:lang w:val="fr-FR"/>
        </w:rPr>
        <w:t>o</w:t>
      </w:r>
      <w:r w:rsidRPr="00C8444E">
        <w:rPr>
          <w:b/>
          <w:lang w:val="fr-FR"/>
        </w:rPr>
        <w:t> [RID]</w:t>
      </w:r>
      <w:r w:rsidR="00A67FCC">
        <w:rPr>
          <w:b/>
          <w:lang w:val="fr-FR"/>
        </w:rPr>
        <w:t>.</w:t>
      </w:r>
    </w:p>
    <w:p w:rsidR="00BA2F4D" w:rsidRPr="002E58C3" w:rsidRDefault="00BA2F4D" w:rsidP="00C8444E">
      <w:pPr>
        <w:pStyle w:val="SingleTxtG"/>
        <w:ind w:left="2268"/>
        <w:rPr>
          <w:lang w:val="fr-FR"/>
        </w:rPr>
      </w:pPr>
      <w:r w:rsidRPr="002E58C3">
        <w:rPr>
          <w:lang w:val="fr-FR"/>
        </w:rPr>
        <w:t>Deux du type homologué selon :</w:t>
      </w:r>
    </w:p>
    <w:p w:rsidR="00BA2F4D" w:rsidRPr="002E58C3" w:rsidRDefault="00BA2F4D" w:rsidP="00C8444E">
      <w:pPr>
        <w:pStyle w:val="SingleTxtG"/>
        <w:ind w:left="2268"/>
        <w:rPr>
          <w:lang w:val="fr-FR"/>
        </w:rPr>
      </w:pPr>
      <w:r w:rsidRPr="002E58C3">
        <w:rPr>
          <w:strike/>
          <w:lang w:val="fr-FR"/>
        </w:rPr>
        <w:t>h)</w:t>
      </w:r>
      <w:r w:rsidRPr="00C8444E">
        <w:rPr>
          <w:b/>
          <w:lang w:val="fr-FR"/>
        </w:rPr>
        <w:t>i)</w:t>
      </w:r>
      <w:r w:rsidRPr="002E58C3">
        <w:rPr>
          <w:lang w:val="fr-FR"/>
        </w:rPr>
        <w:tab/>
        <w:t>La classe C du Règlement n</w:t>
      </w:r>
      <w:r w:rsidRPr="002E58C3">
        <w:rPr>
          <w:vertAlign w:val="superscript"/>
          <w:lang w:val="fr-FR"/>
        </w:rPr>
        <w:t>o</w:t>
      </w:r>
      <w:r w:rsidRPr="002E58C3">
        <w:rPr>
          <w:lang w:val="fr-FR"/>
        </w:rPr>
        <w:t> 113</w:t>
      </w:r>
      <w:r w:rsidRPr="002E58C3">
        <w:rPr>
          <w:strike/>
          <w:lang w:val="fr-FR"/>
        </w:rPr>
        <w:t>.</w:t>
      </w:r>
      <w:r w:rsidR="00B17D8D" w:rsidRPr="00B17D8D">
        <w:rPr>
          <w:lang w:val="fr-FR"/>
        </w:rPr>
        <w:t> </w:t>
      </w:r>
      <w:r w:rsidR="00B17D8D">
        <w:rPr>
          <w:b/>
          <w:lang w:val="fr-FR"/>
        </w:rPr>
        <w:t>;</w:t>
      </w:r>
    </w:p>
    <w:p w:rsidR="00BA2F4D" w:rsidRPr="002E58C3" w:rsidRDefault="00BA2F4D" w:rsidP="00C8444E">
      <w:pPr>
        <w:pStyle w:val="SingleTxtG"/>
        <w:ind w:left="2268"/>
        <w:rPr>
          <w:lang w:val="fr-FR"/>
        </w:rPr>
      </w:pPr>
      <w:r w:rsidRPr="00C8444E">
        <w:rPr>
          <w:b/>
          <w:lang w:val="fr-FR"/>
        </w:rPr>
        <w:t>j)</w:t>
      </w:r>
      <w:r w:rsidRPr="00C8444E">
        <w:rPr>
          <w:b/>
          <w:lang w:val="fr-FR"/>
        </w:rPr>
        <w:tab/>
        <w:t>La classe CS du Règlement n</w:t>
      </w:r>
      <w:r w:rsidRPr="00C8444E">
        <w:rPr>
          <w:b/>
          <w:vertAlign w:val="superscript"/>
          <w:lang w:val="fr-FR"/>
        </w:rPr>
        <w:t>o</w:t>
      </w:r>
      <w:r w:rsidRPr="00C8444E">
        <w:rPr>
          <w:b/>
          <w:lang w:val="fr-FR"/>
        </w:rPr>
        <w:t> [RID].</w:t>
      </w:r>
      <w:r w:rsidR="00C8444E">
        <w:rPr>
          <w:lang w:val="fr-FR"/>
        </w:rPr>
        <w:t> »</w:t>
      </w:r>
      <w:r w:rsidRPr="002E58C3">
        <w:rPr>
          <w:lang w:val="fr-FR"/>
        </w:rPr>
        <w:t>.</w:t>
      </w:r>
    </w:p>
    <w:p w:rsidR="00BA2F4D" w:rsidRPr="00C8444E" w:rsidRDefault="00BA2F4D" w:rsidP="00C8444E">
      <w:pPr>
        <w:pStyle w:val="SingleTxtG"/>
        <w:rPr>
          <w:i/>
          <w:lang w:val="fr-FR"/>
        </w:rPr>
      </w:pPr>
      <w:r w:rsidRPr="002E58C3">
        <w:rPr>
          <w:i/>
          <w:lang w:val="fr-FR"/>
        </w:rPr>
        <w:t>Paragraphe 6.2.1.1</w:t>
      </w:r>
      <w:r w:rsidRPr="00426917">
        <w:rPr>
          <w:lang w:val="fr-FR"/>
        </w:rPr>
        <w:t xml:space="preserve">, </w:t>
      </w:r>
      <w:r w:rsidRPr="00B17D8D">
        <w:rPr>
          <w:lang w:val="fr-FR"/>
        </w:rPr>
        <w:t>modifier comme suit</w:t>
      </w:r>
      <w:r w:rsidR="00B17D8D">
        <w:rPr>
          <w:lang w:val="fr-FR"/>
        </w:rPr>
        <w:t> :</w:t>
      </w:r>
    </w:p>
    <w:p w:rsidR="00BA2F4D" w:rsidRPr="002E58C3" w:rsidRDefault="00426917" w:rsidP="00C8444E">
      <w:pPr>
        <w:pStyle w:val="SingleTxtG"/>
        <w:rPr>
          <w:lang w:val="fr-FR"/>
        </w:rPr>
      </w:pPr>
      <w:r>
        <w:rPr>
          <w:lang w:val="fr-FR"/>
        </w:rPr>
        <w:t>« </w:t>
      </w:r>
      <w:r w:rsidR="00BA2F4D" w:rsidRPr="002E58C3">
        <w:rPr>
          <w:lang w:val="fr-FR"/>
        </w:rPr>
        <w:t>Pour les motocycles d’une cylindrée ≤125 cm</w:t>
      </w:r>
      <w:r w:rsidR="00BA2F4D" w:rsidRPr="002E58C3">
        <w:rPr>
          <w:vertAlign w:val="superscript"/>
          <w:lang w:val="fr-FR"/>
        </w:rPr>
        <w:t>3</w:t>
      </w:r>
    </w:p>
    <w:p w:rsidR="00BA2F4D" w:rsidRPr="002E58C3" w:rsidRDefault="00BA2F4D" w:rsidP="00C8444E">
      <w:pPr>
        <w:pStyle w:val="SingleTxtG"/>
        <w:ind w:left="2268"/>
        <w:rPr>
          <w:lang w:val="fr-FR"/>
        </w:rPr>
      </w:pPr>
      <w:r w:rsidRPr="002E58C3">
        <w:rPr>
          <w:lang w:val="fr-FR"/>
        </w:rPr>
        <w:t>Un ou deux du type homologué selon :</w:t>
      </w:r>
    </w:p>
    <w:p w:rsidR="00BA2F4D" w:rsidRPr="002E58C3" w:rsidRDefault="00BA2F4D" w:rsidP="00C8444E">
      <w:pPr>
        <w:pStyle w:val="SingleTxtG"/>
        <w:ind w:left="2268"/>
        <w:rPr>
          <w:lang w:val="fr-FR"/>
        </w:rPr>
      </w:pPr>
      <w:r w:rsidRPr="002E58C3">
        <w:rPr>
          <w:bCs/>
          <w:lang w:val="fr-FR"/>
        </w:rPr>
        <w:t>a)</w:t>
      </w:r>
      <w:r w:rsidRPr="002E58C3">
        <w:rPr>
          <w:lang w:val="fr-FR"/>
        </w:rPr>
        <w:tab/>
        <w:t xml:space="preserve">La classe C, D </w:t>
      </w:r>
      <w:r w:rsidRPr="002E58C3">
        <w:rPr>
          <w:bCs/>
          <w:lang w:val="fr-FR"/>
        </w:rPr>
        <w:t>ou E</w:t>
      </w:r>
      <w:r w:rsidRPr="002E58C3">
        <w:rPr>
          <w:lang w:val="fr-FR"/>
        </w:rPr>
        <w:t xml:space="preserve"> du Règlement </w:t>
      </w:r>
      <w:r w:rsidRPr="002E58C3">
        <w:rPr>
          <w:rFonts w:eastAsia="MS Mincho"/>
          <w:szCs w:val="22"/>
          <w:lang w:val="fr-FR"/>
        </w:rPr>
        <w:t>n</w:t>
      </w:r>
      <w:r w:rsidRPr="002E58C3">
        <w:rPr>
          <w:rFonts w:eastAsia="MS Mincho"/>
          <w:szCs w:val="22"/>
          <w:vertAlign w:val="superscript"/>
          <w:lang w:val="fr-FR"/>
        </w:rPr>
        <w:t>o</w:t>
      </w:r>
      <w:r w:rsidRPr="002E58C3">
        <w:rPr>
          <w:lang w:val="fr-FR"/>
        </w:rPr>
        <w:t> 113 ;</w:t>
      </w:r>
    </w:p>
    <w:p w:rsidR="00BA2F4D" w:rsidRPr="002E58C3" w:rsidRDefault="00BA2F4D" w:rsidP="00C8444E">
      <w:pPr>
        <w:pStyle w:val="SingleTxtG"/>
        <w:ind w:left="2268"/>
        <w:rPr>
          <w:lang w:val="fr-FR"/>
        </w:rPr>
      </w:pPr>
      <w:r w:rsidRPr="00C8444E">
        <w:rPr>
          <w:lang w:val="fr-FR"/>
        </w:rPr>
        <w:t>b)</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112 ;</w:t>
      </w:r>
    </w:p>
    <w:p w:rsidR="00BA2F4D" w:rsidRPr="002E58C3" w:rsidRDefault="00BA2F4D" w:rsidP="00C8444E">
      <w:pPr>
        <w:pStyle w:val="SingleTxtG"/>
        <w:ind w:left="2268"/>
        <w:rPr>
          <w:lang w:val="fr-FR"/>
        </w:rPr>
      </w:pPr>
      <w:r w:rsidRPr="00C8444E">
        <w:rPr>
          <w:lang w:val="fr-FR"/>
        </w:rPr>
        <w:t>c)</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1 ;</w:t>
      </w:r>
    </w:p>
    <w:p w:rsidR="00BA2F4D" w:rsidRPr="002E58C3" w:rsidRDefault="00BA2F4D" w:rsidP="00C8444E">
      <w:pPr>
        <w:pStyle w:val="SingleTxtG"/>
        <w:ind w:left="2268"/>
        <w:rPr>
          <w:lang w:val="fr-FR"/>
        </w:rPr>
      </w:pPr>
      <w:r w:rsidRPr="002E58C3">
        <w:rPr>
          <w:lang w:val="fr-FR"/>
        </w:rPr>
        <w:t>d)</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8 ;</w:t>
      </w:r>
    </w:p>
    <w:p w:rsidR="00BA2F4D" w:rsidRPr="002E58C3" w:rsidRDefault="00BA2F4D" w:rsidP="00C8444E">
      <w:pPr>
        <w:pStyle w:val="SingleTxtG"/>
        <w:ind w:left="2268"/>
        <w:rPr>
          <w:lang w:val="fr-FR"/>
        </w:rPr>
      </w:pPr>
      <w:r w:rsidRPr="00C8444E">
        <w:rPr>
          <w:lang w:val="fr-FR"/>
        </w:rPr>
        <w:t>e)</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20 ;</w:t>
      </w:r>
    </w:p>
    <w:p w:rsidR="00BA2F4D" w:rsidRPr="002E58C3" w:rsidRDefault="00BA2F4D" w:rsidP="00C8444E">
      <w:pPr>
        <w:pStyle w:val="SingleTxtG"/>
        <w:ind w:left="2268"/>
        <w:rPr>
          <w:lang w:val="fr-FR"/>
        </w:rPr>
      </w:pPr>
      <w:r w:rsidRPr="00C8444E">
        <w:rPr>
          <w:lang w:val="fr-FR"/>
        </w:rPr>
        <w:t>f)</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57 ;</w:t>
      </w:r>
    </w:p>
    <w:p w:rsidR="00BA2F4D" w:rsidRPr="002E58C3" w:rsidRDefault="00BA2F4D" w:rsidP="00C8444E">
      <w:pPr>
        <w:pStyle w:val="SingleTxtG"/>
        <w:ind w:left="2268"/>
        <w:rPr>
          <w:lang w:val="fr-FR"/>
        </w:rPr>
      </w:pPr>
      <w:r w:rsidRPr="00C8444E">
        <w:rPr>
          <w:lang w:val="fr-FR"/>
        </w:rPr>
        <w:t>g)</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2E58C3">
        <w:rPr>
          <w:lang w:val="fr-FR"/>
        </w:rPr>
        <w:t>72 ;</w:t>
      </w:r>
    </w:p>
    <w:p w:rsidR="00BA2F4D" w:rsidRPr="002E58C3" w:rsidRDefault="00BA2F4D" w:rsidP="00C8444E">
      <w:pPr>
        <w:pStyle w:val="SingleTxtG"/>
        <w:ind w:left="2268"/>
        <w:rPr>
          <w:lang w:val="fr-FR"/>
        </w:rPr>
      </w:pPr>
      <w:r w:rsidRPr="00C8444E">
        <w:rPr>
          <w:lang w:val="fr-FR"/>
        </w:rPr>
        <w:tab/>
        <w:t>h)</w:t>
      </w:r>
      <w:r w:rsidRPr="002E58C3">
        <w:rPr>
          <w:lang w:val="fr-FR"/>
        </w:rPr>
        <w:tab/>
        <w:t xml:space="preserve">Le Règlement </w:t>
      </w:r>
      <w:r w:rsidR="00C8444E" w:rsidRPr="002E58C3">
        <w:rPr>
          <w:lang w:val="fr-FR"/>
        </w:rPr>
        <w:t>n</w:t>
      </w:r>
      <w:r w:rsidR="00C8444E" w:rsidRPr="002E58C3">
        <w:rPr>
          <w:vertAlign w:val="superscript"/>
          <w:lang w:val="fr-FR"/>
        </w:rPr>
        <w:t>o</w:t>
      </w:r>
      <w:r w:rsidR="00C8444E">
        <w:rPr>
          <w:lang w:val="fr-FR"/>
        </w:rPr>
        <w:t> </w:t>
      </w:r>
      <w:r w:rsidRPr="00C8444E">
        <w:rPr>
          <w:lang w:val="fr-FR"/>
        </w:rPr>
        <w:t>98</w:t>
      </w:r>
      <w:r w:rsidRPr="00C8444E">
        <w:rPr>
          <w:strike/>
          <w:lang w:val="fr-FR"/>
        </w:rPr>
        <w:t>.</w:t>
      </w:r>
      <w:r w:rsidR="00B17D8D" w:rsidRPr="00B17D8D">
        <w:rPr>
          <w:lang w:val="fr-FR"/>
        </w:rPr>
        <w:t> </w:t>
      </w:r>
      <w:r w:rsidR="00B17D8D">
        <w:rPr>
          <w:b/>
          <w:lang w:val="fr-FR"/>
        </w:rPr>
        <w:t>;</w:t>
      </w:r>
    </w:p>
    <w:p w:rsidR="00BA2F4D" w:rsidRPr="002E58C3" w:rsidRDefault="00BA2F4D" w:rsidP="00C8444E">
      <w:pPr>
        <w:pStyle w:val="SingleTxtG"/>
        <w:ind w:left="2268"/>
        <w:rPr>
          <w:lang w:val="fr-FR"/>
        </w:rPr>
      </w:pPr>
      <w:r w:rsidRPr="00C8444E">
        <w:rPr>
          <w:b/>
          <w:lang w:val="fr-FR"/>
        </w:rPr>
        <w:t>i)</w:t>
      </w:r>
      <w:r w:rsidR="00C8444E" w:rsidRPr="00C8444E">
        <w:rPr>
          <w:b/>
          <w:lang w:val="fr-FR"/>
        </w:rPr>
        <w:tab/>
      </w:r>
      <w:r w:rsidRPr="00C8444E">
        <w:rPr>
          <w:b/>
          <w:lang w:val="fr-FR"/>
        </w:rPr>
        <w:t>La classe [A, B, D, CS, DS ou ES] du Règlement n</w:t>
      </w:r>
      <w:r w:rsidRPr="00C8444E">
        <w:rPr>
          <w:b/>
          <w:vertAlign w:val="superscript"/>
          <w:lang w:val="fr-FR"/>
        </w:rPr>
        <w:t>o</w:t>
      </w:r>
      <w:r w:rsidRPr="00C8444E">
        <w:rPr>
          <w:b/>
          <w:lang w:val="fr-FR"/>
        </w:rPr>
        <w:t> [RID].</w:t>
      </w:r>
      <w:r w:rsidR="00C8444E">
        <w:rPr>
          <w:lang w:val="fr-FR"/>
        </w:rPr>
        <w:t> »</w:t>
      </w:r>
      <w:r w:rsidRPr="002E58C3">
        <w:rPr>
          <w:lang w:val="fr-FR"/>
        </w:rPr>
        <w:t>.</w:t>
      </w:r>
    </w:p>
    <w:p w:rsidR="00BA2F4D" w:rsidRPr="002E58C3" w:rsidRDefault="00BA2F4D" w:rsidP="00C8444E">
      <w:pPr>
        <w:pStyle w:val="SingleTxtG"/>
        <w:rPr>
          <w:lang w:val="fr-FR"/>
        </w:rPr>
      </w:pPr>
      <w:r w:rsidRPr="002E58C3">
        <w:rPr>
          <w:i/>
          <w:lang w:val="fr-FR"/>
        </w:rPr>
        <w:t>Paragraphe 6.2.1.2</w:t>
      </w:r>
      <w:r w:rsidRPr="00426917">
        <w:rPr>
          <w:lang w:val="fr-FR"/>
        </w:rPr>
        <w:t>,</w:t>
      </w:r>
      <w:r w:rsidRPr="002E58C3">
        <w:rPr>
          <w:i/>
          <w:lang w:val="fr-FR"/>
        </w:rPr>
        <w:t xml:space="preserve"> </w:t>
      </w:r>
      <w:r w:rsidRPr="002E58C3">
        <w:rPr>
          <w:lang w:val="fr-FR"/>
        </w:rPr>
        <w:t>modifier comme suit</w:t>
      </w:r>
      <w:r w:rsidR="00B17D8D">
        <w:rPr>
          <w:lang w:val="fr-FR"/>
        </w:rPr>
        <w:t> :</w:t>
      </w:r>
    </w:p>
    <w:p w:rsidR="00BA2F4D" w:rsidRPr="002E58C3" w:rsidRDefault="00426917" w:rsidP="00C8444E">
      <w:pPr>
        <w:pStyle w:val="SingleTxtG"/>
        <w:rPr>
          <w:vertAlign w:val="superscript"/>
          <w:lang w:val="fr-FR"/>
        </w:rPr>
      </w:pPr>
      <w:r>
        <w:rPr>
          <w:lang w:val="fr-FR"/>
        </w:rPr>
        <w:t>« </w:t>
      </w:r>
      <w:r w:rsidR="00BA2F4D" w:rsidRPr="002E58C3">
        <w:rPr>
          <w:lang w:val="fr-FR"/>
        </w:rPr>
        <w:t>6.2.1.2</w:t>
      </w:r>
      <w:r w:rsidR="00BA2F4D" w:rsidRPr="002E58C3">
        <w:rPr>
          <w:lang w:val="fr-FR"/>
        </w:rPr>
        <w:tab/>
        <w:t>Pour les motocycles d’une cylindrée &gt;125 cm</w:t>
      </w:r>
      <w:r w:rsidR="00BA2F4D" w:rsidRPr="002E58C3">
        <w:rPr>
          <w:vertAlign w:val="superscript"/>
          <w:lang w:val="fr-FR"/>
        </w:rPr>
        <w:t>3</w:t>
      </w:r>
    </w:p>
    <w:p w:rsidR="00BA2F4D" w:rsidRPr="002E58C3" w:rsidRDefault="00BA2F4D" w:rsidP="00C8444E">
      <w:pPr>
        <w:pStyle w:val="SingleTxtG"/>
        <w:ind w:left="2268"/>
        <w:rPr>
          <w:lang w:val="fr-FR"/>
        </w:rPr>
      </w:pPr>
      <w:r w:rsidRPr="002E58C3">
        <w:rPr>
          <w:lang w:val="fr-FR"/>
        </w:rPr>
        <w:t>Un ou deux du type homologué selon :</w:t>
      </w:r>
    </w:p>
    <w:p w:rsidR="00BA2F4D" w:rsidRPr="002E58C3" w:rsidRDefault="00BA2F4D" w:rsidP="00C8444E">
      <w:pPr>
        <w:pStyle w:val="SingleTxtG"/>
        <w:ind w:left="2268"/>
        <w:rPr>
          <w:lang w:val="fr-FR"/>
        </w:rPr>
      </w:pPr>
      <w:r w:rsidRPr="002E58C3">
        <w:rPr>
          <w:bCs/>
          <w:lang w:val="fr-FR"/>
        </w:rPr>
        <w:t>a)</w:t>
      </w:r>
      <w:r w:rsidRPr="002E58C3">
        <w:rPr>
          <w:lang w:val="fr-FR"/>
        </w:rPr>
        <w:tab/>
        <w:t xml:space="preserve">La classe D </w:t>
      </w:r>
      <w:r w:rsidRPr="002E58C3">
        <w:rPr>
          <w:bCs/>
          <w:lang w:val="fr-FR"/>
        </w:rPr>
        <w:t>ou E</w:t>
      </w:r>
      <w:r w:rsidRPr="002E58C3">
        <w:rPr>
          <w:lang w:val="fr-FR"/>
        </w:rPr>
        <w:t xml:space="preserve"> du Règlement </w:t>
      </w:r>
      <w:r w:rsidR="00267506" w:rsidRPr="002E58C3">
        <w:rPr>
          <w:lang w:val="fr-FR"/>
        </w:rPr>
        <w:t>n</w:t>
      </w:r>
      <w:r w:rsidR="00267506" w:rsidRPr="002E58C3">
        <w:rPr>
          <w:vertAlign w:val="superscript"/>
          <w:lang w:val="fr-FR"/>
        </w:rPr>
        <w:t>o</w:t>
      </w:r>
      <w:r w:rsidR="00267506">
        <w:rPr>
          <w:lang w:val="fr-FR"/>
        </w:rPr>
        <w:t> </w:t>
      </w:r>
      <w:r w:rsidRPr="002E58C3">
        <w:rPr>
          <w:lang w:val="fr-FR"/>
        </w:rPr>
        <w:t>113 ;</w:t>
      </w:r>
    </w:p>
    <w:p w:rsidR="00BA2F4D" w:rsidRPr="002E58C3" w:rsidRDefault="00BA2F4D" w:rsidP="00C8444E">
      <w:pPr>
        <w:pStyle w:val="SingleTxtG"/>
        <w:ind w:left="2268"/>
        <w:rPr>
          <w:lang w:val="fr-FR"/>
        </w:rPr>
      </w:pPr>
      <w:r w:rsidRPr="00C8444E">
        <w:rPr>
          <w:lang w:val="fr-FR"/>
        </w:rPr>
        <w:t>b)</w:t>
      </w:r>
      <w:r w:rsidRPr="002E58C3">
        <w:rPr>
          <w:lang w:val="fr-FR"/>
        </w:rPr>
        <w:tab/>
        <w:t xml:space="preserve">Le Règlement </w:t>
      </w:r>
      <w:r w:rsidR="00267506" w:rsidRPr="002E58C3">
        <w:rPr>
          <w:lang w:val="fr-FR"/>
        </w:rPr>
        <w:t>n</w:t>
      </w:r>
      <w:r w:rsidR="00267506" w:rsidRPr="002E58C3">
        <w:rPr>
          <w:vertAlign w:val="superscript"/>
          <w:lang w:val="fr-FR"/>
        </w:rPr>
        <w:t>o</w:t>
      </w:r>
      <w:r w:rsidR="00267506">
        <w:rPr>
          <w:lang w:val="fr-FR"/>
        </w:rPr>
        <w:t> </w:t>
      </w:r>
      <w:r w:rsidRPr="002E58C3">
        <w:rPr>
          <w:lang w:val="fr-FR"/>
        </w:rPr>
        <w:t>112 ;</w:t>
      </w:r>
    </w:p>
    <w:p w:rsidR="00BA2F4D" w:rsidRPr="002E58C3" w:rsidRDefault="00BA2F4D" w:rsidP="00C8444E">
      <w:pPr>
        <w:pStyle w:val="SingleTxtG"/>
        <w:ind w:left="2268"/>
        <w:rPr>
          <w:lang w:val="fr-FR"/>
        </w:rPr>
      </w:pPr>
      <w:r w:rsidRPr="00C8444E">
        <w:rPr>
          <w:lang w:val="fr-FR"/>
        </w:rPr>
        <w:t>c)</w:t>
      </w:r>
      <w:r w:rsidRPr="002E58C3">
        <w:rPr>
          <w:lang w:val="fr-FR"/>
        </w:rPr>
        <w:tab/>
        <w:t xml:space="preserve">Le Règlement </w:t>
      </w:r>
      <w:r w:rsidR="00267506" w:rsidRPr="002E58C3">
        <w:rPr>
          <w:lang w:val="fr-FR"/>
        </w:rPr>
        <w:t>n</w:t>
      </w:r>
      <w:r w:rsidR="00267506" w:rsidRPr="002E58C3">
        <w:rPr>
          <w:vertAlign w:val="superscript"/>
          <w:lang w:val="fr-FR"/>
        </w:rPr>
        <w:t>o</w:t>
      </w:r>
      <w:r w:rsidR="00267506">
        <w:rPr>
          <w:lang w:val="fr-FR"/>
        </w:rPr>
        <w:t> </w:t>
      </w:r>
      <w:r w:rsidRPr="002E58C3">
        <w:rPr>
          <w:lang w:val="fr-FR"/>
        </w:rPr>
        <w:t>1 ;</w:t>
      </w:r>
    </w:p>
    <w:p w:rsidR="00BA2F4D" w:rsidRPr="002E58C3" w:rsidRDefault="00BA2F4D" w:rsidP="00C8444E">
      <w:pPr>
        <w:pStyle w:val="SingleTxtG"/>
        <w:ind w:left="2268"/>
        <w:rPr>
          <w:lang w:val="fr-FR"/>
        </w:rPr>
      </w:pPr>
      <w:r w:rsidRPr="00C8444E">
        <w:rPr>
          <w:lang w:val="fr-FR"/>
        </w:rPr>
        <w:t>d)</w:t>
      </w:r>
      <w:r w:rsidRPr="002E58C3">
        <w:rPr>
          <w:lang w:val="fr-FR"/>
        </w:rPr>
        <w:tab/>
        <w:t xml:space="preserve">Le Règlement </w:t>
      </w:r>
      <w:r w:rsidR="00267506" w:rsidRPr="002E58C3">
        <w:rPr>
          <w:lang w:val="fr-FR"/>
        </w:rPr>
        <w:t>n</w:t>
      </w:r>
      <w:r w:rsidR="00267506" w:rsidRPr="002E58C3">
        <w:rPr>
          <w:vertAlign w:val="superscript"/>
          <w:lang w:val="fr-FR"/>
        </w:rPr>
        <w:t>o</w:t>
      </w:r>
      <w:r w:rsidR="00267506">
        <w:rPr>
          <w:lang w:val="fr-FR"/>
        </w:rPr>
        <w:t> </w:t>
      </w:r>
      <w:r w:rsidRPr="002E58C3">
        <w:rPr>
          <w:lang w:val="fr-FR"/>
        </w:rPr>
        <w:t>8 ;</w:t>
      </w:r>
    </w:p>
    <w:p w:rsidR="00BA2F4D" w:rsidRPr="002E58C3" w:rsidRDefault="00BA2F4D" w:rsidP="00C8444E">
      <w:pPr>
        <w:pStyle w:val="SingleTxtG"/>
        <w:ind w:left="2268"/>
        <w:rPr>
          <w:lang w:val="fr-FR"/>
        </w:rPr>
      </w:pPr>
      <w:r w:rsidRPr="00C8444E">
        <w:rPr>
          <w:lang w:val="fr-FR"/>
        </w:rPr>
        <w:t>e)</w:t>
      </w:r>
      <w:r w:rsidRPr="002E58C3">
        <w:rPr>
          <w:lang w:val="fr-FR"/>
        </w:rPr>
        <w:tab/>
        <w:t xml:space="preserve">Le Règlement </w:t>
      </w:r>
      <w:r w:rsidR="00267506" w:rsidRPr="002E58C3">
        <w:rPr>
          <w:lang w:val="fr-FR"/>
        </w:rPr>
        <w:t>n</w:t>
      </w:r>
      <w:r w:rsidR="00267506" w:rsidRPr="002E58C3">
        <w:rPr>
          <w:vertAlign w:val="superscript"/>
          <w:lang w:val="fr-FR"/>
        </w:rPr>
        <w:t>o</w:t>
      </w:r>
      <w:r w:rsidR="00267506">
        <w:rPr>
          <w:lang w:val="fr-FR"/>
        </w:rPr>
        <w:t> </w:t>
      </w:r>
      <w:r w:rsidRPr="002E58C3">
        <w:rPr>
          <w:lang w:val="fr-FR"/>
        </w:rPr>
        <w:t>20 ;</w:t>
      </w:r>
    </w:p>
    <w:p w:rsidR="00BA2F4D" w:rsidRPr="002E58C3" w:rsidRDefault="00BA2F4D" w:rsidP="00C8444E">
      <w:pPr>
        <w:pStyle w:val="SingleTxtG"/>
        <w:ind w:left="2268"/>
        <w:rPr>
          <w:lang w:val="fr-FR"/>
        </w:rPr>
      </w:pPr>
      <w:r w:rsidRPr="00C8444E">
        <w:rPr>
          <w:lang w:val="fr-FR"/>
        </w:rPr>
        <w:t>f)</w:t>
      </w:r>
      <w:r w:rsidRPr="002E58C3">
        <w:rPr>
          <w:lang w:val="fr-FR"/>
        </w:rPr>
        <w:tab/>
        <w:t xml:space="preserve">Le Règlement </w:t>
      </w:r>
      <w:r w:rsidR="00267506" w:rsidRPr="002E58C3">
        <w:rPr>
          <w:lang w:val="fr-FR"/>
        </w:rPr>
        <w:t>n</w:t>
      </w:r>
      <w:r w:rsidR="00267506" w:rsidRPr="002E58C3">
        <w:rPr>
          <w:vertAlign w:val="superscript"/>
          <w:lang w:val="fr-FR"/>
        </w:rPr>
        <w:t>o</w:t>
      </w:r>
      <w:r w:rsidR="00267506">
        <w:rPr>
          <w:lang w:val="fr-FR"/>
        </w:rPr>
        <w:t> </w:t>
      </w:r>
      <w:r w:rsidRPr="002E58C3">
        <w:rPr>
          <w:lang w:val="fr-FR"/>
        </w:rPr>
        <w:t>72 ;</w:t>
      </w:r>
    </w:p>
    <w:p w:rsidR="00BA2F4D" w:rsidRPr="002E58C3" w:rsidRDefault="00BA2F4D" w:rsidP="00C8444E">
      <w:pPr>
        <w:pStyle w:val="SingleTxtG"/>
        <w:ind w:left="2268"/>
        <w:rPr>
          <w:lang w:val="fr-FR"/>
        </w:rPr>
      </w:pPr>
      <w:r w:rsidRPr="00C8444E">
        <w:rPr>
          <w:lang w:val="fr-FR"/>
        </w:rPr>
        <w:tab/>
        <w:t>g)</w:t>
      </w:r>
      <w:r w:rsidRPr="002E58C3">
        <w:rPr>
          <w:lang w:val="fr-FR"/>
        </w:rPr>
        <w:tab/>
        <w:t xml:space="preserve">Le Règlement </w:t>
      </w:r>
      <w:r w:rsidR="00267506" w:rsidRPr="002E58C3">
        <w:rPr>
          <w:lang w:val="fr-FR"/>
        </w:rPr>
        <w:t>n</w:t>
      </w:r>
      <w:r w:rsidR="00267506" w:rsidRPr="002E58C3">
        <w:rPr>
          <w:vertAlign w:val="superscript"/>
          <w:lang w:val="fr-FR"/>
        </w:rPr>
        <w:t>o</w:t>
      </w:r>
      <w:r w:rsidR="00267506">
        <w:rPr>
          <w:lang w:val="fr-FR"/>
        </w:rPr>
        <w:t> </w:t>
      </w:r>
      <w:r w:rsidRPr="00C8444E">
        <w:rPr>
          <w:lang w:val="fr-FR"/>
        </w:rPr>
        <w:t>98</w:t>
      </w:r>
      <w:r w:rsidR="00426917">
        <w:rPr>
          <w:lang w:val="fr-FR"/>
        </w:rPr>
        <w:t> ;</w:t>
      </w:r>
    </w:p>
    <w:p w:rsidR="00BA2F4D" w:rsidRPr="00B17D8D" w:rsidRDefault="00267506" w:rsidP="00C8444E">
      <w:pPr>
        <w:pStyle w:val="SingleTxtG"/>
        <w:ind w:left="2268"/>
        <w:rPr>
          <w:b/>
          <w:lang w:val="fr-FR"/>
        </w:rPr>
      </w:pPr>
      <w:r w:rsidRPr="00B17D8D">
        <w:rPr>
          <w:b/>
          <w:lang w:val="fr-FR"/>
        </w:rPr>
        <w:t>h)</w:t>
      </w:r>
      <w:r w:rsidRPr="00B17D8D">
        <w:rPr>
          <w:b/>
          <w:lang w:val="fr-FR"/>
        </w:rPr>
        <w:tab/>
      </w:r>
      <w:r w:rsidR="00BA2F4D" w:rsidRPr="00B17D8D">
        <w:rPr>
          <w:b/>
          <w:lang w:val="fr-FR"/>
        </w:rPr>
        <w:t xml:space="preserve">La classe [A, B, D, DS ou ES] </w:t>
      </w:r>
      <w:r w:rsidR="00B17D8D" w:rsidRPr="00B17D8D">
        <w:rPr>
          <w:b/>
          <w:lang w:val="fr-FR"/>
        </w:rPr>
        <w:t>du Règlement [RID].</w:t>
      </w:r>
    </w:p>
    <w:p w:rsidR="00BA2F4D" w:rsidRPr="002E58C3" w:rsidRDefault="00BA2F4D" w:rsidP="00267506">
      <w:pPr>
        <w:pStyle w:val="SingleTxtG"/>
        <w:ind w:left="2268"/>
        <w:rPr>
          <w:lang w:val="fr-FR"/>
        </w:rPr>
      </w:pPr>
      <w:r w:rsidRPr="002E58C3">
        <w:rPr>
          <w:lang w:val="fr-FR"/>
        </w:rPr>
        <w:t>Deux du type homologué selon :</w:t>
      </w:r>
    </w:p>
    <w:p w:rsidR="00BA2F4D" w:rsidRPr="00D635D0" w:rsidRDefault="00BA2F4D" w:rsidP="00426917">
      <w:pPr>
        <w:pStyle w:val="SingleTxtG"/>
        <w:ind w:left="2268"/>
        <w:rPr>
          <w:b/>
          <w:lang w:val="fr-FR"/>
        </w:rPr>
      </w:pPr>
      <w:r w:rsidRPr="002E58C3">
        <w:rPr>
          <w:strike/>
          <w:lang w:val="fr-FR"/>
        </w:rPr>
        <w:t>h)</w:t>
      </w:r>
      <w:r w:rsidRPr="00426917">
        <w:rPr>
          <w:b/>
          <w:lang w:val="fr-FR"/>
        </w:rPr>
        <w:t>i)</w:t>
      </w:r>
      <w:r w:rsidRPr="002E58C3">
        <w:rPr>
          <w:lang w:val="fr-FR"/>
        </w:rPr>
        <w:tab/>
        <w:t>La classe C du Règlement n</w:t>
      </w:r>
      <w:r w:rsidRPr="002E58C3">
        <w:rPr>
          <w:vertAlign w:val="superscript"/>
          <w:lang w:val="fr-FR"/>
        </w:rPr>
        <w:t>o</w:t>
      </w:r>
      <w:r w:rsidRPr="002E58C3">
        <w:rPr>
          <w:lang w:val="fr-FR"/>
        </w:rPr>
        <w:t> 113</w:t>
      </w:r>
      <w:r w:rsidRPr="002E58C3">
        <w:rPr>
          <w:strike/>
          <w:lang w:val="fr-FR"/>
        </w:rPr>
        <w:t>.</w:t>
      </w:r>
      <w:r w:rsidR="00B17D8D" w:rsidRPr="00B17D8D">
        <w:rPr>
          <w:lang w:val="fr-FR"/>
        </w:rPr>
        <w:t> </w:t>
      </w:r>
      <w:r w:rsidR="00B17D8D" w:rsidRPr="00D635D0">
        <w:rPr>
          <w:b/>
          <w:lang w:val="fr-FR"/>
        </w:rPr>
        <w:t>;</w:t>
      </w:r>
    </w:p>
    <w:p w:rsidR="00BA2F4D" w:rsidRPr="002E58C3" w:rsidRDefault="00BA2F4D" w:rsidP="00426917">
      <w:pPr>
        <w:pStyle w:val="SingleTxtG"/>
        <w:ind w:left="2268"/>
        <w:rPr>
          <w:lang w:val="fr-FR"/>
        </w:rPr>
      </w:pPr>
      <w:r w:rsidRPr="00426917">
        <w:rPr>
          <w:b/>
          <w:lang w:val="fr-FR"/>
        </w:rPr>
        <w:t>j)</w:t>
      </w:r>
      <w:r w:rsidRPr="00426917">
        <w:rPr>
          <w:b/>
          <w:lang w:val="fr-FR"/>
        </w:rPr>
        <w:tab/>
        <w:t>La classe CS du Règlement n</w:t>
      </w:r>
      <w:r w:rsidRPr="00426917">
        <w:rPr>
          <w:b/>
          <w:vertAlign w:val="superscript"/>
          <w:lang w:val="fr-FR"/>
        </w:rPr>
        <w:t>o</w:t>
      </w:r>
      <w:r w:rsidRPr="00426917">
        <w:rPr>
          <w:b/>
          <w:lang w:val="fr-FR"/>
        </w:rPr>
        <w:t> [RID].</w:t>
      </w:r>
      <w:r w:rsidR="00B17D8D">
        <w:rPr>
          <w:b/>
          <w:lang w:val="fr-FR"/>
        </w:rPr>
        <w:t> </w:t>
      </w:r>
      <w:r w:rsidR="00B17D8D" w:rsidRPr="00B17D8D">
        <w:rPr>
          <w:lang w:val="fr-FR"/>
        </w:rPr>
        <w:t>»</w:t>
      </w:r>
      <w:r w:rsidRPr="00B17D8D">
        <w:rPr>
          <w:lang w:val="fr-FR"/>
        </w:rPr>
        <w:t>.</w:t>
      </w:r>
    </w:p>
    <w:p w:rsidR="00BA2F4D" w:rsidRPr="002E58C3" w:rsidRDefault="00BA2F4D" w:rsidP="00426917">
      <w:pPr>
        <w:pStyle w:val="SingleTxtG"/>
        <w:rPr>
          <w:lang w:val="fr-FR"/>
        </w:rPr>
      </w:pPr>
      <w:r w:rsidRPr="002E58C3">
        <w:rPr>
          <w:i/>
          <w:lang w:val="fr-FR"/>
        </w:rPr>
        <w:br w:type="page"/>
      </w:r>
      <w:r w:rsidRPr="002E58C3">
        <w:rPr>
          <w:i/>
          <w:lang w:val="fr-FR"/>
        </w:rPr>
        <w:lastRenderedPageBreak/>
        <w:t>Paragraphe 6.2.3.1.4</w:t>
      </w:r>
      <w:r w:rsidRPr="00B17D8D">
        <w:rPr>
          <w:lang w:val="fr-FR"/>
        </w:rPr>
        <w:t>,</w:t>
      </w:r>
      <w:r w:rsidRPr="002E58C3">
        <w:rPr>
          <w:i/>
          <w:lang w:val="fr-FR"/>
        </w:rPr>
        <w:t xml:space="preserve"> </w:t>
      </w:r>
      <w:r w:rsidRPr="002E58C3">
        <w:rPr>
          <w:lang w:val="fr-FR"/>
        </w:rPr>
        <w:t>modifier comme suit</w:t>
      </w:r>
      <w:r w:rsidR="00426917">
        <w:rPr>
          <w:lang w:val="fr-FR"/>
        </w:rPr>
        <w:t> :</w:t>
      </w:r>
    </w:p>
    <w:p w:rsidR="00BA2F4D" w:rsidRPr="002E58C3" w:rsidRDefault="00426917" w:rsidP="00426917">
      <w:pPr>
        <w:pStyle w:val="SingleTxtG"/>
        <w:ind w:left="2268" w:hanging="1134"/>
        <w:rPr>
          <w:lang w:val="fr-FR"/>
        </w:rPr>
      </w:pPr>
      <w:r>
        <w:rPr>
          <w:lang w:val="fr-FR"/>
        </w:rPr>
        <w:t>« </w:t>
      </w:r>
      <w:r w:rsidR="00BA2F4D" w:rsidRPr="002E58C3">
        <w:rPr>
          <w:lang w:val="fr-FR"/>
        </w:rPr>
        <w:t xml:space="preserve">6.2.3.1.4 </w:t>
      </w:r>
      <w:r w:rsidR="00BA2F4D" w:rsidRPr="002E58C3">
        <w:rPr>
          <w:lang w:val="fr-FR"/>
        </w:rPr>
        <w:tab/>
        <w:t xml:space="preserve">Le cas échéant, l’installation d’une ou de plusieurs unités d’éclairage supplémentaires servant à éclairer la route dans les virages, homologuées en tant qu’éléments du faisceau de croisement, conformément au Règlement </w:t>
      </w:r>
      <w:r w:rsidRPr="00426917">
        <w:rPr>
          <w:rFonts w:eastAsia="MS Mincho"/>
          <w:lang w:val="fr-FR"/>
        </w:rPr>
        <w:t>n</w:t>
      </w:r>
      <w:r w:rsidRPr="00426917">
        <w:rPr>
          <w:rFonts w:eastAsia="MS Mincho"/>
          <w:vertAlign w:val="superscript"/>
          <w:lang w:val="fr-FR"/>
        </w:rPr>
        <w:t>o</w:t>
      </w:r>
      <w:r w:rsidRPr="00426917">
        <w:rPr>
          <w:rFonts w:eastAsia="MS Mincho"/>
          <w:lang w:val="fr-FR"/>
        </w:rPr>
        <w:t> </w:t>
      </w:r>
      <w:r w:rsidR="00BA2F4D" w:rsidRPr="002E58C3">
        <w:rPr>
          <w:lang w:val="fr-FR"/>
        </w:rPr>
        <w:t xml:space="preserve">113 </w:t>
      </w:r>
      <w:r w:rsidR="00BA2F4D" w:rsidRPr="0077102C">
        <w:rPr>
          <w:b/>
          <w:lang w:val="fr-FR"/>
        </w:rPr>
        <w:t>ou [RID]</w:t>
      </w:r>
      <w:r w:rsidR="00BA2F4D" w:rsidRPr="002E58C3">
        <w:rPr>
          <w:lang w:val="fr-FR"/>
        </w:rPr>
        <w:t>, doit s’effectuer dans les conditions suivantes</w:t>
      </w:r>
      <w:r w:rsidR="00C92FF8" w:rsidRPr="00C92FF8">
        <w:rPr>
          <w:rStyle w:val="FooterChar"/>
        </w:rPr>
        <w:t xml:space="preserve"> :</w:t>
      </w:r>
    </w:p>
    <w:p w:rsidR="00BA2F4D" w:rsidRPr="002E58C3" w:rsidRDefault="00BA2F4D" w:rsidP="00426917">
      <w:pPr>
        <w:pStyle w:val="SingleTxtG"/>
        <w:ind w:left="2268"/>
        <w:rPr>
          <w:lang w:val="fr-FR"/>
        </w:rPr>
      </w:pPr>
      <w:r w:rsidRPr="002E58C3">
        <w:rPr>
          <w:lang w:val="fr-FR"/>
        </w:rPr>
        <w:t>Pour une (des) paire(s) d’unités d’éclairage supplémentaires, le ou les centres de référence doivent être symétriques par rapport au plan longitudinal médian du véhicule.</w:t>
      </w:r>
    </w:p>
    <w:p w:rsidR="00BA2F4D" w:rsidRPr="002E58C3" w:rsidRDefault="00BA2F4D" w:rsidP="00426917">
      <w:pPr>
        <w:pStyle w:val="SingleTxtG"/>
        <w:ind w:left="2268"/>
        <w:rPr>
          <w:lang w:val="fr-FR"/>
        </w:rPr>
      </w:pPr>
      <w:r w:rsidRPr="002E58C3">
        <w:rPr>
          <w:lang w:val="fr-FR"/>
        </w:rPr>
        <w:t>Pour une seule unité d’éclairage supplémentaire, le centre de référence doit être sur le plan longitudinal médian du véhicule</w:t>
      </w:r>
      <w:r w:rsidR="00426917">
        <w:rPr>
          <w:lang w:val="fr-FR"/>
        </w:rPr>
        <w:t>. »</w:t>
      </w:r>
      <w:r w:rsidRPr="002E58C3">
        <w:rPr>
          <w:lang w:val="fr-FR"/>
        </w:rPr>
        <w:t>.</w:t>
      </w:r>
    </w:p>
    <w:p w:rsidR="00BA2F4D" w:rsidRPr="002E58C3" w:rsidRDefault="00BA2F4D" w:rsidP="00426917">
      <w:pPr>
        <w:pStyle w:val="SingleTxtG"/>
        <w:rPr>
          <w:lang w:val="fr-FR"/>
        </w:rPr>
      </w:pPr>
      <w:r w:rsidRPr="002E58C3">
        <w:rPr>
          <w:i/>
          <w:lang w:val="fr-FR"/>
        </w:rPr>
        <w:t>Paragraphe 6.2.5.7</w:t>
      </w:r>
      <w:r w:rsidRPr="00426917">
        <w:rPr>
          <w:lang w:val="fr-FR"/>
        </w:rPr>
        <w:t>,</w:t>
      </w:r>
      <w:r w:rsidRPr="002E58C3">
        <w:rPr>
          <w:i/>
          <w:lang w:val="fr-FR"/>
        </w:rPr>
        <w:t xml:space="preserve"> </w:t>
      </w:r>
      <w:r w:rsidRPr="002E58C3">
        <w:rPr>
          <w:lang w:val="fr-FR"/>
        </w:rPr>
        <w:t>modifier comme suit</w:t>
      </w:r>
      <w:r w:rsidR="00426917">
        <w:rPr>
          <w:lang w:val="fr-FR"/>
        </w:rPr>
        <w:t> :</w:t>
      </w:r>
    </w:p>
    <w:p w:rsidR="00BA2F4D" w:rsidRPr="002E58C3" w:rsidRDefault="00426917" w:rsidP="00426917">
      <w:pPr>
        <w:pStyle w:val="SingleTxtG"/>
        <w:ind w:left="2268" w:hanging="1134"/>
        <w:rPr>
          <w:lang w:val="fr-FR"/>
        </w:rPr>
      </w:pPr>
      <w:r>
        <w:rPr>
          <w:lang w:val="fr-FR"/>
        </w:rPr>
        <w:t>« </w:t>
      </w:r>
      <w:r w:rsidR="00BA2F4D" w:rsidRPr="002E58C3">
        <w:rPr>
          <w:lang w:val="fr-FR"/>
        </w:rPr>
        <w:t>6.2.5.7</w:t>
      </w:r>
      <w:r w:rsidR="00BA2F4D" w:rsidRPr="002E58C3">
        <w:rPr>
          <w:lang w:val="fr-FR"/>
        </w:rPr>
        <w:tab/>
        <w:t xml:space="preserve">La ou les sources lumineuses supplémentaires ou l’unité ou les unités d’éclairage supplémentaires ne peuvent être mises en fonction que conjointement avec le faisceau de croisement principal ou le faisceau de route, de façon à produire l’éclairage de virage. L’éclairement produit par l’éclairage de virage ne doit pas s’étendre au-dessus du plan horizontal parallèle au sol et contenant l’axe de référence du projecteur émettant le faisceau de croisement principal pour tous les angles de roulis prévus par le constructeur lors de l’homologation de type du dispositif conformément au Règlement </w:t>
      </w:r>
      <w:r w:rsidRPr="002E58C3">
        <w:rPr>
          <w:lang w:val="fr-FR"/>
        </w:rPr>
        <w:t>n</w:t>
      </w:r>
      <w:r w:rsidRPr="002E58C3">
        <w:rPr>
          <w:vertAlign w:val="superscript"/>
          <w:lang w:val="fr-FR"/>
        </w:rPr>
        <w:t>o</w:t>
      </w:r>
      <w:r>
        <w:rPr>
          <w:lang w:val="fr-FR"/>
        </w:rPr>
        <w:t> </w:t>
      </w:r>
      <w:r w:rsidR="00BA2F4D" w:rsidRPr="002E58C3">
        <w:rPr>
          <w:lang w:val="fr-FR"/>
        </w:rPr>
        <w:t xml:space="preserve">113 </w:t>
      </w:r>
      <w:r w:rsidR="00BA2F4D" w:rsidRPr="002F0379">
        <w:rPr>
          <w:b/>
          <w:lang w:val="fr-FR"/>
        </w:rPr>
        <w:t>ou [RID]</w:t>
      </w:r>
      <w:r>
        <w:rPr>
          <w:lang w:val="fr-FR"/>
        </w:rPr>
        <w:t>. »</w:t>
      </w:r>
      <w:r w:rsidR="00BA2F4D" w:rsidRPr="002E58C3">
        <w:rPr>
          <w:lang w:val="fr-FR"/>
        </w:rPr>
        <w:t>.</w:t>
      </w:r>
    </w:p>
    <w:p w:rsidR="00BA2F4D" w:rsidRPr="002E58C3" w:rsidRDefault="00BA2F4D" w:rsidP="00426917">
      <w:pPr>
        <w:pStyle w:val="SingleTxtG"/>
        <w:rPr>
          <w:lang w:val="fr-FR"/>
        </w:rPr>
      </w:pPr>
      <w:r w:rsidRPr="002E58C3">
        <w:rPr>
          <w:i/>
          <w:lang w:val="fr-FR"/>
        </w:rPr>
        <w:t>Paragraphe 6.2.5.8</w:t>
      </w:r>
      <w:r w:rsidRPr="00426917">
        <w:rPr>
          <w:lang w:val="fr-FR"/>
        </w:rPr>
        <w:t xml:space="preserve">, </w:t>
      </w:r>
      <w:r w:rsidRPr="002E58C3">
        <w:rPr>
          <w:lang w:val="fr-FR"/>
        </w:rPr>
        <w:t>modifier comme suit</w:t>
      </w:r>
      <w:r w:rsidR="00426917">
        <w:rPr>
          <w:lang w:val="fr-FR"/>
        </w:rPr>
        <w:t> :</w:t>
      </w:r>
    </w:p>
    <w:p w:rsidR="00BA2F4D" w:rsidRPr="002E58C3" w:rsidRDefault="00426917" w:rsidP="00426917">
      <w:pPr>
        <w:pStyle w:val="SingleTxtG"/>
        <w:ind w:left="2268" w:hanging="1134"/>
        <w:rPr>
          <w:lang w:val="fr-FR"/>
        </w:rPr>
      </w:pPr>
      <w:r>
        <w:rPr>
          <w:lang w:val="fr-FR"/>
        </w:rPr>
        <w:t>« 6.2.5.8</w:t>
      </w:r>
      <w:r w:rsidR="00BA2F4D" w:rsidRPr="002E58C3">
        <w:rPr>
          <w:lang w:val="fr-FR"/>
        </w:rPr>
        <w:tab/>
        <w:t>La conformité avec les prescriptions du paragraphe 6.2.5.7 ci-dessus doit être vérifiée dans les conditions suivantes</w:t>
      </w:r>
      <w:r w:rsidR="00C92FF8" w:rsidRPr="00C92FF8">
        <w:rPr>
          <w:rStyle w:val="FooterChar"/>
        </w:rPr>
        <w:t xml:space="preserve"> :</w:t>
      </w:r>
    </w:p>
    <w:p w:rsidR="00BA2F4D" w:rsidRPr="002E58C3" w:rsidRDefault="00BA2F4D" w:rsidP="00426917">
      <w:pPr>
        <w:pStyle w:val="SingleTxtG"/>
        <w:ind w:left="2268"/>
        <w:rPr>
          <w:lang w:val="fr-FR"/>
        </w:rPr>
      </w:pPr>
      <w:r w:rsidRPr="002E58C3">
        <w:rPr>
          <w:lang w:val="fr-FR"/>
        </w:rPr>
        <w:tab/>
        <w:t>Le véhicule d’essai est placé dans la position indiquée au paragraphe 5.4 du présent Règlement. Mesurer les angles de roulis des deux côtés du véhicule dans chaque situation où l’éclairage de virage est activé. Les angles de roulis à mesurer sont les angles spécifiés par le constructeur lors de l’homologation de type du dispositif conformément au Règlement n</w:t>
      </w:r>
      <w:r w:rsidRPr="002E58C3">
        <w:rPr>
          <w:vertAlign w:val="superscript"/>
          <w:lang w:val="fr-FR"/>
        </w:rPr>
        <w:t>o</w:t>
      </w:r>
      <w:r w:rsidRPr="002E58C3">
        <w:rPr>
          <w:lang w:val="fr-FR"/>
        </w:rPr>
        <w:t xml:space="preserve"> 113 </w:t>
      </w:r>
      <w:r w:rsidRPr="002F0379">
        <w:rPr>
          <w:b/>
          <w:lang w:val="fr-FR"/>
        </w:rPr>
        <w:t>ou [RID]</w:t>
      </w:r>
      <w:r w:rsidRPr="002E58C3">
        <w:rPr>
          <w:lang w:val="fr-FR"/>
        </w:rPr>
        <w:t>.</w:t>
      </w:r>
    </w:p>
    <w:p w:rsidR="00BA2F4D" w:rsidRPr="002E58C3" w:rsidRDefault="00BA2F4D" w:rsidP="00426917">
      <w:pPr>
        <w:pStyle w:val="SingleTxtG"/>
        <w:ind w:left="2268"/>
        <w:rPr>
          <w:lang w:val="fr-FR"/>
        </w:rPr>
      </w:pPr>
      <w:r w:rsidRPr="002E58C3">
        <w:rPr>
          <w:lang w:val="fr-FR"/>
        </w:rPr>
        <w:t>Le guidon peut être bloqué dans la position de marche en ligne droite de façon à empêcher tout braquage lorsque le véhicule est incliné.</w:t>
      </w:r>
    </w:p>
    <w:p w:rsidR="00BA2F4D" w:rsidRPr="002E58C3" w:rsidRDefault="00BA2F4D" w:rsidP="00426917">
      <w:pPr>
        <w:pStyle w:val="SingleTxtG"/>
        <w:ind w:left="2268"/>
        <w:rPr>
          <w:lang w:val="fr-FR"/>
        </w:rPr>
      </w:pPr>
      <w:r w:rsidRPr="002E58C3">
        <w:rPr>
          <w:lang w:val="fr-FR"/>
        </w:rPr>
        <w:t>Aux fins de l’essai, l’éclairage de virage peut être activé au moyen d’un générateur de signal fourni par le constructeur.</w:t>
      </w:r>
    </w:p>
    <w:p w:rsidR="00BA2F4D" w:rsidRPr="002E58C3" w:rsidRDefault="00BA2F4D" w:rsidP="00426917">
      <w:pPr>
        <w:pStyle w:val="SingleTxtG"/>
        <w:ind w:left="2268"/>
        <w:rPr>
          <w:lang w:val="fr-FR"/>
        </w:rPr>
      </w:pPr>
      <w:r w:rsidRPr="002E58C3">
        <w:rPr>
          <w:lang w:val="fr-FR"/>
        </w:rPr>
        <w:t xml:space="preserve">Il est admis que le système satisfait aux prescriptions du paragraphe 6.2.5.7 ci-dessus si tous les angles de roulis mesurés des deux côtés du véhicule sont supérieurs ou égaux aux angles de roulis minimaux indiqués sur la fiche de communication pour l’homologation de type du dispositif conformément au Règlement </w:t>
      </w:r>
      <w:r w:rsidR="00426917" w:rsidRPr="002E58C3">
        <w:rPr>
          <w:lang w:val="fr-FR"/>
        </w:rPr>
        <w:t>n</w:t>
      </w:r>
      <w:r w:rsidR="00426917" w:rsidRPr="002E58C3">
        <w:rPr>
          <w:vertAlign w:val="superscript"/>
          <w:lang w:val="fr-FR"/>
        </w:rPr>
        <w:t>o</w:t>
      </w:r>
      <w:r w:rsidR="00426917">
        <w:rPr>
          <w:lang w:val="fr-FR"/>
        </w:rPr>
        <w:t> </w:t>
      </w:r>
      <w:r w:rsidRPr="002E58C3">
        <w:rPr>
          <w:lang w:val="fr-FR"/>
        </w:rPr>
        <w:t xml:space="preserve">113 </w:t>
      </w:r>
      <w:r w:rsidRPr="002F0379">
        <w:rPr>
          <w:b/>
          <w:lang w:val="fr-FR"/>
        </w:rPr>
        <w:t>ou [RID]</w:t>
      </w:r>
      <w:r w:rsidRPr="002E58C3">
        <w:rPr>
          <w:lang w:val="fr-FR"/>
        </w:rPr>
        <w:t>.</w:t>
      </w:r>
    </w:p>
    <w:p w:rsidR="00BA2F4D" w:rsidRPr="002E58C3" w:rsidRDefault="00BA2F4D" w:rsidP="00426917">
      <w:pPr>
        <w:pStyle w:val="SingleTxtG"/>
        <w:ind w:left="2268"/>
        <w:rPr>
          <w:lang w:val="fr-FR"/>
        </w:rPr>
      </w:pPr>
      <w:r w:rsidRPr="002E58C3">
        <w:rPr>
          <w:lang w:val="fr-FR"/>
        </w:rPr>
        <w:t>La conformité aux prescriptions du paragraphe 6.2.5.7 ci-dessus peut être démontrée par le constructeur avec d’autres moyens, sous réserve de l’accord de l’autorité d’homologation de type</w:t>
      </w:r>
      <w:r w:rsidR="00426917">
        <w:rPr>
          <w:lang w:val="fr-FR"/>
        </w:rPr>
        <w:t>. »</w:t>
      </w:r>
      <w:r w:rsidRPr="002E58C3">
        <w:rPr>
          <w:lang w:val="fr-FR"/>
        </w:rPr>
        <w:t>.</w:t>
      </w:r>
    </w:p>
    <w:p w:rsidR="00BA2F4D" w:rsidRPr="002E58C3" w:rsidRDefault="00BA2F4D" w:rsidP="00426917">
      <w:pPr>
        <w:pStyle w:val="SingleTxtG"/>
        <w:rPr>
          <w:lang w:val="fr-FR"/>
        </w:rPr>
      </w:pPr>
      <w:r w:rsidRPr="002E58C3">
        <w:rPr>
          <w:i/>
          <w:lang w:val="fr-FR"/>
        </w:rPr>
        <w:t>Paragraphe 6.2.6</w:t>
      </w:r>
      <w:r w:rsidRPr="00B17D8D">
        <w:rPr>
          <w:lang w:val="fr-FR"/>
        </w:rPr>
        <w:t>,</w:t>
      </w:r>
      <w:r w:rsidRPr="002E58C3">
        <w:rPr>
          <w:i/>
          <w:lang w:val="fr-FR"/>
        </w:rPr>
        <w:t xml:space="preserve"> </w:t>
      </w:r>
      <w:r w:rsidRPr="002E58C3">
        <w:rPr>
          <w:lang w:val="fr-FR"/>
        </w:rPr>
        <w:t>modifier comme suit</w:t>
      </w:r>
      <w:r w:rsidR="00426917">
        <w:rPr>
          <w:lang w:val="fr-FR"/>
        </w:rPr>
        <w:t> :</w:t>
      </w:r>
    </w:p>
    <w:p w:rsidR="00BA2F4D" w:rsidRPr="002E58C3" w:rsidRDefault="002F0379" w:rsidP="00426917">
      <w:pPr>
        <w:pStyle w:val="SingleTxtG"/>
        <w:ind w:left="2268" w:hanging="1134"/>
        <w:rPr>
          <w:lang w:val="fr-FR"/>
        </w:rPr>
      </w:pPr>
      <w:r>
        <w:rPr>
          <w:lang w:val="fr-FR"/>
        </w:rPr>
        <w:t>« 6.2.6</w:t>
      </w:r>
      <w:r w:rsidR="00BA2F4D" w:rsidRPr="002E58C3">
        <w:rPr>
          <w:lang w:val="fr-FR"/>
        </w:rPr>
        <w:tab/>
        <w:t>Branchements électriques</w:t>
      </w:r>
    </w:p>
    <w:p w:rsidR="00BA2F4D" w:rsidRPr="002E58C3" w:rsidRDefault="00BA2F4D" w:rsidP="002F0379">
      <w:pPr>
        <w:pStyle w:val="SingleTxtG"/>
        <w:ind w:left="2268"/>
        <w:rPr>
          <w:lang w:val="fr-FR"/>
        </w:rPr>
      </w:pPr>
      <w:r w:rsidRPr="002E58C3">
        <w:rPr>
          <w:lang w:val="fr-FR"/>
        </w:rPr>
        <w:t xml:space="preserve">La commande de passage en faisceau(x) de croisement doit commander simultanément l’extinction du ou des feux de route. Les feux de croisement dont la source lumineuse est homologuée en application du Règlement </w:t>
      </w:r>
      <w:r w:rsidR="002F0379" w:rsidRPr="002E58C3">
        <w:rPr>
          <w:lang w:val="fr-FR"/>
        </w:rPr>
        <w:t>n</w:t>
      </w:r>
      <w:r w:rsidR="002F0379" w:rsidRPr="002E58C3">
        <w:rPr>
          <w:vertAlign w:val="superscript"/>
          <w:lang w:val="fr-FR"/>
        </w:rPr>
        <w:t>o</w:t>
      </w:r>
      <w:r w:rsidR="002F0379">
        <w:rPr>
          <w:lang w:val="fr-FR"/>
        </w:rPr>
        <w:t> </w:t>
      </w:r>
      <w:r w:rsidRPr="002E58C3">
        <w:rPr>
          <w:lang w:val="fr-FR"/>
        </w:rPr>
        <w:t>99 doivent rester allumés lorsque les feux de route sont allumés.</w:t>
      </w:r>
    </w:p>
    <w:p w:rsidR="002F0379" w:rsidRDefault="002F0379" w:rsidP="002F0379">
      <w:pPr>
        <w:pStyle w:val="SingleTxtG"/>
        <w:ind w:left="2268" w:hanging="1134"/>
        <w:rPr>
          <w:lang w:val="fr-FR"/>
        </w:rPr>
      </w:pPr>
      <w:r>
        <w:rPr>
          <w:lang w:val="fr-FR"/>
        </w:rPr>
        <w:t>6.2.6.1</w:t>
      </w:r>
      <w:r w:rsidR="00BA2F4D" w:rsidRPr="002E58C3">
        <w:rPr>
          <w:lang w:val="fr-FR"/>
        </w:rPr>
        <w:tab/>
        <w:t>Le branchement de la ou des sources lumineuses supplémentaires ou de l’unité ou des unités d’éclairage supplémentaires servant à produire l’éclairage de virage doit être tel qu’elles ne puissent pas être allumées si le ou les projecteurs émettant le faisceau de croisement principal ou le faisceau de route ne sont pas également allumés.</w:t>
      </w:r>
    </w:p>
    <w:p w:rsidR="00BA2F4D" w:rsidRPr="002E58C3" w:rsidRDefault="00BA2F4D" w:rsidP="002F0379">
      <w:pPr>
        <w:pStyle w:val="SingleTxtG"/>
        <w:ind w:left="2268"/>
        <w:rPr>
          <w:lang w:val="fr-FR"/>
        </w:rPr>
      </w:pPr>
      <w:r w:rsidRPr="002E58C3">
        <w:rPr>
          <w:lang w:val="fr-FR"/>
        </w:rPr>
        <w:lastRenderedPageBreak/>
        <w:t xml:space="preserve">La ou les sources lumineuses supplémentaires ou l’unité ou les unités d’éclairage supplémentaires servant à produire l’éclairage de virage de chaque côté du véhicule ne peuvent être automatiquement allumées que si le ou les angles de roulis sont supérieurs ou égaux aux angles de roulis minimaux indiqués sur la fiche de communication pour l’homologation de type du dispositif conformément au Règlement </w:t>
      </w:r>
      <w:r w:rsidR="002F0379" w:rsidRPr="002E58C3">
        <w:rPr>
          <w:lang w:val="fr-FR"/>
        </w:rPr>
        <w:t>n</w:t>
      </w:r>
      <w:r w:rsidR="002F0379" w:rsidRPr="002E58C3">
        <w:rPr>
          <w:vertAlign w:val="superscript"/>
          <w:lang w:val="fr-FR"/>
        </w:rPr>
        <w:t>o</w:t>
      </w:r>
      <w:r w:rsidR="002F0379">
        <w:rPr>
          <w:lang w:val="fr-FR"/>
        </w:rPr>
        <w:t> </w:t>
      </w:r>
      <w:r w:rsidRPr="002E58C3">
        <w:rPr>
          <w:lang w:val="fr-FR"/>
        </w:rPr>
        <w:t xml:space="preserve">113 </w:t>
      </w:r>
      <w:r w:rsidRPr="002F0379">
        <w:rPr>
          <w:b/>
          <w:lang w:val="fr-FR"/>
        </w:rPr>
        <w:t>ou [RID]</w:t>
      </w:r>
      <w:r w:rsidRPr="002E58C3">
        <w:rPr>
          <w:lang w:val="fr-FR"/>
        </w:rPr>
        <w:t>.</w:t>
      </w:r>
    </w:p>
    <w:p w:rsidR="00BA2F4D" w:rsidRPr="002E58C3" w:rsidRDefault="00BA2F4D" w:rsidP="002F0379">
      <w:pPr>
        <w:pStyle w:val="SingleTxtG"/>
        <w:ind w:left="2268"/>
        <w:rPr>
          <w:lang w:val="fr-FR"/>
        </w:rPr>
      </w:pPr>
      <w:r w:rsidRPr="002E58C3">
        <w:rPr>
          <w:lang w:val="fr-FR"/>
        </w:rPr>
        <w:t>La ou les sources lumineuses supplémentaires ou l’unité ou les unités d’éclairage supplémentaires ne doivent pas être allumées lorsque l’angle de roulis est inférieur à 3°.</w:t>
      </w:r>
    </w:p>
    <w:p w:rsidR="00BA2F4D" w:rsidRPr="002E58C3" w:rsidRDefault="00BA2F4D" w:rsidP="002F0379">
      <w:pPr>
        <w:pStyle w:val="SingleTxtG"/>
        <w:ind w:left="2268"/>
        <w:rPr>
          <w:lang w:val="fr-FR"/>
        </w:rPr>
      </w:pPr>
      <w:r w:rsidRPr="002E58C3">
        <w:rPr>
          <w:lang w:val="fr-FR"/>
        </w:rPr>
        <w:t xml:space="preserve">La ou les sources lumineuses supplémentaires ou l’unité ou les unités d’éclairage supplémentaires doivent être éteintes lorsque l’angle ou les angles de roulis sont inférieurs aux angles minimaux indiqués sur la fiche de communication pour l’homologation de type du dispositif conformément au Règlement </w:t>
      </w:r>
      <w:r w:rsidR="002F0379" w:rsidRPr="002E58C3">
        <w:rPr>
          <w:lang w:val="fr-FR"/>
        </w:rPr>
        <w:t>n</w:t>
      </w:r>
      <w:r w:rsidR="002F0379" w:rsidRPr="002E58C3">
        <w:rPr>
          <w:vertAlign w:val="superscript"/>
          <w:lang w:val="fr-FR"/>
        </w:rPr>
        <w:t>o</w:t>
      </w:r>
      <w:r w:rsidR="002F0379">
        <w:rPr>
          <w:lang w:val="fr-FR"/>
        </w:rPr>
        <w:t> </w:t>
      </w:r>
      <w:r w:rsidRPr="002E58C3">
        <w:rPr>
          <w:lang w:val="fr-FR"/>
        </w:rPr>
        <w:t xml:space="preserve">113 </w:t>
      </w:r>
      <w:r w:rsidRPr="0077102C">
        <w:rPr>
          <w:b/>
          <w:lang w:val="fr-FR"/>
        </w:rPr>
        <w:t>ou [RID]</w:t>
      </w:r>
      <w:r w:rsidR="002F0379">
        <w:rPr>
          <w:lang w:val="fr-FR"/>
        </w:rPr>
        <w:t>. »</w:t>
      </w:r>
      <w:r w:rsidRPr="002E58C3">
        <w:rPr>
          <w:lang w:val="fr-FR"/>
        </w:rPr>
        <w:t>.</w:t>
      </w:r>
    </w:p>
    <w:p w:rsidR="00BA2F4D" w:rsidRPr="002E58C3" w:rsidRDefault="00BA2F4D" w:rsidP="002F0379">
      <w:pPr>
        <w:pStyle w:val="SingleTxtG"/>
        <w:rPr>
          <w:lang w:val="fr-FR"/>
        </w:rPr>
      </w:pPr>
      <w:r w:rsidRPr="002E58C3">
        <w:rPr>
          <w:i/>
          <w:lang w:val="fr-FR"/>
        </w:rPr>
        <w:t>Paragraphe 6.3.2</w:t>
      </w:r>
      <w:r w:rsidRPr="002F0379">
        <w:rPr>
          <w:lang w:val="fr-FR"/>
        </w:rPr>
        <w:t>,</w:t>
      </w:r>
      <w:r w:rsidRPr="002E58C3">
        <w:rPr>
          <w:i/>
          <w:lang w:val="fr-FR"/>
        </w:rPr>
        <w:t xml:space="preserve"> </w:t>
      </w:r>
      <w:r w:rsidRPr="002E58C3">
        <w:rPr>
          <w:lang w:val="fr-FR"/>
        </w:rPr>
        <w:t>modifier comme suit</w:t>
      </w:r>
      <w:r w:rsidR="002F0379">
        <w:rPr>
          <w:lang w:val="fr-FR"/>
        </w:rPr>
        <w:t> :</w:t>
      </w:r>
    </w:p>
    <w:p w:rsidR="00BA2F4D" w:rsidRPr="002E58C3" w:rsidRDefault="002F0379" w:rsidP="002F0379">
      <w:pPr>
        <w:pStyle w:val="SingleTxtG"/>
        <w:ind w:left="2268" w:hanging="1134"/>
        <w:rPr>
          <w:lang w:val="fr-FR"/>
        </w:rPr>
      </w:pPr>
      <w:r>
        <w:rPr>
          <w:lang w:val="fr-FR"/>
        </w:rPr>
        <w:t>« 6.3.2</w:t>
      </w:r>
      <w:r w:rsidR="00BA2F4D" w:rsidRPr="002E58C3">
        <w:rPr>
          <w:lang w:val="fr-FR"/>
        </w:rPr>
        <w:tab/>
        <w:t>Schéma d’installation</w:t>
      </w:r>
    </w:p>
    <w:p w:rsidR="00BA2F4D" w:rsidRPr="002E58C3" w:rsidRDefault="00BA2F4D" w:rsidP="002F0379">
      <w:pPr>
        <w:pStyle w:val="SingleTxtG"/>
        <w:ind w:left="2268"/>
        <w:rPr>
          <w:lang w:val="fr-FR"/>
        </w:rPr>
      </w:pPr>
      <w:r w:rsidRPr="002E58C3">
        <w:rPr>
          <w:lang w:val="fr-FR"/>
        </w:rPr>
        <w:t>Deux indicateurs avant (catégorie 1 comme spécifiée au Règlement n</w:t>
      </w:r>
      <w:r w:rsidRPr="002E58C3">
        <w:rPr>
          <w:vertAlign w:val="superscript"/>
          <w:lang w:val="fr-FR"/>
        </w:rPr>
        <w:t>o</w:t>
      </w:r>
      <w:r w:rsidRPr="002E58C3">
        <w:rPr>
          <w:lang w:val="fr-FR"/>
        </w:rPr>
        <w:t xml:space="preserve"> 6 </w:t>
      </w:r>
      <w:r w:rsidRPr="002F0379">
        <w:rPr>
          <w:b/>
          <w:lang w:val="fr-FR"/>
        </w:rPr>
        <w:t xml:space="preserve">ou [LSD] </w:t>
      </w:r>
      <w:r w:rsidRPr="002E58C3">
        <w:rPr>
          <w:lang w:val="fr-FR"/>
        </w:rPr>
        <w:t>ou catégorie 11 comme spécifiée au Règlement n</w:t>
      </w:r>
      <w:r w:rsidRPr="002E58C3">
        <w:rPr>
          <w:vertAlign w:val="superscript"/>
          <w:lang w:val="fr-FR"/>
        </w:rPr>
        <w:t>o</w:t>
      </w:r>
      <w:r w:rsidRPr="002E58C3">
        <w:rPr>
          <w:lang w:val="fr-FR"/>
        </w:rPr>
        <w:t xml:space="preserve"> 50 </w:t>
      </w:r>
      <w:r w:rsidRPr="002F0379">
        <w:rPr>
          <w:b/>
          <w:lang w:val="fr-FR"/>
        </w:rPr>
        <w:t>ou [LSD]</w:t>
      </w:r>
      <w:r w:rsidRPr="002E58C3">
        <w:rPr>
          <w:lang w:val="fr-FR"/>
        </w:rPr>
        <w:t>).</w:t>
      </w:r>
    </w:p>
    <w:p w:rsidR="00BA2F4D" w:rsidRPr="002E58C3" w:rsidRDefault="00BA2F4D" w:rsidP="002F0379">
      <w:pPr>
        <w:pStyle w:val="SingleTxtG"/>
        <w:ind w:left="2268"/>
        <w:rPr>
          <w:lang w:val="fr-FR"/>
        </w:rPr>
      </w:pPr>
      <w:r w:rsidRPr="002E58C3">
        <w:rPr>
          <w:lang w:val="fr-FR"/>
        </w:rPr>
        <w:t xml:space="preserve">Deux indicateurs arrière (catégorie 2 comme spécifiée au Règlement </w:t>
      </w:r>
      <w:r w:rsidR="002F0379" w:rsidRPr="002E58C3">
        <w:rPr>
          <w:lang w:val="fr-FR"/>
        </w:rPr>
        <w:t>n</w:t>
      </w:r>
      <w:r w:rsidR="002F0379" w:rsidRPr="002E58C3">
        <w:rPr>
          <w:vertAlign w:val="superscript"/>
          <w:lang w:val="fr-FR"/>
        </w:rPr>
        <w:t>o</w:t>
      </w:r>
      <w:r w:rsidR="002F0379">
        <w:rPr>
          <w:lang w:val="fr-FR"/>
        </w:rPr>
        <w:t> </w:t>
      </w:r>
      <w:r w:rsidRPr="002E58C3">
        <w:rPr>
          <w:lang w:val="fr-FR"/>
        </w:rPr>
        <w:t xml:space="preserve">6 </w:t>
      </w:r>
      <w:r w:rsidRPr="002F0379">
        <w:rPr>
          <w:b/>
          <w:lang w:val="fr-FR"/>
        </w:rPr>
        <w:t>ou [LSD]</w:t>
      </w:r>
      <w:r w:rsidRPr="002E58C3">
        <w:rPr>
          <w:lang w:val="fr-FR"/>
        </w:rPr>
        <w:t xml:space="preserve"> ou catégorie 12 comme spécifiée au Règlement </w:t>
      </w:r>
      <w:r w:rsidR="002F0379" w:rsidRPr="002E58C3">
        <w:rPr>
          <w:lang w:val="fr-FR"/>
        </w:rPr>
        <w:t>n</w:t>
      </w:r>
      <w:r w:rsidR="002F0379" w:rsidRPr="002E58C3">
        <w:rPr>
          <w:vertAlign w:val="superscript"/>
          <w:lang w:val="fr-FR"/>
        </w:rPr>
        <w:t>o</w:t>
      </w:r>
      <w:r w:rsidR="002F0379">
        <w:rPr>
          <w:lang w:val="fr-FR"/>
        </w:rPr>
        <w:t> </w:t>
      </w:r>
      <w:r w:rsidRPr="002E58C3">
        <w:rPr>
          <w:lang w:val="fr-FR"/>
        </w:rPr>
        <w:t xml:space="preserve">50 </w:t>
      </w:r>
      <w:r w:rsidRPr="002F0379">
        <w:rPr>
          <w:b/>
          <w:lang w:val="fr-FR"/>
        </w:rPr>
        <w:t>ou [LSD]</w:t>
      </w:r>
      <w:r w:rsidR="002F0379">
        <w:rPr>
          <w:lang w:val="fr-FR"/>
        </w:rPr>
        <w:t>). »</w:t>
      </w:r>
      <w:r w:rsidRPr="002E58C3">
        <w:rPr>
          <w:lang w:val="fr-FR"/>
        </w:rPr>
        <w:t>.</w:t>
      </w:r>
    </w:p>
    <w:p w:rsidR="00BA2F4D" w:rsidRPr="002E58C3" w:rsidRDefault="00BA2F4D" w:rsidP="002F0379">
      <w:pPr>
        <w:pStyle w:val="SingleTxtG"/>
        <w:rPr>
          <w:lang w:val="fr-FR"/>
        </w:rPr>
      </w:pPr>
      <w:r w:rsidRPr="002E58C3">
        <w:rPr>
          <w:i/>
          <w:lang w:val="fr-FR"/>
        </w:rPr>
        <w:t>Paragraphe 6.4.1</w:t>
      </w:r>
      <w:r w:rsidRPr="002F0379">
        <w:rPr>
          <w:lang w:val="fr-FR"/>
        </w:rPr>
        <w:t>,</w:t>
      </w:r>
      <w:r w:rsidRPr="002E58C3">
        <w:rPr>
          <w:i/>
          <w:lang w:val="fr-FR"/>
        </w:rPr>
        <w:t xml:space="preserve"> </w:t>
      </w:r>
      <w:r w:rsidRPr="002E58C3">
        <w:rPr>
          <w:lang w:val="fr-FR"/>
        </w:rPr>
        <w:t>modifier comme suit</w:t>
      </w:r>
      <w:r w:rsidR="002F0379">
        <w:rPr>
          <w:lang w:val="fr-FR"/>
        </w:rPr>
        <w:t> :</w:t>
      </w:r>
    </w:p>
    <w:p w:rsidR="00BA2F4D" w:rsidRPr="002E58C3" w:rsidRDefault="002F0379" w:rsidP="002F0379">
      <w:pPr>
        <w:pStyle w:val="SingleTxtG"/>
        <w:ind w:left="2268" w:hanging="1134"/>
        <w:rPr>
          <w:lang w:val="fr-FR"/>
        </w:rPr>
      </w:pPr>
      <w:r>
        <w:rPr>
          <w:lang w:val="fr-FR"/>
        </w:rPr>
        <w:t>« 6.4.1</w:t>
      </w:r>
      <w:r w:rsidR="00BA2F4D" w:rsidRPr="002E58C3">
        <w:rPr>
          <w:lang w:val="fr-FR"/>
        </w:rPr>
        <w:tab/>
        <w:t>Nombre</w:t>
      </w:r>
    </w:p>
    <w:p w:rsidR="002F0379" w:rsidRDefault="00BA2F4D" w:rsidP="002F0379">
      <w:pPr>
        <w:pStyle w:val="SingleTxtG"/>
        <w:ind w:left="2268"/>
        <w:rPr>
          <w:lang w:val="fr-FR"/>
        </w:rPr>
      </w:pPr>
      <w:r w:rsidRPr="002E58C3">
        <w:rPr>
          <w:lang w:val="fr-FR"/>
        </w:rPr>
        <w:t>Un ou deux approuvés en tant que dispositif de la catégorie S1 conformément au Règlement n</w:t>
      </w:r>
      <w:r w:rsidRPr="002E58C3">
        <w:rPr>
          <w:vertAlign w:val="superscript"/>
          <w:lang w:val="fr-FR"/>
        </w:rPr>
        <w:t>o</w:t>
      </w:r>
      <w:r w:rsidRPr="002E58C3">
        <w:rPr>
          <w:lang w:val="fr-FR"/>
        </w:rPr>
        <w:t xml:space="preserve"> 7 </w:t>
      </w:r>
      <w:r w:rsidRPr="002F0379">
        <w:rPr>
          <w:b/>
          <w:lang w:val="fr-FR"/>
        </w:rPr>
        <w:t>ou [LSD]</w:t>
      </w:r>
      <w:r w:rsidRPr="002E58C3">
        <w:rPr>
          <w:lang w:val="fr-FR"/>
        </w:rPr>
        <w:t xml:space="preserve"> ou feu-stop homologué conformément au Règlement n</w:t>
      </w:r>
      <w:r w:rsidRPr="002E58C3">
        <w:rPr>
          <w:vertAlign w:val="superscript"/>
          <w:lang w:val="fr-FR"/>
        </w:rPr>
        <w:t>o</w:t>
      </w:r>
      <w:r w:rsidRPr="002E58C3">
        <w:rPr>
          <w:lang w:val="fr-FR"/>
        </w:rPr>
        <w:t xml:space="preserve"> 50 </w:t>
      </w:r>
      <w:r w:rsidRPr="002F0379">
        <w:rPr>
          <w:b/>
          <w:lang w:val="fr-FR"/>
        </w:rPr>
        <w:t>ou feu-stop pour véhicules de la catégorie L tel que précisé dans le Règlement n</w:t>
      </w:r>
      <w:r w:rsidRPr="002F0379">
        <w:rPr>
          <w:b/>
          <w:vertAlign w:val="superscript"/>
          <w:lang w:val="fr-FR"/>
        </w:rPr>
        <w:t>o</w:t>
      </w:r>
      <w:r w:rsidRPr="002F0379">
        <w:rPr>
          <w:b/>
          <w:lang w:val="fr-FR"/>
        </w:rPr>
        <w:t xml:space="preserve"> [LSD]</w:t>
      </w:r>
      <w:r w:rsidRPr="002E58C3">
        <w:rPr>
          <w:lang w:val="fr-FR"/>
        </w:rPr>
        <w:t xml:space="preserve">. </w:t>
      </w:r>
    </w:p>
    <w:p w:rsidR="00BA2F4D" w:rsidRPr="002E58C3" w:rsidRDefault="00BA2F4D" w:rsidP="002F0379">
      <w:pPr>
        <w:pStyle w:val="SingleTxtG"/>
        <w:ind w:left="2268"/>
        <w:rPr>
          <w:lang w:val="fr-FR"/>
        </w:rPr>
      </w:pPr>
      <w:r w:rsidRPr="002E58C3">
        <w:rPr>
          <w:lang w:val="fr-FR"/>
        </w:rPr>
        <w:t>À titre facultatif, un homologué en tant que dispositif de la catégorie S3 conformément au Règlement n</w:t>
      </w:r>
      <w:r w:rsidRPr="002E58C3">
        <w:rPr>
          <w:vertAlign w:val="superscript"/>
          <w:lang w:val="fr-FR"/>
        </w:rPr>
        <w:t>o</w:t>
      </w:r>
      <w:r w:rsidRPr="002E58C3">
        <w:rPr>
          <w:lang w:val="fr-FR"/>
        </w:rPr>
        <w:t xml:space="preserve"> 7 </w:t>
      </w:r>
      <w:r w:rsidRPr="002F0379">
        <w:rPr>
          <w:b/>
          <w:lang w:val="fr-FR"/>
        </w:rPr>
        <w:t>ou [LSD]</w:t>
      </w:r>
      <w:r w:rsidR="002F0379">
        <w:rPr>
          <w:lang w:val="fr-FR"/>
        </w:rPr>
        <w:t>. »</w:t>
      </w:r>
      <w:r w:rsidRPr="002E58C3">
        <w:rPr>
          <w:lang w:val="fr-FR"/>
        </w:rPr>
        <w:t>.</w:t>
      </w:r>
    </w:p>
    <w:p w:rsidR="00BA2F4D" w:rsidRPr="002E58C3" w:rsidRDefault="00BA2F4D" w:rsidP="002F0379">
      <w:pPr>
        <w:pStyle w:val="SingleTxtG"/>
        <w:rPr>
          <w:lang w:val="fr-FR"/>
        </w:rPr>
      </w:pPr>
      <w:r w:rsidRPr="002E58C3">
        <w:rPr>
          <w:i/>
          <w:lang w:val="fr-FR"/>
        </w:rPr>
        <w:t>Paragraphe 6.4.3</w:t>
      </w:r>
      <w:r w:rsidRPr="002F0379">
        <w:rPr>
          <w:lang w:val="fr-FR"/>
        </w:rPr>
        <w:t>,</w:t>
      </w:r>
      <w:r w:rsidRPr="002E58C3">
        <w:rPr>
          <w:i/>
          <w:lang w:val="fr-FR"/>
        </w:rPr>
        <w:t xml:space="preserve"> </w:t>
      </w:r>
      <w:r w:rsidRPr="002E58C3">
        <w:rPr>
          <w:lang w:val="fr-FR"/>
        </w:rPr>
        <w:t>modifier comme suit</w:t>
      </w:r>
      <w:r w:rsidR="002F0379">
        <w:rPr>
          <w:lang w:val="fr-FR"/>
        </w:rPr>
        <w:t> :</w:t>
      </w:r>
    </w:p>
    <w:p w:rsidR="00BA2F4D" w:rsidRPr="002E58C3" w:rsidRDefault="002F0379" w:rsidP="002F0379">
      <w:pPr>
        <w:pStyle w:val="SingleTxtG"/>
        <w:ind w:left="2268" w:hanging="1134"/>
        <w:rPr>
          <w:lang w:val="fr-FR"/>
        </w:rPr>
      </w:pPr>
      <w:r>
        <w:rPr>
          <w:lang w:val="fr-FR"/>
        </w:rPr>
        <w:t>« 6.4.3</w:t>
      </w:r>
      <w:r w:rsidR="00BA2F4D" w:rsidRPr="002E58C3">
        <w:rPr>
          <w:lang w:val="fr-FR"/>
        </w:rPr>
        <w:tab/>
        <w:t>Emplacement</w:t>
      </w:r>
    </w:p>
    <w:p w:rsidR="00BA2F4D" w:rsidRPr="002E58C3" w:rsidRDefault="002F0379" w:rsidP="002F0379">
      <w:pPr>
        <w:pStyle w:val="SingleTxtG"/>
        <w:ind w:left="2268" w:hanging="1134"/>
        <w:rPr>
          <w:lang w:val="fr-FR"/>
        </w:rPr>
      </w:pPr>
      <w:r>
        <w:rPr>
          <w:lang w:val="fr-FR"/>
        </w:rPr>
        <w:t>6.4.3.1</w:t>
      </w:r>
      <w:r w:rsidR="00BA2F4D" w:rsidRPr="002E58C3">
        <w:rPr>
          <w:lang w:val="fr-FR"/>
        </w:rPr>
        <w:tab/>
        <w:t>Pour un dispositif de la catégorie S1 tel que précisé dans le Règlement n</w:t>
      </w:r>
      <w:r w:rsidR="00BA2F4D" w:rsidRPr="002E58C3">
        <w:rPr>
          <w:vertAlign w:val="superscript"/>
          <w:lang w:val="fr-FR"/>
        </w:rPr>
        <w:t>o</w:t>
      </w:r>
      <w:r w:rsidR="00BA2F4D" w:rsidRPr="002E58C3">
        <w:rPr>
          <w:lang w:val="fr-FR"/>
        </w:rPr>
        <w:t xml:space="preserve"> 7 </w:t>
      </w:r>
      <w:r w:rsidR="00BA2F4D" w:rsidRPr="002F0379">
        <w:rPr>
          <w:b/>
          <w:lang w:val="fr-FR"/>
        </w:rPr>
        <w:t>ou [LSD]</w:t>
      </w:r>
      <w:r w:rsidR="00BA2F4D" w:rsidRPr="002E58C3">
        <w:rPr>
          <w:lang w:val="fr-FR"/>
        </w:rPr>
        <w:t xml:space="preserve"> ou un feu-stop tel que précisé dans le Règlement n</w:t>
      </w:r>
      <w:r w:rsidR="00BA2F4D" w:rsidRPr="002E58C3">
        <w:rPr>
          <w:vertAlign w:val="superscript"/>
          <w:lang w:val="fr-FR"/>
        </w:rPr>
        <w:t>o</w:t>
      </w:r>
      <w:r w:rsidR="00BA2F4D" w:rsidRPr="002E58C3">
        <w:rPr>
          <w:lang w:val="fr-FR"/>
        </w:rPr>
        <w:t xml:space="preserve"> 50 </w:t>
      </w:r>
      <w:r w:rsidR="00BA2F4D" w:rsidRPr="002F0379">
        <w:rPr>
          <w:b/>
          <w:lang w:val="fr-FR"/>
        </w:rPr>
        <w:t>ou [LSD]</w:t>
      </w:r>
    </w:p>
    <w:p w:rsidR="00BA2F4D" w:rsidRPr="002E58C3" w:rsidRDefault="00B17D8D" w:rsidP="002F0379">
      <w:pPr>
        <w:pStyle w:val="SingleTxtG"/>
        <w:ind w:left="2268"/>
        <w:rPr>
          <w:lang w:val="fr-FR"/>
        </w:rPr>
      </w:pPr>
      <w:r>
        <w:rPr>
          <w:lang w:val="fr-FR"/>
        </w:rPr>
        <w:t>En hauteur :</w:t>
      </w:r>
      <w:r w:rsidR="00BA2F4D" w:rsidRPr="002E58C3">
        <w:rPr>
          <w:lang w:val="fr-FR"/>
        </w:rPr>
        <w:t xml:space="preserve"> minimum 250 mm, maximum 1 500 mm au-dessus du sol</w:t>
      </w:r>
      <w:r w:rsidR="00C92FF8" w:rsidRPr="00C92FF8">
        <w:rPr>
          <w:rStyle w:val="FooterChar"/>
        </w:rPr>
        <w:t xml:space="preserve"> </w:t>
      </w:r>
      <w:r w:rsidR="00C92FF8" w:rsidRPr="00673FAC">
        <w:rPr>
          <w:rStyle w:val="FooterChar"/>
          <w:sz w:val="20"/>
        </w:rPr>
        <w:t>;</w:t>
      </w:r>
    </w:p>
    <w:p w:rsidR="00BA2F4D" w:rsidRPr="002E58C3" w:rsidRDefault="00BA2F4D" w:rsidP="002F0379">
      <w:pPr>
        <w:pStyle w:val="SingleTxtG"/>
        <w:ind w:left="2268"/>
        <w:rPr>
          <w:lang w:val="fr-FR"/>
        </w:rPr>
      </w:pPr>
      <w:r w:rsidRPr="002E58C3">
        <w:rPr>
          <w:lang w:val="fr-FR"/>
        </w:rPr>
        <w:t>En longueur</w:t>
      </w:r>
      <w:r w:rsidR="00B17D8D">
        <w:rPr>
          <w:lang w:val="fr-FR"/>
        </w:rPr>
        <w:t> :</w:t>
      </w:r>
      <w:r w:rsidRPr="002E58C3">
        <w:rPr>
          <w:lang w:val="fr-FR"/>
        </w:rPr>
        <w:t xml:space="preserve"> à l’arrière du véhicule.</w:t>
      </w:r>
    </w:p>
    <w:p w:rsidR="00BA2F4D" w:rsidRPr="002E58C3" w:rsidRDefault="002F0379" w:rsidP="002F0379">
      <w:pPr>
        <w:pStyle w:val="SingleTxtG"/>
        <w:ind w:left="2268" w:hanging="1134"/>
        <w:rPr>
          <w:lang w:val="fr-FR"/>
        </w:rPr>
      </w:pPr>
      <w:r>
        <w:rPr>
          <w:lang w:val="fr-FR"/>
        </w:rPr>
        <w:t>6.4.3.2</w:t>
      </w:r>
      <w:r w:rsidR="00BA2F4D" w:rsidRPr="002E58C3">
        <w:rPr>
          <w:lang w:val="fr-FR"/>
        </w:rPr>
        <w:tab/>
        <w:t>Pour un dispositif de la catégorie S3 tel que précisé dans le Règlement n</w:t>
      </w:r>
      <w:r w:rsidR="00BA2F4D" w:rsidRPr="002E58C3">
        <w:rPr>
          <w:vertAlign w:val="superscript"/>
          <w:lang w:val="fr-FR"/>
        </w:rPr>
        <w:t>o</w:t>
      </w:r>
      <w:r w:rsidR="00BA2F4D" w:rsidRPr="002E58C3">
        <w:rPr>
          <w:lang w:val="fr-FR"/>
        </w:rPr>
        <w:t xml:space="preserve"> 7 </w:t>
      </w:r>
      <w:r w:rsidR="00BA2F4D" w:rsidRPr="002F0379">
        <w:rPr>
          <w:b/>
          <w:lang w:val="fr-FR"/>
        </w:rPr>
        <w:t>ou</w:t>
      </w:r>
      <w:r w:rsidRPr="002F0379">
        <w:rPr>
          <w:b/>
          <w:lang w:val="fr-FR"/>
        </w:rPr>
        <w:t xml:space="preserve"> [LSD]</w:t>
      </w:r>
    </w:p>
    <w:p w:rsidR="00BA2F4D" w:rsidRPr="002E58C3" w:rsidRDefault="00BA2F4D" w:rsidP="002F0379">
      <w:pPr>
        <w:pStyle w:val="SingleTxtG"/>
        <w:ind w:left="2268"/>
        <w:rPr>
          <w:lang w:val="fr-FR"/>
        </w:rPr>
      </w:pPr>
      <w:r w:rsidRPr="002E58C3">
        <w:rPr>
          <w:lang w:val="fr-FR"/>
        </w:rPr>
        <w:t>En hauteur</w:t>
      </w:r>
      <w:r w:rsidR="00C92FF8" w:rsidRPr="00C92FF8">
        <w:rPr>
          <w:rStyle w:val="FooterChar"/>
        </w:rPr>
        <w:t xml:space="preserve"> :</w:t>
      </w:r>
      <w:r w:rsidRPr="002E58C3">
        <w:rPr>
          <w:lang w:val="fr-FR"/>
        </w:rPr>
        <w:t xml:space="preserve"> le plan horizontal tangent au bord inférieur de la surface apparente doit être au moins à 850 mm au-dessus du sol.</w:t>
      </w:r>
    </w:p>
    <w:p w:rsidR="00BA2F4D" w:rsidRPr="002E58C3" w:rsidRDefault="00BA2F4D" w:rsidP="002F0379">
      <w:pPr>
        <w:pStyle w:val="SingleTxtG"/>
        <w:ind w:left="2268"/>
        <w:rPr>
          <w:lang w:val="fr-FR"/>
        </w:rPr>
      </w:pPr>
      <w:r w:rsidRPr="002E58C3">
        <w:rPr>
          <w:lang w:val="fr-FR"/>
        </w:rPr>
        <w:t>Toutefois, le plan horizontal tangent au bord inférieur de la surface apparente doit être au-dessus du plan horizontal tangent au bord supérieur de la surface apparente du dispositif de la catégorie S1 tel que précisé dans le Règlement n</w:t>
      </w:r>
      <w:r w:rsidRPr="002E58C3">
        <w:rPr>
          <w:vertAlign w:val="superscript"/>
          <w:lang w:val="fr-FR"/>
        </w:rPr>
        <w:t>o</w:t>
      </w:r>
      <w:r w:rsidRPr="002E58C3">
        <w:rPr>
          <w:lang w:val="fr-FR"/>
        </w:rPr>
        <w:t xml:space="preserve"> 7 </w:t>
      </w:r>
      <w:r w:rsidRPr="002F0379">
        <w:rPr>
          <w:b/>
          <w:lang w:val="fr-FR"/>
        </w:rPr>
        <w:t>ou [LSD]</w:t>
      </w:r>
      <w:r w:rsidRPr="002E58C3">
        <w:rPr>
          <w:lang w:val="fr-FR"/>
        </w:rPr>
        <w:t xml:space="preserve"> ou du feu-stop tel que précisé dans le Règlement n</w:t>
      </w:r>
      <w:r w:rsidRPr="002E58C3">
        <w:rPr>
          <w:vertAlign w:val="superscript"/>
          <w:lang w:val="fr-FR"/>
        </w:rPr>
        <w:t>o</w:t>
      </w:r>
      <w:r w:rsidRPr="002E58C3">
        <w:rPr>
          <w:lang w:val="fr-FR"/>
        </w:rPr>
        <w:t xml:space="preserve"> 50 </w:t>
      </w:r>
      <w:r w:rsidRPr="002F0379">
        <w:rPr>
          <w:b/>
          <w:lang w:val="fr-FR"/>
        </w:rPr>
        <w:t>ou du feu-stop pour véhicules de la catégorie L tel que précisé dans le Règlement n</w:t>
      </w:r>
      <w:r w:rsidRPr="002F0379">
        <w:rPr>
          <w:b/>
          <w:vertAlign w:val="superscript"/>
          <w:lang w:val="fr-FR"/>
        </w:rPr>
        <w:t>o</w:t>
      </w:r>
      <w:r w:rsidR="002F0379" w:rsidRPr="002F0379">
        <w:rPr>
          <w:b/>
          <w:lang w:val="fr-FR"/>
        </w:rPr>
        <w:t> </w:t>
      </w:r>
      <w:r w:rsidRPr="002F0379">
        <w:rPr>
          <w:b/>
          <w:lang w:val="fr-FR"/>
        </w:rPr>
        <w:t>[LSD]</w:t>
      </w:r>
      <w:r w:rsidRPr="002E58C3">
        <w:rPr>
          <w:lang w:val="fr-FR"/>
        </w:rPr>
        <w:t>.</w:t>
      </w:r>
    </w:p>
    <w:p w:rsidR="00BA2F4D" w:rsidRPr="002E58C3" w:rsidRDefault="00BA2F4D" w:rsidP="002F0379">
      <w:pPr>
        <w:pStyle w:val="SingleTxtG"/>
        <w:ind w:left="2268"/>
        <w:rPr>
          <w:lang w:val="fr-FR"/>
        </w:rPr>
      </w:pPr>
      <w:r w:rsidRPr="002E58C3">
        <w:rPr>
          <w:lang w:val="fr-FR"/>
        </w:rPr>
        <w:t>En longueur</w:t>
      </w:r>
      <w:r w:rsidR="00C92FF8" w:rsidRPr="00C92FF8">
        <w:rPr>
          <w:rStyle w:val="FooterChar"/>
        </w:rPr>
        <w:t xml:space="preserve"> :</w:t>
      </w:r>
      <w:r w:rsidRPr="002E58C3">
        <w:rPr>
          <w:lang w:val="fr-FR"/>
        </w:rPr>
        <w:t xml:space="preserve"> à l’arrière du véhicule</w:t>
      </w:r>
      <w:r w:rsidR="002F0379">
        <w:rPr>
          <w:lang w:val="fr-FR"/>
        </w:rPr>
        <w:t>. »</w:t>
      </w:r>
      <w:r w:rsidRPr="002E58C3">
        <w:rPr>
          <w:lang w:val="fr-FR"/>
        </w:rPr>
        <w:t>.</w:t>
      </w:r>
    </w:p>
    <w:p w:rsidR="00BA2F4D" w:rsidRPr="002E58C3" w:rsidRDefault="00BA2F4D" w:rsidP="00F25D18">
      <w:pPr>
        <w:pStyle w:val="SingleTxtG"/>
        <w:pageBreakBefore/>
        <w:rPr>
          <w:lang w:val="fr-FR"/>
        </w:rPr>
      </w:pPr>
      <w:r w:rsidRPr="002E58C3">
        <w:rPr>
          <w:i/>
          <w:lang w:val="fr-FR"/>
        </w:rPr>
        <w:lastRenderedPageBreak/>
        <w:t>Paragraphe 6.4.4</w:t>
      </w:r>
      <w:r w:rsidRPr="002F0379">
        <w:rPr>
          <w:lang w:val="fr-FR"/>
        </w:rPr>
        <w:t>,</w:t>
      </w:r>
      <w:r w:rsidRPr="002E58C3">
        <w:rPr>
          <w:i/>
          <w:lang w:val="fr-FR"/>
        </w:rPr>
        <w:t xml:space="preserve"> </w:t>
      </w:r>
      <w:r w:rsidRPr="002E58C3">
        <w:rPr>
          <w:lang w:val="fr-FR"/>
        </w:rPr>
        <w:t>modifier comme suit</w:t>
      </w:r>
      <w:r w:rsidR="002F0379">
        <w:rPr>
          <w:lang w:val="fr-FR"/>
        </w:rPr>
        <w:t> :</w:t>
      </w:r>
    </w:p>
    <w:p w:rsidR="00BA2F4D" w:rsidRPr="002E58C3" w:rsidRDefault="002F0379" w:rsidP="009C667A">
      <w:pPr>
        <w:pStyle w:val="SingleTxtG"/>
        <w:ind w:left="2268" w:hanging="1134"/>
        <w:rPr>
          <w:lang w:val="fr-FR"/>
        </w:rPr>
      </w:pPr>
      <w:r>
        <w:rPr>
          <w:lang w:val="fr-FR"/>
        </w:rPr>
        <w:t>« </w:t>
      </w:r>
      <w:r w:rsidR="00BA2F4D" w:rsidRPr="002E58C3">
        <w:rPr>
          <w:lang w:val="fr-FR"/>
        </w:rPr>
        <w:t>6.4.4</w:t>
      </w:r>
      <w:r w:rsidR="00BA2F4D" w:rsidRPr="002E58C3">
        <w:rPr>
          <w:lang w:val="fr-FR"/>
        </w:rPr>
        <w:tab/>
        <w:t>Visibilité géométrique</w:t>
      </w:r>
    </w:p>
    <w:p w:rsidR="00BA2F4D" w:rsidRPr="002F0379" w:rsidRDefault="00BA2F4D" w:rsidP="002F0379">
      <w:pPr>
        <w:pStyle w:val="SingleTxtG"/>
        <w:ind w:left="2268"/>
        <w:rPr>
          <w:b/>
          <w:lang w:val="fr-FR"/>
        </w:rPr>
      </w:pPr>
      <w:r w:rsidRPr="002E58C3">
        <w:rPr>
          <w:lang w:val="fr-FR"/>
        </w:rPr>
        <w:t xml:space="preserve">Pour un dispositif de la catégorie S1 tel que précisé dans le Règlement </w:t>
      </w:r>
      <w:r w:rsidR="002F0379" w:rsidRPr="002E58C3">
        <w:rPr>
          <w:lang w:val="fr-FR"/>
        </w:rPr>
        <w:t>n</w:t>
      </w:r>
      <w:r w:rsidR="002F0379" w:rsidRPr="002E58C3">
        <w:rPr>
          <w:vertAlign w:val="superscript"/>
          <w:lang w:val="fr-FR"/>
        </w:rPr>
        <w:t>o</w:t>
      </w:r>
      <w:r w:rsidR="002F0379">
        <w:rPr>
          <w:lang w:val="fr-FR"/>
        </w:rPr>
        <w:t> </w:t>
      </w:r>
      <w:r w:rsidRPr="002E58C3">
        <w:rPr>
          <w:lang w:val="fr-FR"/>
        </w:rPr>
        <w:t xml:space="preserve">7 </w:t>
      </w:r>
      <w:r w:rsidRPr="002F0379">
        <w:rPr>
          <w:b/>
          <w:lang w:val="fr-FR"/>
        </w:rPr>
        <w:t>ou [LSD]</w:t>
      </w:r>
      <w:r w:rsidRPr="002E58C3">
        <w:rPr>
          <w:lang w:val="fr-FR"/>
        </w:rPr>
        <w:t xml:space="preserve"> ou un feu-stop tel que précisé dans le Règlement </w:t>
      </w:r>
      <w:r w:rsidR="002F0379" w:rsidRPr="002E58C3">
        <w:rPr>
          <w:lang w:val="fr-FR"/>
        </w:rPr>
        <w:t>n</w:t>
      </w:r>
      <w:r w:rsidR="002F0379" w:rsidRPr="002E58C3">
        <w:rPr>
          <w:vertAlign w:val="superscript"/>
          <w:lang w:val="fr-FR"/>
        </w:rPr>
        <w:t>o</w:t>
      </w:r>
      <w:r w:rsidR="002F0379">
        <w:rPr>
          <w:lang w:val="fr-FR"/>
        </w:rPr>
        <w:t> </w:t>
      </w:r>
      <w:r w:rsidRPr="002E58C3">
        <w:rPr>
          <w:lang w:val="fr-FR"/>
        </w:rPr>
        <w:t xml:space="preserve">50 </w:t>
      </w:r>
      <w:r w:rsidR="002F0379" w:rsidRPr="002F0379">
        <w:rPr>
          <w:b/>
          <w:lang w:val="fr-FR"/>
        </w:rPr>
        <w:t>ou un feu</w:t>
      </w:r>
      <w:r w:rsidR="002F0379" w:rsidRPr="002F0379">
        <w:rPr>
          <w:b/>
          <w:lang w:val="fr-FR"/>
        </w:rPr>
        <w:noBreakHyphen/>
      </w:r>
      <w:r w:rsidRPr="002F0379">
        <w:rPr>
          <w:b/>
          <w:lang w:val="fr-FR"/>
        </w:rPr>
        <w:t xml:space="preserve">stop pour véhicules de la catégorie L tel que précisé dans le Règlement </w:t>
      </w:r>
      <w:r w:rsidR="002F0379" w:rsidRPr="002F0379">
        <w:rPr>
          <w:b/>
          <w:lang w:val="fr-FR"/>
        </w:rPr>
        <w:t>n</w:t>
      </w:r>
      <w:r w:rsidR="002F0379" w:rsidRPr="002F0379">
        <w:rPr>
          <w:b/>
          <w:vertAlign w:val="superscript"/>
          <w:lang w:val="fr-FR"/>
        </w:rPr>
        <w:t>o</w:t>
      </w:r>
      <w:r w:rsidR="002F0379" w:rsidRPr="002F0379">
        <w:rPr>
          <w:b/>
          <w:lang w:val="fr-FR"/>
        </w:rPr>
        <w:t> </w:t>
      </w:r>
      <w:r w:rsidRPr="002F0379">
        <w:rPr>
          <w:b/>
          <w:lang w:val="fr-FR"/>
        </w:rPr>
        <w:t>[LSD]</w:t>
      </w:r>
    </w:p>
    <w:p w:rsidR="00BA2F4D" w:rsidRPr="002E58C3" w:rsidRDefault="00BA2F4D" w:rsidP="002F0379">
      <w:pPr>
        <w:pStyle w:val="SingleTxtG"/>
        <w:ind w:left="2268"/>
        <w:rPr>
          <w:lang w:val="fr-FR"/>
        </w:rPr>
      </w:pPr>
      <w:r w:rsidRPr="002E58C3">
        <w:rPr>
          <w:lang w:val="fr-FR"/>
        </w:rPr>
        <w:t>Angle horizo</w:t>
      </w:r>
      <w:r w:rsidR="002F0379">
        <w:rPr>
          <w:lang w:val="fr-FR"/>
        </w:rPr>
        <w:t>ntal :</w:t>
      </w:r>
      <w:r w:rsidRPr="002E58C3">
        <w:rPr>
          <w:lang w:val="fr-FR"/>
        </w:rPr>
        <w:tab/>
        <w:t>45° à gauche</w:t>
      </w:r>
      <w:r w:rsidR="002F0379">
        <w:rPr>
          <w:lang w:val="fr-FR"/>
        </w:rPr>
        <w:t xml:space="preserve"> et à droite pour un feu simple ;</w:t>
      </w:r>
    </w:p>
    <w:p w:rsidR="00BA2F4D" w:rsidRPr="002E58C3" w:rsidRDefault="00BA2F4D" w:rsidP="002F0379">
      <w:pPr>
        <w:pStyle w:val="SingleTxtG"/>
        <w:ind w:left="3969"/>
        <w:rPr>
          <w:lang w:val="fr-FR"/>
        </w:rPr>
      </w:pPr>
      <w:r w:rsidRPr="002E58C3">
        <w:rPr>
          <w:lang w:val="fr-FR"/>
        </w:rPr>
        <w:t>45° vers l’extérieur et 10° v</w:t>
      </w:r>
      <w:r w:rsidR="002F0379">
        <w:rPr>
          <w:lang w:val="fr-FR"/>
        </w:rPr>
        <w:t xml:space="preserve">ers l’intérieur pour chaque </w:t>
      </w:r>
      <w:r w:rsidR="002F0379">
        <w:rPr>
          <w:lang w:val="fr-FR"/>
        </w:rPr>
        <w:tab/>
      </w:r>
      <w:r w:rsidRPr="002E58C3">
        <w:rPr>
          <w:lang w:val="fr-FR"/>
        </w:rPr>
        <w:t>paire de feux</w:t>
      </w:r>
      <w:r w:rsidR="00C92FF8" w:rsidRPr="00C92FF8">
        <w:rPr>
          <w:rStyle w:val="FooterChar"/>
        </w:rPr>
        <w:t xml:space="preserve"> </w:t>
      </w:r>
      <w:r w:rsidR="00C92FF8" w:rsidRPr="00FB6332">
        <w:rPr>
          <w:rStyle w:val="FooterChar"/>
          <w:sz w:val="20"/>
        </w:rPr>
        <w:t>;</w:t>
      </w:r>
    </w:p>
    <w:p w:rsidR="00BA2F4D" w:rsidRPr="002E58C3" w:rsidRDefault="002F0379" w:rsidP="002F0379">
      <w:pPr>
        <w:pStyle w:val="SingleTxtG"/>
        <w:ind w:left="2268"/>
        <w:rPr>
          <w:lang w:val="fr-FR"/>
        </w:rPr>
      </w:pPr>
      <w:r>
        <w:rPr>
          <w:lang w:val="fr-FR"/>
        </w:rPr>
        <w:t>Angle vertical :</w:t>
      </w:r>
      <w:r>
        <w:rPr>
          <w:lang w:val="fr-FR"/>
        </w:rPr>
        <w:tab/>
      </w:r>
      <w:r w:rsidR="00BA2F4D" w:rsidRPr="002E58C3">
        <w:rPr>
          <w:lang w:val="fr-FR"/>
        </w:rPr>
        <w:t>15° au-dessus et au-dessous de l’horizontale.</w:t>
      </w:r>
    </w:p>
    <w:p w:rsidR="00BA2F4D" w:rsidRPr="002E58C3" w:rsidRDefault="00BA2F4D" w:rsidP="002F0379">
      <w:pPr>
        <w:pStyle w:val="SingleTxtG"/>
        <w:ind w:left="2268"/>
        <w:rPr>
          <w:lang w:val="fr-FR"/>
        </w:rPr>
      </w:pPr>
      <w:r w:rsidRPr="002E58C3">
        <w:rPr>
          <w:lang w:val="fr-FR"/>
        </w:rPr>
        <w:t>Cependant, si la hauteur de montage du feu est inférieure à 750 mm (mesure effectuée conformément aux dispositions du paragraphe 5.7), l’angle de 15° vers le bas peut être ramené à 5°.</w:t>
      </w:r>
    </w:p>
    <w:p w:rsidR="00BA2F4D" w:rsidRPr="002E58C3" w:rsidRDefault="00BA2F4D" w:rsidP="002F0379">
      <w:pPr>
        <w:pStyle w:val="SingleTxtG"/>
        <w:ind w:left="2268"/>
        <w:rPr>
          <w:lang w:val="fr-FR"/>
        </w:rPr>
      </w:pPr>
      <w:r w:rsidRPr="002E58C3">
        <w:rPr>
          <w:lang w:val="fr-FR"/>
        </w:rPr>
        <w:t xml:space="preserve">Pour un dispositif de la catégorie S3 tel que précisé dans le Règlement </w:t>
      </w:r>
      <w:r w:rsidR="000118A8" w:rsidRPr="002E58C3">
        <w:rPr>
          <w:lang w:val="fr-FR"/>
        </w:rPr>
        <w:t>n</w:t>
      </w:r>
      <w:r w:rsidR="000118A8" w:rsidRPr="002E58C3">
        <w:rPr>
          <w:vertAlign w:val="superscript"/>
          <w:lang w:val="fr-FR"/>
        </w:rPr>
        <w:t>o</w:t>
      </w:r>
      <w:r w:rsidR="000118A8">
        <w:rPr>
          <w:lang w:val="fr-FR"/>
        </w:rPr>
        <w:t> </w:t>
      </w:r>
      <w:r w:rsidRPr="002E58C3">
        <w:rPr>
          <w:lang w:val="fr-FR"/>
        </w:rPr>
        <w:t xml:space="preserve">7 </w:t>
      </w:r>
      <w:r w:rsidRPr="000118A8">
        <w:rPr>
          <w:b/>
          <w:lang w:val="fr-FR"/>
        </w:rPr>
        <w:t>ou [LSD]</w:t>
      </w:r>
    </w:p>
    <w:p w:rsidR="00BA2F4D" w:rsidRPr="002E58C3" w:rsidRDefault="00BA2F4D" w:rsidP="000118A8">
      <w:pPr>
        <w:pStyle w:val="SingleTxtG"/>
        <w:ind w:left="3969" w:hanging="1701"/>
        <w:rPr>
          <w:lang w:val="fr-FR"/>
        </w:rPr>
      </w:pPr>
      <w:r w:rsidRPr="002E58C3">
        <w:rPr>
          <w:lang w:val="fr-FR"/>
        </w:rPr>
        <w:t>Angle horizontal</w:t>
      </w:r>
      <w:r w:rsidR="00B17D8D">
        <w:rPr>
          <w:lang w:val="fr-FR"/>
        </w:rPr>
        <w:t> :</w:t>
      </w:r>
      <w:r w:rsidRPr="002E58C3">
        <w:rPr>
          <w:lang w:val="fr-FR"/>
        </w:rPr>
        <w:t xml:space="preserve"> </w:t>
      </w:r>
      <w:r w:rsidRPr="002E58C3">
        <w:rPr>
          <w:lang w:val="fr-FR"/>
        </w:rPr>
        <w:tab/>
        <w:t>10° à gauche et à droite de l’axe longitudinal du véhicule</w:t>
      </w:r>
      <w:r w:rsidR="00C92FF8" w:rsidRPr="00C92FF8">
        <w:rPr>
          <w:rStyle w:val="FooterChar"/>
        </w:rPr>
        <w:t xml:space="preserve"> </w:t>
      </w:r>
      <w:r w:rsidR="00C92FF8" w:rsidRPr="008448E6">
        <w:rPr>
          <w:rStyle w:val="FooterChar"/>
          <w:sz w:val="20"/>
        </w:rPr>
        <w:t>;</w:t>
      </w:r>
    </w:p>
    <w:p w:rsidR="00BA2F4D" w:rsidRPr="002E58C3" w:rsidRDefault="00BA2F4D" w:rsidP="000118A8">
      <w:pPr>
        <w:pStyle w:val="SingleTxtG"/>
        <w:ind w:left="2268"/>
        <w:rPr>
          <w:lang w:val="fr-FR"/>
        </w:rPr>
      </w:pPr>
      <w:r w:rsidRPr="002E58C3">
        <w:rPr>
          <w:lang w:val="fr-FR"/>
        </w:rPr>
        <w:t>Angle vertical</w:t>
      </w:r>
      <w:r w:rsidR="00B17D8D">
        <w:rPr>
          <w:lang w:val="fr-FR"/>
        </w:rPr>
        <w:t> :</w:t>
      </w:r>
      <w:r w:rsidRPr="002E58C3">
        <w:rPr>
          <w:lang w:val="fr-FR"/>
        </w:rPr>
        <w:t xml:space="preserve"> </w:t>
      </w:r>
      <w:r w:rsidRPr="002E58C3">
        <w:rPr>
          <w:lang w:val="fr-FR"/>
        </w:rPr>
        <w:tab/>
        <w:t>10° au-dessus et 5° au-dessous de l’horizontale</w:t>
      </w:r>
      <w:r w:rsidR="000118A8">
        <w:rPr>
          <w:lang w:val="fr-FR"/>
        </w:rPr>
        <w:t>. »</w:t>
      </w:r>
      <w:r w:rsidRPr="002E58C3">
        <w:rPr>
          <w:lang w:val="fr-FR"/>
        </w:rPr>
        <w:t>.</w:t>
      </w:r>
    </w:p>
    <w:p w:rsidR="00BA2F4D" w:rsidRPr="002E58C3" w:rsidRDefault="00BA2F4D" w:rsidP="000118A8">
      <w:pPr>
        <w:pStyle w:val="SingleTxtG"/>
        <w:rPr>
          <w:lang w:val="fr-FR"/>
        </w:rPr>
      </w:pPr>
      <w:r w:rsidRPr="002E58C3">
        <w:rPr>
          <w:i/>
          <w:lang w:val="fr-FR"/>
        </w:rPr>
        <w:t>Paragraphe 6.5.1</w:t>
      </w:r>
      <w:r w:rsidRPr="000118A8">
        <w:rPr>
          <w:lang w:val="fr-FR"/>
        </w:rPr>
        <w:t xml:space="preserve">, </w:t>
      </w:r>
      <w:r w:rsidRPr="002E58C3">
        <w:rPr>
          <w:lang w:val="fr-FR"/>
        </w:rPr>
        <w:t>modifier comme suit</w:t>
      </w:r>
      <w:r w:rsidR="000118A8">
        <w:rPr>
          <w:lang w:val="fr-FR"/>
        </w:rPr>
        <w:t> :</w:t>
      </w:r>
    </w:p>
    <w:p w:rsidR="00BA2F4D" w:rsidRPr="002E58C3" w:rsidRDefault="000118A8" w:rsidP="000118A8">
      <w:pPr>
        <w:pStyle w:val="SingleTxtG"/>
        <w:rPr>
          <w:lang w:val="fr-FR"/>
        </w:rPr>
      </w:pPr>
      <w:r>
        <w:rPr>
          <w:lang w:val="fr-FR"/>
        </w:rPr>
        <w:t>« 6.5.1</w:t>
      </w:r>
      <w:r w:rsidR="00BA2F4D" w:rsidRPr="002E58C3">
        <w:rPr>
          <w:lang w:val="fr-FR"/>
        </w:rPr>
        <w:tab/>
      </w:r>
      <w:r>
        <w:rPr>
          <w:lang w:val="fr-FR"/>
        </w:rPr>
        <w:tab/>
      </w:r>
      <w:r w:rsidR="00BA2F4D" w:rsidRPr="002E58C3">
        <w:rPr>
          <w:lang w:val="fr-FR"/>
        </w:rPr>
        <w:t>Nombre</w:t>
      </w:r>
    </w:p>
    <w:p w:rsidR="00BA2F4D" w:rsidRPr="002E58C3" w:rsidRDefault="00BA2F4D" w:rsidP="000118A8">
      <w:pPr>
        <w:pStyle w:val="SingleTxtG"/>
        <w:ind w:left="2268"/>
        <w:rPr>
          <w:lang w:val="fr-FR"/>
        </w:rPr>
      </w:pPr>
      <w:r w:rsidRPr="002E58C3">
        <w:rPr>
          <w:lang w:val="fr-FR"/>
        </w:rPr>
        <w:t xml:space="preserve">Un, homologué comme dispositif de la catégorie 2 en vertu du Règlement </w:t>
      </w:r>
      <w:r w:rsidR="000118A8" w:rsidRPr="002E58C3">
        <w:rPr>
          <w:lang w:val="fr-FR"/>
        </w:rPr>
        <w:t>n</w:t>
      </w:r>
      <w:r w:rsidR="000118A8" w:rsidRPr="002E58C3">
        <w:rPr>
          <w:vertAlign w:val="superscript"/>
          <w:lang w:val="fr-FR"/>
        </w:rPr>
        <w:t>o</w:t>
      </w:r>
      <w:r w:rsidR="000118A8">
        <w:rPr>
          <w:lang w:val="fr-FR"/>
        </w:rPr>
        <w:t> </w:t>
      </w:r>
      <w:r w:rsidRPr="002E58C3">
        <w:rPr>
          <w:lang w:val="fr-FR"/>
        </w:rPr>
        <w:t xml:space="preserve">50 </w:t>
      </w:r>
      <w:r w:rsidRPr="000118A8">
        <w:rPr>
          <w:b/>
          <w:lang w:val="fr-FR"/>
        </w:rPr>
        <w:t>ou [LSD]</w:t>
      </w:r>
      <w:r w:rsidRPr="002E58C3">
        <w:rPr>
          <w:lang w:val="fr-FR"/>
        </w:rPr>
        <w:t>. Le dispositif peut être composé de différents éléments optiques destinés à éclairer l’emplacement de la plaque</w:t>
      </w:r>
      <w:r w:rsidR="000118A8">
        <w:rPr>
          <w:lang w:val="fr-FR"/>
        </w:rPr>
        <w:t>. »</w:t>
      </w:r>
      <w:r w:rsidRPr="002E58C3">
        <w:rPr>
          <w:lang w:val="fr-FR"/>
        </w:rPr>
        <w:t>.</w:t>
      </w:r>
    </w:p>
    <w:p w:rsidR="00BA2F4D" w:rsidRPr="002E58C3" w:rsidRDefault="00BA2F4D" w:rsidP="000118A8">
      <w:pPr>
        <w:pStyle w:val="SingleTxtG"/>
        <w:rPr>
          <w:lang w:val="fr-FR"/>
        </w:rPr>
      </w:pPr>
      <w:r w:rsidRPr="002E58C3">
        <w:rPr>
          <w:i/>
          <w:lang w:val="fr-FR"/>
        </w:rPr>
        <w:t>Paragraphe 6.13.2</w:t>
      </w:r>
      <w:r w:rsidRPr="000118A8">
        <w:rPr>
          <w:lang w:val="fr-FR"/>
        </w:rPr>
        <w:t>,</w:t>
      </w:r>
      <w:r w:rsidRPr="002E58C3">
        <w:rPr>
          <w:i/>
          <w:lang w:val="fr-FR"/>
        </w:rPr>
        <w:t xml:space="preserve"> </w:t>
      </w:r>
      <w:r w:rsidRPr="002E58C3">
        <w:rPr>
          <w:lang w:val="fr-FR"/>
        </w:rPr>
        <w:t>modifier comme suit</w:t>
      </w:r>
      <w:r w:rsidR="000118A8">
        <w:rPr>
          <w:lang w:val="fr-FR"/>
        </w:rPr>
        <w:t> :</w:t>
      </w:r>
    </w:p>
    <w:p w:rsidR="00BA2F4D" w:rsidRPr="002E58C3" w:rsidRDefault="000118A8" w:rsidP="000118A8">
      <w:pPr>
        <w:pStyle w:val="SingleTxtG"/>
        <w:rPr>
          <w:lang w:val="fr-FR"/>
        </w:rPr>
      </w:pPr>
      <w:r>
        <w:rPr>
          <w:lang w:val="fr-FR"/>
        </w:rPr>
        <w:t>« 6.13.2</w:t>
      </w:r>
      <w:r w:rsidR="00BA2F4D" w:rsidRPr="002E58C3">
        <w:rPr>
          <w:lang w:val="fr-FR"/>
        </w:rPr>
        <w:tab/>
        <w:t>Nombre</w:t>
      </w:r>
    </w:p>
    <w:p w:rsidR="00BA2F4D" w:rsidRPr="002E58C3" w:rsidRDefault="00BA2F4D" w:rsidP="000118A8">
      <w:pPr>
        <w:pStyle w:val="SingleTxtG"/>
        <w:ind w:left="2268"/>
        <w:rPr>
          <w:lang w:val="fr-FR"/>
        </w:rPr>
      </w:pPr>
      <w:r w:rsidRPr="002E58C3">
        <w:rPr>
          <w:lang w:val="fr-FR"/>
        </w:rPr>
        <w:t xml:space="preserve">Un ou deux, du type homologué conformément au Règlement </w:t>
      </w:r>
      <w:r w:rsidR="000118A8" w:rsidRPr="002E58C3">
        <w:rPr>
          <w:lang w:val="fr-FR"/>
        </w:rPr>
        <w:t>n</w:t>
      </w:r>
      <w:r w:rsidR="000118A8" w:rsidRPr="002E58C3">
        <w:rPr>
          <w:vertAlign w:val="superscript"/>
          <w:lang w:val="fr-FR"/>
        </w:rPr>
        <w:t>o</w:t>
      </w:r>
      <w:r w:rsidR="000118A8">
        <w:rPr>
          <w:lang w:val="fr-FR"/>
        </w:rPr>
        <w:t> </w:t>
      </w:r>
      <w:r w:rsidRPr="002E58C3">
        <w:rPr>
          <w:lang w:val="fr-FR"/>
        </w:rPr>
        <w:t xml:space="preserve">87 </w:t>
      </w:r>
      <w:r w:rsidRPr="000118A8">
        <w:rPr>
          <w:b/>
          <w:lang w:val="fr-FR"/>
        </w:rPr>
        <w:t>ou [LSD]</w:t>
      </w:r>
      <w:r w:rsidR="000118A8">
        <w:rPr>
          <w:lang w:val="fr-FR"/>
        </w:rPr>
        <w:t>. »</w:t>
      </w:r>
      <w:r w:rsidRPr="002E58C3">
        <w:rPr>
          <w:lang w:val="fr-FR"/>
        </w:rPr>
        <w:t>.</w:t>
      </w:r>
    </w:p>
    <w:p w:rsidR="00BA2F4D" w:rsidRPr="002E58C3" w:rsidRDefault="00BA2F4D" w:rsidP="000118A8">
      <w:pPr>
        <w:pStyle w:val="HChG"/>
        <w:rPr>
          <w:lang w:val="fr-FR"/>
        </w:rPr>
      </w:pPr>
      <w:r w:rsidRPr="002E58C3">
        <w:rPr>
          <w:lang w:val="fr-FR"/>
        </w:rPr>
        <w:tab/>
        <w:t>II.</w:t>
      </w:r>
      <w:r w:rsidRPr="002E58C3">
        <w:rPr>
          <w:lang w:val="fr-FR"/>
        </w:rPr>
        <w:tab/>
        <w:t>Justification</w:t>
      </w:r>
    </w:p>
    <w:p w:rsidR="00F9573C" w:rsidRDefault="00BA2F4D" w:rsidP="000118A8">
      <w:pPr>
        <w:pStyle w:val="SingleTxtG"/>
        <w:ind w:firstLine="567"/>
        <w:rPr>
          <w:lang w:val="fr-FR" w:eastAsia="it-IT"/>
        </w:rPr>
      </w:pPr>
      <w:r w:rsidRPr="002E58C3">
        <w:rPr>
          <w:lang w:val="fr-FR"/>
        </w:rPr>
        <w:t>Précédemment, des références aux Règlements relatifs aux dispositifs ont été ajoutées dans le Règlement n</w:t>
      </w:r>
      <w:r w:rsidRPr="002E58C3">
        <w:rPr>
          <w:vertAlign w:val="superscript"/>
          <w:lang w:val="fr-FR"/>
        </w:rPr>
        <w:t>o</w:t>
      </w:r>
      <w:r w:rsidRPr="002E58C3">
        <w:rPr>
          <w:lang w:val="fr-FR"/>
        </w:rPr>
        <w:t> 53, pour plus de précision. Maintenant que de nouveaux Règlements simplifiés sur les dispositifs de signalisation lumineuse (LSD), les dispositifs d’éclairage de la route (RID) et les dispositifs catadioptriques (RRD) ont été élaborés par le groupe de travail informel chargé de la simplification des Règlements relatifs à l’éclairage et à la signalisation lumineuse, il est nécessaire d’ajouter des références à ces Règlements. La présente proposition vise à introduire ces références dans la série 02 d’amendements</w:t>
      </w:r>
      <w:r w:rsidRPr="002E58C3">
        <w:rPr>
          <w:lang w:val="fr-FR" w:eastAsia="it-IT"/>
        </w:rPr>
        <w:t xml:space="preserve"> au Règlement n</w:t>
      </w:r>
      <w:r w:rsidRPr="002E58C3">
        <w:rPr>
          <w:vertAlign w:val="superscript"/>
          <w:lang w:val="fr-FR" w:eastAsia="it-IT"/>
        </w:rPr>
        <w:t>o</w:t>
      </w:r>
      <w:r w:rsidRPr="002E58C3">
        <w:rPr>
          <w:lang w:val="fr-FR" w:eastAsia="it-IT"/>
        </w:rPr>
        <w:t> 53.</w:t>
      </w:r>
    </w:p>
    <w:p w:rsidR="000118A8" w:rsidRPr="000118A8" w:rsidRDefault="000118A8" w:rsidP="000118A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118A8" w:rsidRPr="000118A8" w:rsidSect="00704A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32" w:rsidRDefault="005F3D32" w:rsidP="00F95C08">
      <w:pPr>
        <w:spacing w:line="240" w:lineRule="auto"/>
      </w:pPr>
    </w:p>
  </w:endnote>
  <w:endnote w:type="continuationSeparator" w:id="0">
    <w:p w:rsidR="005F3D32" w:rsidRPr="00AC3823" w:rsidRDefault="005F3D32" w:rsidP="00AC3823">
      <w:pPr>
        <w:pStyle w:val="Footer"/>
      </w:pPr>
    </w:p>
  </w:endnote>
  <w:endnote w:type="continuationNotice" w:id="1">
    <w:p w:rsidR="005F3D32" w:rsidRDefault="005F3D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BA" w:rsidRPr="00704ABA" w:rsidRDefault="00704ABA" w:rsidP="00704ABA">
    <w:pPr>
      <w:pStyle w:val="Footer"/>
      <w:tabs>
        <w:tab w:val="right" w:pos="9638"/>
      </w:tabs>
    </w:pPr>
    <w:r w:rsidRPr="00704ABA">
      <w:rPr>
        <w:b/>
        <w:sz w:val="18"/>
      </w:rPr>
      <w:fldChar w:fldCharType="begin"/>
    </w:r>
    <w:r w:rsidRPr="00704ABA">
      <w:rPr>
        <w:b/>
        <w:sz w:val="18"/>
      </w:rPr>
      <w:instrText xml:space="preserve"> PAGE  \* MERGEFORMAT </w:instrText>
    </w:r>
    <w:r w:rsidRPr="00704ABA">
      <w:rPr>
        <w:b/>
        <w:sz w:val="18"/>
      </w:rPr>
      <w:fldChar w:fldCharType="separate"/>
    </w:r>
    <w:r w:rsidR="005D2C87">
      <w:rPr>
        <w:b/>
        <w:noProof/>
        <w:sz w:val="18"/>
      </w:rPr>
      <w:t>2</w:t>
    </w:r>
    <w:r w:rsidRPr="00704ABA">
      <w:rPr>
        <w:b/>
        <w:sz w:val="18"/>
      </w:rPr>
      <w:fldChar w:fldCharType="end"/>
    </w:r>
    <w:r>
      <w:rPr>
        <w:b/>
        <w:sz w:val="18"/>
      </w:rPr>
      <w:tab/>
    </w:r>
    <w:r>
      <w:t>GE.18-01752</w:t>
    </w:r>
  </w:p>
  <w:p w:rsidR="002558AC" w:rsidRDefault="002558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BA" w:rsidRPr="00704ABA" w:rsidRDefault="00704ABA" w:rsidP="00704ABA">
    <w:pPr>
      <w:pStyle w:val="Footer"/>
      <w:tabs>
        <w:tab w:val="right" w:pos="9638"/>
      </w:tabs>
      <w:rPr>
        <w:b/>
        <w:sz w:val="18"/>
      </w:rPr>
    </w:pPr>
    <w:r>
      <w:t>GE.18-01752</w:t>
    </w:r>
    <w:r>
      <w:tab/>
    </w:r>
    <w:r w:rsidRPr="00704ABA">
      <w:rPr>
        <w:b/>
        <w:sz w:val="18"/>
      </w:rPr>
      <w:fldChar w:fldCharType="begin"/>
    </w:r>
    <w:r w:rsidRPr="00704ABA">
      <w:rPr>
        <w:b/>
        <w:sz w:val="18"/>
      </w:rPr>
      <w:instrText xml:space="preserve"> PAGE  \* MERGEFORMAT </w:instrText>
    </w:r>
    <w:r w:rsidRPr="00704ABA">
      <w:rPr>
        <w:b/>
        <w:sz w:val="18"/>
      </w:rPr>
      <w:fldChar w:fldCharType="separate"/>
    </w:r>
    <w:r w:rsidR="005D2C87">
      <w:rPr>
        <w:b/>
        <w:noProof/>
        <w:sz w:val="18"/>
      </w:rPr>
      <w:t>5</w:t>
    </w:r>
    <w:r w:rsidRPr="00704ABA">
      <w:rPr>
        <w:b/>
        <w:sz w:val="18"/>
      </w:rPr>
      <w:fldChar w:fldCharType="end"/>
    </w:r>
  </w:p>
  <w:p w:rsidR="002558AC" w:rsidRDefault="002558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04ABA" w:rsidRDefault="00704ABA" w:rsidP="00704ABA">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18-01752  (F)    160218    190218</w:t>
    </w:r>
    <w:r>
      <w:rPr>
        <w:sz w:val="20"/>
      </w:rPr>
      <w:br/>
    </w:r>
    <w:r w:rsidRPr="00704ABA">
      <w:rPr>
        <w:rFonts w:ascii="C39T30Lfz" w:hAnsi="C39T30Lfz"/>
        <w:sz w:val="56"/>
      </w:rPr>
      <w:t></w:t>
    </w:r>
    <w:r w:rsidRPr="00704ABA">
      <w:rPr>
        <w:rFonts w:ascii="C39T30Lfz" w:hAnsi="C39T30Lfz"/>
        <w:sz w:val="56"/>
      </w:rPr>
      <w:t></w:t>
    </w:r>
    <w:r w:rsidRPr="00704ABA">
      <w:rPr>
        <w:rFonts w:ascii="C39T30Lfz" w:hAnsi="C39T30Lfz"/>
        <w:sz w:val="56"/>
      </w:rPr>
      <w:t></w:t>
    </w:r>
    <w:r w:rsidRPr="00704ABA">
      <w:rPr>
        <w:rFonts w:ascii="C39T30Lfz" w:hAnsi="C39T30Lfz"/>
        <w:sz w:val="56"/>
      </w:rPr>
      <w:t></w:t>
    </w:r>
    <w:r w:rsidRPr="00704ABA">
      <w:rPr>
        <w:rFonts w:ascii="C39T30Lfz" w:hAnsi="C39T30Lfz"/>
        <w:sz w:val="56"/>
      </w:rPr>
      <w:t></w:t>
    </w:r>
    <w:r w:rsidRPr="00704ABA">
      <w:rPr>
        <w:rFonts w:ascii="C39T30Lfz" w:hAnsi="C39T30Lfz"/>
        <w:sz w:val="56"/>
      </w:rPr>
      <w:t></w:t>
    </w:r>
    <w:r w:rsidRPr="00704ABA">
      <w:rPr>
        <w:rFonts w:ascii="C39T30Lfz" w:hAnsi="C39T30Lfz"/>
        <w:sz w:val="56"/>
      </w:rPr>
      <w:t></w:t>
    </w:r>
    <w:r w:rsidRPr="00704ABA">
      <w:rPr>
        <w:rFonts w:ascii="C39T30Lfz" w:hAnsi="C39T30Lfz"/>
        <w:sz w:val="56"/>
      </w:rPr>
      <w:t></w:t>
    </w:r>
    <w:r w:rsidRPr="00704AB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32" w:rsidRPr="00AC3823" w:rsidRDefault="005F3D32" w:rsidP="00AC3823">
      <w:pPr>
        <w:pStyle w:val="Footer"/>
        <w:tabs>
          <w:tab w:val="right" w:pos="2155"/>
        </w:tabs>
        <w:spacing w:after="80" w:line="240" w:lineRule="atLeast"/>
        <w:ind w:left="680"/>
        <w:rPr>
          <w:u w:val="single"/>
        </w:rPr>
      </w:pPr>
      <w:r>
        <w:rPr>
          <w:u w:val="single"/>
        </w:rPr>
        <w:tab/>
      </w:r>
    </w:p>
  </w:footnote>
  <w:footnote w:type="continuationSeparator" w:id="0">
    <w:p w:rsidR="005F3D32" w:rsidRPr="00AC3823" w:rsidRDefault="005F3D32" w:rsidP="00AC3823">
      <w:pPr>
        <w:pStyle w:val="Footer"/>
        <w:tabs>
          <w:tab w:val="right" w:pos="2155"/>
        </w:tabs>
        <w:spacing w:after="80" w:line="240" w:lineRule="atLeast"/>
        <w:ind w:left="680"/>
        <w:rPr>
          <w:u w:val="single"/>
        </w:rPr>
      </w:pPr>
      <w:r>
        <w:rPr>
          <w:u w:val="single"/>
        </w:rPr>
        <w:tab/>
      </w:r>
    </w:p>
  </w:footnote>
  <w:footnote w:type="continuationNotice" w:id="1">
    <w:p w:rsidR="005F3D32" w:rsidRPr="00AC3823" w:rsidRDefault="005F3D32">
      <w:pPr>
        <w:spacing w:line="240" w:lineRule="auto"/>
        <w:rPr>
          <w:sz w:val="2"/>
          <w:szCs w:val="2"/>
        </w:rPr>
      </w:pPr>
    </w:p>
  </w:footnote>
  <w:footnote w:id="2">
    <w:p w:rsidR="0069080A" w:rsidRPr="00780858" w:rsidRDefault="0069080A" w:rsidP="0069080A">
      <w:pPr>
        <w:pStyle w:val="FootnoteText"/>
        <w:rPr>
          <w:lang w:val="fr-FR"/>
        </w:rPr>
      </w:pPr>
      <w:r w:rsidRPr="00A90EA8">
        <w:tab/>
      </w:r>
      <w:r w:rsidRPr="00780858">
        <w:rPr>
          <w:sz w:val="20"/>
          <w:lang w:val="fr-FR"/>
        </w:rPr>
        <w:t>*</w:t>
      </w:r>
      <w:r w:rsidRPr="00780858">
        <w:rPr>
          <w:sz w:val="20"/>
          <w:lang w:val="fr-FR"/>
        </w:rPr>
        <w:tab/>
      </w:r>
      <w:r w:rsidRPr="00780858">
        <w:rPr>
          <w:lang w:val="fr-FR"/>
        </w:rPr>
        <w:t xml:space="preserve">Conformément au programme de travail du Comité des transports </w:t>
      </w:r>
      <w:r w:rsidR="00B17D8D">
        <w:rPr>
          <w:lang w:val="fr-FR"/>
        </w:rPr>
        <w:t>intérieurs pour la période 2014</w:t>
      </w:r>
      <w:r w:rsidR="00B17D8D">
        <w:rPr>
          <w:lang w:val="fr-FR"/>
        </w:rPr>
        <w:noBreakHyphen/>
      </w:r>
      <w:r w:rsidRPr="00780858">
        <w:rPr>
          <w:lang w:val="fr-FR"/>
        </w:rPr>
        <w:t xml:space="preserve">2018 (ECE/TRANS/240, par. 105, et ECE/TRANS/2014/26, </w:t>
      </w:r>
      <w:r>
        <w:rPr>
          <w:lang w:val="fr-FR"/>
        </w:rPr>
        <w:t>module</w:t>
      </w:r>
      <w:r w:rsidRPr="00780858">
        <w:rPr>
          <w:lang w:val="fr-FR"/>
        </w:rPr>
        <w:t>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BA" w:rsidRPr="00704ABA" w:rsidRDefault="005D2C87">
    <w:pPr>
      <w:pStyle w:val="Header"/>
    </w:pPr>
    <w:r>
      <w:fldChar w:fldCharType="begin"/>
    </w:r>
    <w:r>
      <w:instrText xml:space="preserve"> TITLE  \* MERGEFORMAT </w:instrText>
    </w:r>
    <w:r>
      <w:fldChar w:fldCharType="separate"/>
    </w:r>
    <w:r w:rsidR="00B60041">
      <w:t>ECE/TRANS/WP.29/GRE/2018/15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BA" w:rsidRPr="00704ABA" w:rsidRDefault="005D2C87" w:rsidP="00704ABA">
    <w:pPr>
      <w:pStyle w:val="Header"/>
      <w:jc w:val="right"/>
    </w:pPr>
    <w:r>
      <w:fldChar w:fldCharType="begin"/>
    </w:r>
    <w:r>
      <w:instrText xml:space="preserve"> TITLE  \* MERGEFORMAT </w:instrText>
    </w:r>
    <w:r>
      <w:fldChar w:fldCharType="separate"/>
    </w:r>
    <w:r w:rsidR="00B60041">
      <w:t>ECE/TRANS/WP.29/GRE/2018/15</w:t>
    </w:r>
    <w:r>
      <w:fldChar w:fldCharType="end"/>
    </w:r>
  </w:p>
  <w:p w:rsidR="002558AC" w:rsidRDefault="002558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32"/>
    <w:rsid w:val="000118A8"/>
    <w:rsid w:val="00017F94"/>
    <w:rsid w:val="0002225C"/>
    <w:rsid w:val="00023842"/>
    <w:rsid w:val="000334F9"/>
    <w:rsid w:val="00045FEB"/>
    <w:rsid w:val="0007796D"/>
    <w:rsid w:val="000B7790"/>
    <w:rsid w:val="000F2C5F"/>
    <w:rsid w:val="00111F2F"/>
    <w:rsid w:val="00120281"/>
    <w:rsid w:val="00140137"/>
    <w:rsid w:val="0014365E"/>
    <w:rsid w:val="00143C66"/>
    <w:rsid w:val="00176178"/>
    <w:rsid w:val="001F525A"/>
    <w:rsid w:val="00223272"/>
    <w:rsid w:val="0024779E"/>
    <w:rsid w:val="002558AC"/>
    <w:rsid w:val="00257168"/>
    <w:rsid w:val="00267506"/>
    <w:rsid w:val="002744B8"/>
    <w:rsid w:val="002832AC"/>
    <w:rsid w:val="002D7C93"/>
    <w:rsid w:val="002F0379"/>
    <w:rsid w:val="00305801"/>
    <w:rsid w:val="003916DE"/>
    <w:rsid w:val="003E4358"/>
    <w:rsid w:val="00426917"/>
    <w:rsid w:val="00441C3B"/>
    <w:rsid w:val="00446FE5"/>
    <w:rsid w:val="00452396"/>
    <w:rsid w:val="004837D8"/>
    <w:rsid w:val="004E468C"/>
    <w:rsid w:val="005505B7"/>
    <w:rsid w:val="00573BE5"/>
    <w:rsid w:val="00586ED3"/>
    <w:rsid w:val="00596AA9"/>
    <w:rsid w:val="005D2C87"/>
    <w:rsid w:val="005F3D32"/>
    <w:rsid w:val="006179B3"/>
    <w:rsid w:val="00673FAC"/>
    <w:rsid w:val="0069080A"/>
    <w:rsid w:val="00704ABA"/>
    <w:rsid w:val="0071601D"/>
    <w:rsid w:val="0077102C"/>
    <w:rsid w:val="007A62E6"/>
    <w:rsid w:val="007F20FA"/>
    <w:rsid w:val="0080684C"/>
    <w:rsid w:val="008448E6"/>
    <w:rsid w:val="00854270"/>
    <w:rsid w:val="00871C75"/>
    <w:rsid w:val="008776DC"/>
    <w:rsid w:val="009446C0"/>
    <w:rsid w:val="009705C8"/>
    <w:rsid w:val="009C1CF4"/>
    <w:rsid w:val="009C667A"/>
    <w:rsid w:val="009F6B74"/>
    <w:rsid w:val="00A30353"/>
    <w:rsid w:val="00A67FCC"/>
    <w:rsid w:val="00AC3823"/>
    <w:rsid w:val="00AE323C"/>
    <w:rsid w:val="00AF0CB5"/>
    <w:rsid w:val="00B00181"/>
    <w:rsid w:val="00B00B0D"/>
    <w:rsid w:val="00B17D8D"/>
    <w:rsid w:val="00B46F52"/>
    <w:rsid w:val="00B60041"/>
    <w:rsid w:val="00B765F7"/>
    <w:rsid w:val="00BA0CA9"/>
    <w:rsid w:val="00BA2F4D"/>
    <w:rsid w:val="00C02897"/>
    <w:rsid w:val="00C8444E"/>
    <w:rsid w:val="00C92FF8"/>
    <w:rsid w:val="00C97039"/>
    <w:rsid w:val="00D342A2"/>
    <w:rsid w:val="00D3439C"/>
    <w:rsid w:val="00D635D0"/>
    <w:rsid w:val="00DB1831"/>
    <w:rsid w:val="00DB7857"/>
    <w:rsid w:val="00DD3BFD"/>
    <w:rsid w:val="00DF6678"/>
    <w:rsid w:val="00E0299A"/>
    <w:rsid w:val="00E85C74"/>
    <w:rsid w:val="00EA6547"/>
    <w:rsid w:val="00EF2E22"/>
    <w:rsid w:val="00F25D18"/>
    <w:rsid w:val="00F35BAF"/>
    <w:rsid w:val="00F660DF"/>
    <w:rsid w:val="00F94664"/>
    <w:rsid w:val="00F9573C"/>
    <w:rsid w:val="00F95C08"/>
    <w:rsid w:val="00FB63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97229B-2947-4F80-8428-611A3B66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10699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ECE/TRANS/WP.29/GRE/2018/15</vt:lpstr>
      <vt:lpstr>ECE/TRANS/WP.29/GRE/2018/15</vt:lpstr>
    </vt:vector>
  </TitlesOfParts>
  <Company>DCM</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ECE/TRANS/WP.29/GRE/2018/15</dc:title>
  <dc:subject/>
  <dc:creator>Sylvie LAMY</dc:creator>
  <cp:keywords/>
  <cp:lastModifiedBy>Benedicte Boudol</cp:lastModifiedBy>
  <cp:revision>2</cp:revision>
  <cp:lastPrinted>2018-02-19T10:04:00Z</cp:lastPrinted>
  <dcterms:created xsi:type="dcterms:W3CDTF">2018-02-20T09:11:00Z</dcterms:created>
  <dcterms:modified xsi:type="dcterms:W3CDTF">2018-02-20T09:11:00Z</dcterms:modified>
</cp:coreProperties>
</file>