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4699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46999" w:rsidP="00C46999">
            <w:pPr>
              <w:jc w:val="right"/>
            </w:pPr>
            <w:r w:rsidRPr="00C46999">
              <w:rPr>
                <w:sz w:val="40"/>
              </w:rPr>
              <w:t>ECE</w:t>
            </w:r>
            <w:r>
              <w:t>/TRANS/WP.29/GRE/2018/11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46999" w:rsidP="00C97039">
            <w:pPr>
              <w:spacing w:before="240"/>
            </w:pPr>
            <w:r>
              <w:t>Distr. générale</w:t>
            </w:r>
          </w:p>
          <w:p w:rsidR="00C46999" w:rsidRDefault="00C46999" w:rsidP="00C46999">
            <w:pPr>
              <w:spacing w:line="240" w:lineRule="exact"/>
            </w:pPr>
            <w:r>
              <w:t>6 février 2018</w:t>
            </w:r>
          </w:p>
          <w:p w:rsidR="00C46999" w:rsidRDefault="00C46999" w:rsidP="00C46999">
            <w:pPr>
              <w:spacing w:line="240" w:lineRule="exact"/>
            </w:pPr>
            <w:r>
              <w:t>Français</w:t>
            </w:r>
          </w:p>
          <w:p w:rsidR="00C46999" w:rsidRPr="00DB58B5" w:rsidRDefault="00C44026" w:rsidP="00C46999">
            <w:pPr>
              <w:spacing w:line="240" w:lineRule="exact"/>
            </w:pPr>
            <w:r>
              <w:t>Original</w:t>
            </w:r>
            <w:r w:rsidR="00077647">
              <w:t> :</w:t>
            </w:r>
            <w:r w:rsidR="00C46999"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F68E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C5581" w:rsidRPr="00077647" w:rsidRDefault="001C5581" w:rsidP="00077647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sz w:val="24"/>
          <w:szCs w:val="24"/>
        </w:rPr>
      </w:pPr>
      <w:r w:rsidRPr="00077647">
        <w:rPr>
          <w:rFonts w:eastAsia="Times New Roman"/>
          <w:b/>
          <w:sz w:val="24"/>
          <w:szCs w:val="24"/>
        </w:rPr>
        <w:t>Forum mondial de l</w:t>
      </w:r>
      <w:r w:rsidR="000F68E0">
        <w:rPr>
          <w:rFonts w:eastAsia="Times New Roman"/>
          <w:b/>
          <w:sz w:val="24"/>
          <w:szCs w:val="24"/>
        </w:rPr>
        <w:t>’</w:t>
      </w:r>
      <w:r w:rsidRPr="00077647">
        <w:rPr>
          <w:rFonts w:eastAsia="Times New Roman"/>
          <w:b/>
          <w:sz w:val="24"/>
          <w:szCs w:val="24"/>
        </w:rPr>
        <w:t xml:space="preserve">harmonisation </w:t>
      </w:r>
      <w:r w:rsidR="00077647">
        <w:rPr>
          <w:rFonts w:eastAsia="Times New Roman"/>
          <w:b/>
          <w:sz w:val="24"/>
          <w:szCs w:val="24"/>
        </w:rPr>
        <w:br/>
      </w:r>
      <w:r w:rsidRPr="00077647">
        <w:rPr>
          <w:rFonts w:eastAsia="Times New Roman"/>
          <w:b/>
          <w:sz w:val="24"/>
          <w:szCs w:val="24"/>
        </w:rPr>
        <w:t>des Règlements concernant les véhicules</w:t>
      </w:r>
    </w:p>
    <w:p w:rsidR="001C5581" w:rsidRPr="00AE4912" w:rsidRDefault="001C5581" w:rsidP="00077647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bCs/>
        </w:rPr>
      </w:pPr>
      <w:r w:rsidRPr="00AE4912">
        <w:rPr>
          <w:rFonts w:eastAsia="Times New Roman"/>
          <w:b/>
          <w:bCs/>
        </w:rPr>
        <w:t>Groupe de travail de l</w:t>
      </w:r>
      <w:r w:rsidR="000F68E0">
        <w:rPr>
          <w:rFonts w:eastAsia="Times New Roman"/>
          <w:b/>
          <w:bCs/>
        </w:rPr>
        <w:t>’</w:t>
      </w:r>
      <w:r w:rsidRPr="00AE4912">
        <w:rPr>
          <w:rFonts w:eastAsia="Times New Roman"/>
          <w:b/>
          <w:bCs/>
        </w:rPr>
        <w:t>éclairage et de la signalisation lumineuse</w:t>
      </w:r>
    </w:p>
    <w:p w:rsidR="001C5581" w:rsidRPr="00AE4912" w:rsidRDefault="001C5581" w:rsidP="00077647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</w:rPr>
      </w:pPr>
      <w:r w:rsidRPr="00AE4912">
        <w:rPr>
          <w:rFonts w:eastAsia="Times New Roman"/>
          <w:b/>
        </w:rPr>
        <w:t>Soixante-dix-huitième session</w:t>
      </w:r>
    </w:p>
    <w:p w:rsidR="001C5581" w:rsidRPr="00AE4912" w:rsidRDefault="001C5581" w:rsidP="001C5581">
      <w:pPr>
        <w:kinsoku/>
        <w:overflowPunct/>
        <w:autoSpaceDE/>
        <w:autoSpaceDN/>
        <w:adjustRightInd/>
        <w:snapToGrid/>
        <w:rPr>
          <w:rFonts w:eastAsia="Times New Roman"/>
          <w:bCs/>
        </w:rPr>
      </w:pPr>
      <w:r w:rsidRPr="00AE4912">
        <w:rPr>
          <w:rFonts w:eastAsia="Times New Roman"/>
        </w:rPr>
        <w:t>Genève</w:t>
      </w:r>
      <w:r w:rsidRPr="00AE4912">
        <w:rPr>
          <w:rFonts w:eastAsia="Times New Roman"/>
          <w:bCs/>
        </w:rPr>
        <w:t>, 24-27 octobre 2017</w:t>
      </w:r>
    </w:p>
    <w:p w:rsidR="001C5581" w:rsidRPr="00AE4912" w:rsidRDefault="001C5581" w:rsidP="001C5581">
      <w:pPr>
        <w:kinsoku/>
        <w:overflowPunct/>
        <w:autoSpaceDE/>
        <w:autoSpaceDN/>
        <w:adjustRightInd/>
        <w:snapToGrid/>
        <w:ind w:right="1134"/>
        <w:rPr>
          <w:rFonts w:eastAsia="Times New Roman"/>
          <w:bCs/>
        </w:rPr>
      </w:pPr>
      <w:r w:rsidRPr="00AE4912">
        <w:rPr>
          <w:rFonts w:eastAsia="Times New Roman"/>
          <w:bCs/>
        </w:rPr>
        <w:t>Point 4 de l</w:t>
      </w:r>
      <w:r w:rsidR="000F68E0">
        <w:rPr>
          <w:rFonts w:eastAsia="Times New Roman"/>
          <w:bCs/>
        </w:rPr>
        <w:t>’</w:t>
      </w:r>
      <w:r w:rsidRPr="00AE4912">
        <w:rPr>
          <w:rFonts w:eastAsia="Times New Roman"/>
          <w:bCs/>
        </w:rPr>
        <w:t>ordre du jour provisoire</w:t>
      </w:r>
    </w:p>
    <w:p w:rsidR="001C5581" w:rsidRPr="00AE4912" w:rsidRDefault="001C5581" w:rsidP="001C5581">
      <w:pPr>
        <w:kinsoku/>
        <w:overflowPunct/>
        <w:autoSpaceDE/>
        <w:autoSpaceDN/>
        <w:adjustRightInd/>
        <w:snapToGrid/>
        <w:ind w:right="1134"/>
        <w:rPr>
          <w:rFonts w:eastAsia="Times New Roman"/>
          <w:bCs/>
        </w:rPr>
      </w:pPr>
      <w:r w:rsidRPr="00AE4912">
        <w:rPr>
          <w:rFonts w:eastAsia="Times New Roman"/>
          <w:b/>
          <w:bCs/>
        </w:rPr>
        <w:t xml:space="preserve">Simplification des Règlements concernant </w:t>
      </w:r>
      <w:r w:rsidR="00077647">
        <w:rPr>
          <w:rFonts w:eastAsia="Times New Roman"/>
          <w:b/>
          <w:bCs/>
        </w:rPr>
        <w:br/>
      </w:r>
      <w:r w:rsidRPr="00AE4912">
        <w:rPr>
          <w:rFonts w:eastAsia="Times New Roman"/>
          <w:b/>
          <w:bCs/>
        </w:rPr>
        <w:t>l</w:t>
      </w:r>
      <w:r w:rsidR="000F68E0">
        <w:rPr>
          <w:rFonts w:eastAsia="Times New Roman"/>
          <w:b/>
          <w:bCs/>
        </w:rPr>
        <w:t>’</w:t>
      </w:r>
      <w:r w:rsidRPr="00AE4912">
        <w:rPr>
          <w:rFonts w:eastAsia="Times New Roman"/>
          <w:b/>
          <w:bCs/>
        </w:rPr>
        <w:t>éclairage et la signalisation lumineuse</w:t>
      </w:r>
    </w:p>
    <w:p w:rsidR="001C5581" w:rsidRPr="00AE4912" w:rsidRDefault="001C5581" w:rsidP="001C5581">
      <w:pPr>
        <w:pStyle w:val="HChG"/>
      </w:pPr>
      <w:r w:rsidRPr="00AE4912">
        <w:tab/>
      </w:r>
      <w:r w:rsidRPr="00AE4912">
        <w:tab/>
        <w:t>Amendements collectifs aux Règlements n</w:t>
      </w:r>
      <w:r w:rsidRPr="00FC2024">
        <w:rPr>
          <w:vertAlign w:val="superscript"/>
        </w:rPr>
        <w:t>os</w:t>
      </w:r>
      <w:r w:rsidRPr="00AE4912">
        <w:t> 3, 4, 6, 7, 19, 23, 27, 38, 50, 69, 70, 77, 87, 91, 98, 104, 112, 113, 119 et 123</w:t>
      </w:r>
    </w:p>
    <w:p w:rsidR="001C5581" w:rsidRPr="00AE4912" w:rsidRDefault="001C5581" w:rsidP="00FC2024">
      <w:pPr>
        <w:pStyle w:val="H1G"/>
        <w:rPr>
          <w:szCs w:val="24"/>
        </w:rPr>
      </w:pPr>
      <w:r w:rsidRPr="00AE4912">
        <w:tab/>
      </w:r>
      <w:r w:rsidRPr="00AE4912">
        <w:tab/>
        <w:t>Communication du groupe de travail in</w:t>
      </w:r>
      <w:r w:rsidR="00FC2024">
        <w:t>formel de la simplification des </w:t>
      </w:r>
      <w:r w:rsidRPr="00AE4912">
        <w:t>Règlements relatifs à l</w:t>
      </w:r>
      <w:r w:rsidR="000F68E0">
        <w:t>’</w:t>
      </w:r>
      <w:r w:rsidRPr="00AE4912">
        <w:t>éclairage et à la signalisation lumineuse</w:t>
      </w:r>
      <w:r w:rsidRPr="00FC2024">
        <w:rPr>
          <w:b w:val="0"/>
          <w:sz w:val="20"/>
        </w:rPr>
        <w:footnoteReference w:customMarkFollows="1" w:id="2"/>
        <w:t>*</w:t>
      </w:r>
    </w:p>
    <w:p w:rsidR="00F9573C" w:rsidRDefault="001C5581" w:rsidP="00FC2024">
      <w:pPr>
        <w:pStyle w:val="SingleTxtG"/>
        <w:ind w:firstLine="567"/>
      </w:pPr>
      <w:r w:rsidRPr="00AE4912">
        <w:t>Le texte reproduit ci-après a été établi par le groupe de travail informel de la simplification des Règlements relatifs à l</w:t>
      </w:r>
      <w:r w:rsidR="000F68E0">
        <w:t>’</w:t>
      </w:r>
      <w:r w:rsidRPr="00AE4912">
        <w:t>éclairage et à la signalisation lumineuse dans le but d</w:t>
      </w:r>
      <w:r w:rsidR="000F68E0">
        <w:t>’</w:t>
      </w:r>
      <w:r w:rsidRPr="00AE4912">
        <w:t>introduire des dispositions transitoires dans les Règlements existants concernant les dispositifs de signalisation lumineuse (LSD), les dispositifs d</w:t>
      </w:r>
      <w:r w:rsidR="000F68E0">
        <w:t>’</w:t>
      </w:r>
      <w:r w:rsidRPr="00AE4912">
        <w:t>éclairage de la route (RID) et les dispositifs rétroréfléchissants (RRD). Les parties qui figurent entre crochets signifient que le texte concerné doit être examiné et faire l</w:t>
      </w:r>
      <w:r w:rsidR="000F68E0">
        <w:t>’</w:t>
      </w:r>
      <w:r w:rsidRPr="00AE4912">
        <w:t>objet d</w:t>
      </w:r>
      <w:r w:rsidR="000F68E0">
        <w:t>’</w:t>
      </w:r>
      <w:r w:rsidRPr="00AE4912">
        <w:t>une décision.</w:t>
      </w:r>
    </w:p>
    <w:p w:rsidR="001C5581" w:rsidRPr="00AE4912" w:rsidRDefault="001C5581" w:rsidP="00C81CD6">
      <w:pPr>
        <w:pStyle w:val="HChG"/>
      </w:pPr>
      <w:r>
        <w:br w:type="page"/>
      </w:r>
      <w:r w:rsidRPr="00AE4912">
        <w:lastRenderedPageBreak/>
        <w:tab/>
        <w:t>I.</w:t>
      </w:r>
      <w:r w:rsidRPr="00AE4912">
        <w:tab/>
        <w:t>Proposition</w:t>
      </w:r>
    </w:p>
    <w:p w:rsidR="001C5581" w:rsidRPr="00AE4912" w:rsidRDefault="001C5581" w:rsidP="00C81CD6">
      <w:pPr>
        <w:pStyle w:val="H1G"/>
      </w:pPr>
      <w:r w:rsidRPr="00AE4912">
        <w:tab/>
        <w:t>A.</w:t>
      </w:r>
      <w:r w:rsidRPr="00AE4912">
        <w:tab/>
        <w:t>Proposition de série 03 d</w:t>
      </w:r>
      <w:r w:rsidR="000F68E0">
        <w:t>’</w:t>
      </w:r>
      <w:r w:rsidRPr="00AE4912">
        <w:t>amendements au Règlement n</w:t>
      </w:r>
      <w:r w:rsidRPr="00AE4912">
        <w:rPr>
          <w:vertAlign w:val="superscript"/>
        </w:rPr>
        <w:t>o</w:t>
      </w:r>
      <w:r w:rsidRPr="00AE4912">
        <w:t> 3</w:t>
      </w:r>
      <w:r w:rsidRPr="00C81CD6">
        <w:rPr>
          <w:rStyle w:val="FootnoteReference"/>
          <w:b w:val="0"/>
        </w:rPr>
        <w:footnoteReference w:id="3"/>
      </w:r>
    </w:p>
    <w:p w:rsidR="001C5581" w:rsidRPr="00AE4912" w:rsidRDefault="001C5581" w:rsidP="003A00CC">
      <w:pPr>
        <w:pStyle w:val="SingleTxtG"/>
        <w:keepNext/>
      </w:pPr>
      <w:r w:rsidRPr="00C81CD6">
        <w:rPr>
          <w:i/>
        </w:rPr>
        <w:t>Paragraphe 12</w:t>
      </w:r>
      <w:r w:rsidRPr="00AE4912">
        <w:t>, lire</w:t>
      </w:r>
      <w:r w:rsidR="00077647">
        <w:t> :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« 12.</w:t>
      </w:r>
      <w:r w:rsidRPr="00AE4912">
        <w:tab/>
        <w:t>Dispositions transitoires</w:t>
      </w:r>
    </w:p>
    <w:p w:rsidR="001C5581" w:rsidRPr="00EE4DBE" w:rsidRDefault="001C5581" w:rsidP="00C81CD6">
      <w:pPr>
        <w:pStyle w:val="SingleTxtG"/>
        <w:ind w:left="2268" w:hanging="1134"/>
        <w:rPr>
          <w:spacing w:val="-2"/>
        </w:rPr>
      </w:pPr>
      <w:r w:rsidRPr="00AE4912">
        <w:t>12.1</w:t>
      </w:r>
      <w:r w:rsidRPr="00AE4912">
        <w:tab/>
      </w:r>
      <w:r w:rsidRPr="00EE4DBE">
        <w:rPr>
          <w:spacing w:val="-2"/>
        </w:rPr>
        <w:t>À compter de [24] mois après la date officielle d</w:t>
      </w:r>
      <w:r w:rsidR="000F68E0">
        <w:rPr>
          <w:spacing w:val="-2"/>
        </w:rPr>
        <w:t>’</w:t>
      </w:r>
      <w:r w:rsidRPr="00EE4DBE">
        <w:rPr>
          <w:spacing w:val="-2"/>
        </w:rPr>
        <w:t>entrée en vigueur du Règlement n</w:t>
      </w:r>
      <w:r w:rsidRPr="00EE4DBE">
        <w:rPr>
          <w:spacing w:val="-2"/>
          <w:vertAlign w:val="superscript"/>
        </w:rPr>
        <w:t>o</w:t>
      </w:r>
      <w:r w:rsidRPr="00EE4DBE">
        <w:rPr>
          <w:spacing w:val="-2"/>
        </w:rPr>
        <w:t> [RRD], les Parties contractantes appliquant le présent Règlement doivent cesser d</w:t>
      </w:r>
      <w:r w:rsidR="000F68E0">
        <w:rPr>
          <w:spacing w:val="-2"/>
        </w:rPr>
        <w:t>’</w:t>
      </w:r>
      <w:r w:rsidRPr="00EE4DBE">
        <w:rPr>
          <w:spacing w:val="-2"/>
        </w:rPr>
        <w:t>accorder des homologations en application dudit Règlement.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12.2</w:t>
      </w:r>
      <w:r w:rsidRPr="00AE4912">
        <w:tab/>
        <w:t>Les Parties contractantes appliquant le présent Règlement ne doivent pas refuser d</w:t>
      </w:r>
      <w:r w:rsidR="000F68E0">
        <w:t>’</w:t>
      </w:r>
      <w:r w:rsidRPr="00AE4912">
        <w:t>accorder des extensions d</w:t>
      </w:r>
      <w:r w:rsidR="000F68E0">
        <w:t>’</w:t>
      </w:r>
      <w:r w:rsidRPr="00AE4912">
        <w:t>homologations délivrées en application de la présente série d</w:t>
      </w:r>
      <w:r w:rsidR="000F68E0">
        <w:t>’</w:t>
      </w:r>
      <w:r w:rsidRPr="00AE4912">
        <w:t>amendements audit Règlement ou de toute série d</w:t>
      </w:r>
      <w:r w:rsidR="000F68E0">
        <w:t>’</w:t>
      </w:r>
      <w:r w:rsidRPr="00AE4912">
        <w:t>amendements antérieure.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12.3</w:t>
      </w:r>
      <w:r w:rsidRPr="00AE4912">
        <w:tab/>
        <w:t>Les homologations et les extensions d</w:t>
      </w:r>
      <w:r w:rsidR="000F68E0">
        <w:t>’</w:t>
      </w:r>
      <w:r w:rsidRPr="00AE4912">
        <w:t>homologations accordées en vertu du présent Règlement, y compris en application d</w:t>
      </w:r>
      <w:r w:rsidR="000F68E0">
        <w:t>’</w:t>
      </w:r>
      <w:r w:rsidRPr="00AE4912">
        <w:t>une série d</w:t>
      </w:r>
      <w:r w:rsidR="000F68E0">
        <w:t>’</w:t>
      </w:r>
      <w:r w:rsidRPr="00AE4912">
        <w:t>amendements antérieure, restent valables indéfiniment.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12.4</w:t>
      </w:r>
      <w:r w:rsidRPr="00AE4912">
        <w:tab/>
        <w:t>Les Parties contractantes appliquant le présent Règlement doivent continuer à homologuer des dispositifs conformément à la présente série d</w:t>
      </w:r>
      <w:r w:rsidR="000F68E0">
        <w:t>’</w:t>
      </w:r>
      <w:r w:rsidRPr="00AE4912">
        <w:t>amendements audit Règlement et à toute série d</w:t>
      </w:r>
      <w:r w:rsidR="000F68E0">
        <w:t>’</w:t>
      </w:r>
      <w:r w:rsidRPr="00AE4912">
        <w:t>amendements antérieure, à condition que ces dispositifs soient destinés à servir de pièces de rechange sur des véhicules en service.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12.5</w:t>
      </w:r>
      <w:r w:rsidRPr="00AE4912">
        <w:tab/>
        <w:t>Les Parties contractantes appliquant le présent Règlement doivent continuer à autoriser le montage ou l</w:t>
      </w:r>
      <w:r w:rsidR="000F68E0">
        <w:t>’</w:t>
      </w:r>
      <w:r w:rsidRPr="00AE4912">
        <w:t>utilisation sur un véhicule en service d</w:t>
      </w:r>
      <w:r w:rsidR="000F68E0">
        <w:t>’</w:t>
      </w:r>
      <w:r w:rsidRPr="00AE4912">
        <w:t>un dispositif homologué en vertu de ce Règlement tel que modifié par toute série d</w:t>
      </w:r>
      <w:r w:rsidR="000F68E0">
        <w:t>’</w:t>
      </w:r>
      <w:r w:rsidRPr="00AE4912">
        <w:t>amendements antérieure, à condition que ce dispositif soit destiné à servir de pièce de rechange. ».</w:t>
      </w:r>
    </w:p>
    <w:p w:rsidR="001C5581" w:rsidRPr="00AE4912" w:rsidRDefault="001C5581" w:rsidP="003A00CC">
      <w:pPr>
        <w:pStyle w:val="H1G"/>
      </w:pPr>
      <w:r w:rsidRPr="00AE4912">
        <w:tab/>
        <w:t>B.</w:t>
      </w:r>
      <w:r w:rsidRPr="00AE4912">
        <w:tab/>
        <w:t>Proposition de série 01 d</w:t>
      </w:r>
      <w:r w:rsidR="000F68E0">
        <w:t>’</w:t>
      </w:r>
      <w:r w:rsidRPr="00AE4912">
        <w:t>amendements au Règlement n</w:t>
      </w:r>
      <w:r w:rsidRPr="00AE4912">
        <w:rPr>
          <w:vertAlign w:val="superscript"/>
        </w:rPr>
        <w:t>o</w:t>
      </w:r>
      <w:r w:rsidRPr="00AE4912">
        <w:t> 4</w:t>
      </w:r>
      <w:r w:rsidRPr="00A17FD2">
        <w:rPr>
          <w:rStyle w:val="FootnoteReference"/>
          <w:b w:val="0"/>
        </w:rPr>
        <w:footnoteReference w:id="4"/>
      </w:r>
    </w:p>
    <w:p w:rsidR="001C5581" w:rsidRPr="00AE4912" w:rsidRDefault="001C5581" w:rsidP="003A00CC">
      <w:pPr>
        <w:pStyle w:val="SingleTxtG"/>
        <w:keepNext/>
      </w:pPr>
      <w:r w:rsidRPr="00AE4912">
        <w:rPr>
          <w:i/>
          <w:iCs/>
        </w:rPr>
        <w:t>Paragraphe 13</w:t>
      </w:r>
      <w:r w:rsidRPr="00AE4912">
        <w:t>, lire</w:t>
      </w:r>
      <w:r w:rsidR="00077647">
        <w:t> :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« 13.</w:t>
      </w:r>
      <w:r w:rsidRPr="00AE4912">
        <w:tab/>
        <w:t>Dispositions transitoires</w:t>
      </w:r>
    </w:p>
    <w:p w:rsidR="001C5581" w:rsidRPr="00EE4DBE" w:rsidRDefault="001C5581" w:rsidP="00C81CD6">
      <w:pPr>
        <w:pStyle w:val="SingleTxtG"/>
        <w:ind w:left="2268" w:hanging="1134"/>
        <w:rPr>
          <w:spacing w:val="-2"/>
        </w:rPr>
      </w:pPr>
      <w:r w:rsidRPr="00AE4912">
        <w:t>13.1</w:t>
      </w:r>
      <w:r w:rsidRPr="00AE4912">
        <w:tab/>
      </w:r>
      <w:r w:rsidRPr="00EE4DBE">
        <w:rPr>
          <w:spacing w:val="-2"/>
        </w:rPr>
        <w:t>À compter de [24] mois après la date officielle d</w:t>
      </w:r>
      <w:r w:rsidR="000F68E0">
        <w:rPr>
          <w:spacing w:val="-2"/>
        </w:rPr>
        <w:t>’</w:t>
      </w:r>
      <w:r w:rsidRPr="00EE4DBE">
        <w:rPr>
          <w:spacing w:val="-2"/>
        </w:rPr>
        <w:t>entrée en vigueur du Règlement n</w:t>
      </w:r>
      <w:r w:rsidRPr="00EE4DBE">
        <w:rPr>
          <w:spacing w:val="-2"/>
          <w:vertAlign w:val="superscript"/>
        </w:rPr>
        <w:t>o</w:t>
      </w:r>
      <w:r w:rsidRPr="00EE4DBE">
        <w:rPr>
          <w:spacing w:val="-2"/>
        </w:rPr>
        <w:t> [LSD], les Parties contractantes appliquant le présent Règlement doivent cesser d</w:t>
      </w:r>
      <w:r w:rsidR="000F68E0">
        <w:rPr>
          <w:spacing w:val="-2"/>
        </w:rPr>
        <w:t>’</w:t>
      </w:r>
      <w:r w:rsidRPr="00EE4DBE">
        <w:rPr>
          <w:spacing w:val="-2"/>
        </w:rPr>
        <w:t>accorder des homologations en application dudit Règlement.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13.2</w:t>
      </w:r>
      <w:r w:rsidRPr="00AE4912">
        <w:tab/>
        <w:t>Les Parties contractantes appliquant le présent Règlement ne doivent pas refuser d</w:t>
      </w:r>
      <w:r w:rsidR="000F68E0">
        <w:t>’</w:t>
      </w:r>
      <w:r w:rsidRPr="00AE4912">
        <w:t>accorder des extensions d</w:t>
      </w:r>
      <w:r w:rsidR="000F68E0">
        <w:t>’</w:t>
      </w:r>
      <w:r w:rsidRPr="00AE4912">
        <w:t>homologations délivrées en application de la présente série d</w:t>
      </w:r>
      <w:r w:rsidR="000F68E0">
        <w:t>’</w:t>
      </w:r>
      <w:r w:rsidRPr="00AE4912">
        <w:t>amendements audit Règlement ou de toute série d</w:t>
      </w:r>
      <w:r w:rsidR="000F68E0">
        <w:t>’</w:t>
      </w:r>
      <w:r w:rsidRPr="00AE4912">
        <w:t>amendements antérieure.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13.3</w:t>
      </w:r>
      <w:r w:rsidRPr="00AE4912">
        <w:tab/>
        <w:t>Les homologations et les extensions d</w:t>
      </w:r>
      <w:r w:rsidR="000F68E0">
        <w:t>’</w:t>
      </w:r>
      <w:r w:rsidRPr="00AE4912">
        <w:t>homologations accordées en vertu du présent Règlement, y</w:t>
      </w:r>
      <w:r w:rsidR="00A17FD2">
        <w:t xml:space="preserve"> </w:t>
      </w:r>
      <w:r w:rsidRPr="00AE4912">
        <w:t>compris en application d</w:t>
      </w:r>
      <w:r w:rsidR="000F68E0">
        <w:t>’</w:t>
      </w:r>
      <w:r w:rsidRPr="00AE4912">
        <w:t>une série d</w:t>
      </w:r>
      <w:r w:rsidR="000F68E0">
        <w:t>’</w:t>
      </w:r>
      <w:r w:rsidRPr="00AE4912">
        <w:t>amendements antérieure, restent valables indéfiniment.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13.4</w:t>
      </w:r>
      <w:r w:rsidRPr="00AE4912">
        <w:tab/>
        <w:t>Les Parties contractantes appliquant le présent Règlement doivent continuer à homologuer des dispositifs conformément à la présente série d</w:t>
      </w:r>
      <w:r w:rsidR="000F68E0">
        <w:t>’</w:t>
      </w:r>
      <w:r w:rsidRPr="00AE4912">
        <w:t>amendements audit Règlement et à toute série d</w:t>
      </w:r>
      <w:r w:rsidR="000F68E0">
        <w:t>’</w:t>
      </w:r>
      <w:r w:rsidRPr="00AE4912">
        <w:t>amendements antérieure, à condition que ces dispositifs soient destinés à servir de pièces de rechange sur des véhicules en service.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lastRenderedPageBreak/>
        <w:t>13.5</w:t>
      </w:r>
      <w:r w:rsidRPr="00AE4912">
        <w:tab/>
        <w:t>Les Parties contractantes appliquant le présent Règlement doivent continuer à autoriser le montage ou l</w:t>
      </w:r>
      <w:r w:rsidR="000F68E0">
        <w:t>’</w:t>
      </w:r>
      <w:r w:rsidRPr="00AE4912">
        <w:t>utilisation sur un véhicule en service d</w:t>
      </w:r>
      <w:r w:rsidR="000F68E0">
        <w:t>’</w:t>
      </w:r>
      <w:r w:rsidRPr="00AE4912">
        <w:t>un dispositif homologué en vertu de ce Règlement tel que modifié par toute série d</w:t>
      </w:r>
      <w:r w:rsidR="000F68E0">
        <w:t>’</w:t>
      </w:r>
      <w:r w:rsidRPr="00AE4912">
        <w:t>amendements antérieure, à condition que ce dispositif soit destiné à servir de pièce de rechange. ».</w:t>
      </w:r>
    </w:p>
    <w:p w:rsidR="001C5581" w:rsidRPr="00AE4912" w:rsidRDefault="001C5581" w:rsidP="003A00CC">
      <w:pPr>
        <w:pStyle w:val="H1G"/>
      </w:pPr>
      <w:r w:rsidRPr="00AE4912">
        <w:tab/>
        <w:t>C.</w:t>
      </w:r>
      <w:r w:rsidRPr="00AE4912">
        <w:tab/>
        <w:t>Proposition de série 02 d</w:t>
      </w:r>
      <w:r w:rsidR="000F68E0">
        <w:t>’</w:t>
      </w:r>
      <w:r w:rsidRPr="00AE4912">
        <w:t>amendements au Règlement n</w:t>
      </w:r>
      <w:r w:rsidRPr="00AE4912">
        <w:rPr>
          <w:vertAlign w:val="superscript"/>
        </w:rPr>
        <w:t>o</w:t>
      </w:r>
      <w:r w:rsidRPr="00AE4912">
        <w:t> 6</w:t>
      </w:r>
      <w:r w:rsidRPr="00A17FD2">
        <w:rPr>
          <w:rStyle w:val="FootnoteReference"/>
          <w:b w:val="0"/>
        </w:rPr>
        <w:footnoteReference w:id="5"/>
      </w:r>
    </w:p>
    <w:p w:rsidR="001C5581" w:rsidRPr="00AE4912" w:rsidRDefault="001C5581" w:rsidP="003A00CC">
      <w:pPr>
        <w:pStyle w:val="SingleTxtG"/>
        <w:keepNext/>
        <w:rPr>
          <w:i/>
          <w:iCs/>
        </w:rPr>
      </w:pPr>
      <w:r w:rsidRPr="00AE4912">
        <w:rPr>
          <w:i/>
          <w:iCs/>
        </w:rPr>
        <w:t>Paragraphe 14</w:t>
      </w:r>
      <w:r w:rsidRPr="00AE4912">
        <w:t>, lire</w:t>
      </w:r>
      <w:r w:rsidR="00077647">
        <w:t> :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« 14.</w:t>
      </w:r>
      <w:r w:rsidRPr="00AE4912">
        <w:tab/>
        <w:t>Dispositions transitoires</w:t>
      </w:r>
    </w:p>
    <w:p w:rsidR="001C5581" w:rsidRPr="00EE4DBE" w:rsidRDefault="001C5581" w:rsidP="00C81CD6">
      <w:pPr>
        <w:pStyle w:val="SingleTxtG"/>
        <w:ind w:left="2268" w:hanging="1134"/>
        <w:rPr>
          <w:spacing w:val="-2"/>
        </w:rPr>
      </w:pPr>
      <w:r w:rsidRPr="00AE4912">
        <w:t>14.1</w:t>
      </w:r>
      <w:r w:rsidRPr="00AE4912">
        <w:tab/>
      </w:r>
      <w:r w:rsidRPr="00EE4DBE">
        <w:rPr>
          <w:spacing w:val="-2"/>
        </w:rPr>
        <w:t>À compter de [24] mois après la date officielle d</w:t>
      </w:r>
      <w:r w:rsidR="000F68E0">
        <w:rPr>
          <w:spacing w:val="-2"/>
        </w:rPr>
        <w:t>’</w:t>
      </w:r>
      <w:r w:rsidRPr="00EE4DBE">
        <w:rPr>
          <w:spacing w:val="-2"/>
        </w:rPr>
        <w:t>entrée en vigueur du Règlement n</w:t>
      </w:r>
      <w:r w:rsidRPr="00EE4DBE">
        <w:rPr>
          <w:spacing w:val="-2"/>
          <w:vertAlign w:val="superscript"/>
        </w:rPr>
        <w:t>o</w:t>
      </w:r>
      <w:r w:rsidRPr="00EE4DBE">
        <w:rPr>
          <w:spacing w:val="-2"/>
        </w:rPr>
        <w:t> [LSD], les Parties contractantes appliquant le présent Règlement doivent cesser d</w:t>
      </w:r>
      <w:r w:rsidR="000F68E0">
        <w:rPr>
          <w:spacing w:val="-2"/>
        </w:rPr>
        <w:t>’</w:t>
      </w:r>
      <w:r w:rsidRPr="00EE4DBE">
        <w:rPr>
          <w:spacing w:val="-2"/>
        </w:rPr>
        <w:t>accorder des homologations en application dudit Règlement.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14.2</w:t>
      </w:r>
      <w:r w:rsidRPr="00AE4912">
        <w:tab/>
        <w:t>Les Parties contractantes appliquant le présent Règlement ne doivent pas refuser d</w:t>
      </w:r>
      <w:r w:rsidR="000F68E0">
        <w:t>’</w:t>
      </w:r>
      <w:r w:rsidRPr="00AE4912">
        <w:t>accorder des extensions d</w:t>
      </w:r>
      <w:r w:rsidR="000F68E0">
        <w:t>’</w:t>
      </w:r>
      <w:r w:rsidRPr="00AE4912">
        <w:t>homologations délivrées en application de la présente série d</w:t>
      </w:r>
      <w:r w:rsidR="000F68E0">
        <w:t>’</w:t>
      </w:r>
      <w:r w:rsidRPr="00AE4912">
        <w:t>amendements audit Règlement ou de toute série d</w:t>
      </w:r>
      <w:r w:rsidR="000F68E0">
        <w:t>’</w:t>
      </w:r>
      <w:r w:rsidRPr="00AE4912">
        <w:t>amendements antérieure.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14.3</w:t>
      </w:r>
      <w:r w:rsidRPr="00AE4912">
        <w:tab/>
        <w:t>Les homologations et les extensions d</w:t>
      </w:r>
      <w:r w:rsidR="000F68E0">
        <w:t>’</w:t>
      </w:r>
      <w:r w:rsidRPr="00AE4912">
        <w:t>homologations accordées en vertu du présent Règlement, y compris en application d</w:t>
      </w:r>
      <w:r w:rsidR="000F68E0">
        <w:t>’</w:t>
      </w:r>
      <w:r w:rsidRPr="00AE4912">
        <w:t>une série d</w:t>
      </w:r>
      <w:r w:rsidR="000F68E0">
        <w:t>’</w:t>
      </w:r>
      <w:r w:rsidRPr="00AE4912">
        <w:t>amendements antérieure, restent valables indéfiniment.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14.4</w:t>
      </w:r>
      <w:r w:rsidRPr="00AE4912">
        <w:tab/>
        <w:t>Les Parties contractantes appliquant le présent Règlement doivent continuer à homologuer des dispositifs conformément à la présente série d</w:t>
      </w:r>
      <w:r w:rsidR="000F68E0">
        <w:t>’</w:t>
      </w:r>
      <w:r w:rsidRPr="00AE4912">
        <w:t>amendements audit Règlement et à toute série d</w:t>
      </w:r>
      <w:r w:rsidR="000F68E0">
        <w:t>’</w:t>
      </w:r>
      <w:r w:rsidRPr="00AE4912">
        <w:t>amendements antérieure, à condition que ces dispositifs soient destinés à servir de pièces de rechange sur des véhicules en service.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14.5</w:t>
      </w:r>
      <w:r w:rsidRPr="00AE4912">
        <w:tab/>
        <w:t>Les Parties contractantes appliquant le présent Règlement doivent continuer à autoriser le montage ou l</w:t>
      </w:r>
      <w:r w:rsidR="000F68E0">
        <w:t>’</w:t>
      </w:r>
      <w:r w:rsidRPr="00AE4912">
        <w:t>utilisation sur un véhicule en service d</w:t>
      </w:r>
      <w:r w:rsidR="000F68E0">
        <w:t>’</w:t>
      </w:r>
      <w:r w:rsidRPr="00AE4912">
        <w:t>un dispositif homologué en vertu de ce Règlement tel que modifié par toute série d</w:t>
      </w:r>
      <w:r w:rsidR="000F68E0">
        <w:t>’</w:t>
      </w:r>
      <w:r w:rsidRPr="00AE4912">
        <w:t>amendements antérieure, à condition que ce dispositif soit destiné à servir de pièce de rechange. ».</w:t>
      </w:r>
    </w:p>
    <w:p w:rsidR="001C5581" w:rsidRPr="00AE4912" w:rsidRDefault="001C5581" w:rsidP="003A00CC">
      <w:pPr>
        <w:pStyle w:val="H1G"/>
      </w:pPr>
      <w:r w:rsidRPr="00AE4912">
        <w:tab/>
        <w:t>D.</w:t>
      </w:r>
      <w:r w:rsidRPr="00AE4912">
        <w:tab/>
        <w:t>Proposition de série 03 d</w:t>
      </w:r>
      <w:r w:rsidR="000F68E0">
        <w:t>’</w:t>
      </w:r>
      <w:r w:rsidRPr="00AE4912">
        <w:t>amendements au Règlement n</w:t>
      </w:r>
      <w:r w:rsidRPr="00AE4912">
        <w:rPr>
          <w:vertAlign w:val="superscript"/>
        </w:rPr>
        <w:t>o</w:t>
      </w:r>
      <w:r w:rsidRPr="00AE4912">
        <w:t> 7</w:t>
      </w:r>
      <w:r w:rsidRPr="00A17FD2">
        <w:rPr>
          <w:rStyle w:val="FootnoteReference"/>
          <w:b w:val="0"/>
        </w:rPr>
        <w:footnoteReference w:id="6"/>
      </w:r>
    </w:p>
    <w:p w:rsidR="001C5581" w:rsidRPr="00AE4912" w:rsidRDefault="001C5581" w:rsidP="003A00CC">
      <w:pPr>
        <w:pStyle w:val="SingleTxtG"/>
        <w:keepNext/>
        <w:rPr>
          <w:i/>
          <w:iCs/>
        </w:rPr>
      </w:pPr>
      <w:r w:rsidRPr="00AE4912">
        <w:rPr>
          <w:i/>
          <w:iCs/>
        </w:rPr>
        <w:t>Paragraphe 14</w:t>
      </w:r>
      <w:r w:rsidRPr="00AE4912">
        <w:t>, lire</w:t>
      </w:r>
      <w:r w:rsidR="00077647">
        <w:t> :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« 14.</w:t>
      </w:r>
      <w:r w:rsidRPr="00AE4912">
        <w:tab/>
        <w:t>Dispositions transitoires</w:t>
      </w:r>
    </w:p>
    <w:p w:rsidR="001C5581" w:rsidRPr="00EE4DBE" w:rsidRDefault="001C5581" w:rsidP="00C81CD6">
      <w:pPr>
        <w:pStyle w:val="SingleTxtG"/>
        <w:ind w:left="2268" w:hanging="1134"/>
        <w:rPr>
          <w:spacing w:val="-2"/>
        </w:rPr>
      </w:pPr>
      <w:r w:rsidRPr="00AE4912">
        <w:t>14.1</w:t>
      </w:r>
      <w:r w:rsidRPr="00AE4912">
        <w:tab/>
      </w:r>
      <w:r w:rsidRPr="00EE4DBE">
        <w:rPr>
          <w:spacing w:val="-2"/>
        </w:rPr>
        <w:t>À compter de [24] mois après la date officielle d</w:t>
      </w:r>
      <w:r w:rsidR="000F68E0">
        <w:rPr>
          <w:spacing w:val="-2"/>
        </w:rPr>
        <w:t>’</w:t>
      </w:r>
      <w:r w:rsidRPr="00EE4DBE">
        <w:rPr>
          <w:spacing w:val="-2"/>
        </w:rPr>
        <w:t>entrée en vigueur du Règlement n</w:t>
      </w:r>
      <w:r w:rsidRPr="00EE4DBE">
        <w:rPr>
          <w:spacing w:val="-2"/>
          <w:vertAlign w:val="superscript"/>
        </w:rPr>
        <w:t>o</w:t>
      </w:r>
      <w:r w:rsidRPr="00EE4DBE">
        <w:rPr>
          <w:spacing w:val="-2"/>
        </w:rPr>
        <w:t> [LSD], les Parties contractantes appliquant le présent Règlement doivent cesser d</w:t>
      </w:r>
      <w:r w:rsidR="000F68E0">
        <w:rPr>
          <w:spacing w:val="-2"/>
        </w:rPr>
        <w:t>’</w:t>
      </w:r>
      <w:r w:rsidRPr="00EE4DBE">
        <w:rPr>
          <w:spacing w:val="-2"/>
        </w:rPr>
        <w:t>accorder des homologations en application dudit Règlement.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14.2</w:t>
      </w:r>
      <w:r w:rsidRPr="00AE4912">
        <w:tab/>
        <w:t>Les Parties contractantes appliquant le présent Règlement ne doivent pas refuser d</w:t>
      </w:r>
      <w:r w:rsidR="000F68E0">
        <w:t>’</w:t>
      </w:r>
      <w:r w:rsidRPr="00AE4912">
        <w:t>accorder des extensions d</w:t>
      </w:r>
      <w:r w:rsidR="000F68E0">
        <w:t>’</w:t>
      </w:r>
      <w:r w:rsidRPr="00AE4912">
        <w:t>homologations délivrées en application de la présente série d</w:t>
      </w:r>
      <w:r w:rsidR="000F68E0">
        <w:t>’</w:t>
      </w:r>
      <w:r w:rsidRPr="00AE4912">
        <w:t>amendements audit Règlement ou de toute série d</w:t>
      </w:r>
      <w:r w:rsidR="000F68E0">
        <w:t>’</w:t>
      </w:r>
      <w:r w:rsidRPr="00AE4912">
        <w:t>amendements antérieure.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14.3</w:t>
      </w:r>
      <w:r w:rsidRPr="00AE4912">
        <w:tab/>
        <w:t>Les homologations et les extensions d</w:t>
      </w:r>
      <w:r w:rsidR="000F68E0">
        <w:t>’</w:t>
      </w:r>
      <w:r w:rsidRPr="00AE4912">
        <w:t>homologations accordées en vertu du présent Règlement, y compris en application d</w:t>
      </w:r>
      <w:r w:rsidR="000F68E0">
        <w:t>’</w:t>
      </w:r>
      <w:r w:rsidRPr="00AE4912">
        <w:t>une série d</w:t>
      </w:r>
      <w:r w:rsidR="000F68E0">
        <w:t>’</w:t>
      </w:r>
      <w:r w:rsidRPr="00AE4912">
        <w:t>amendements antérieure, restent valables indéfiniment.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14.4</w:t>
      </w:r>
      <w:r w:rsidRPr="00AE4912">
        <w:tab/>
        <w:t>Les Parties contractantes appliquant le présent Règlement doivent continuer à homologuer des dispositifs conformément à la présente série d</w:t>
      </w:r>
      <w:r w:rsidR="000F68E0">
        <w:t>’</w:t>
      </w:r>
      <w:r w:rsidRPr="00AE4912">
        <w:t>amendements audit Règlement et à toute série d</w:t>
      </w:r>
      <w:r w:rsidR="000F68E0">
        <w:t>’</w:t>
      </w:r>
      <w:r w:rsidRPr="00AE4912">
        <w:t xml:space="preserve">amendements antérieure, à condition que </w:t>
      </w:r>
      <w:r w:rsidRPr="00AE4912">
        <w:lastRenderedPageBreak/>
        <w:t>ces dispositifs soient destinés à servir de pièces de rechange sur des véhicules en service.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14.5</w:t>
      </w:r>
      <w:r w:rsidRPr="00AE4912">
        <w:tab/>
        <w:t>Les Parties contractantes appliquant le présent Règlement doivent continuer à autoriser le montage ou l</w:t>
      </w:r>
      <w:r w:rsidR="000F68E0">
        <w:t>’</w:t>
      </w:r>
      <w:r w:rsidRPr="00AE4912">
        <w:t>utilisation sur un véhicule en service d</w:t>
      </w:r>
      <w:r w:rsidR="000F68E0">
        <w:t>’</w:t>
      </w:r>
      <w:r w:rsidRPr="00AE4912">
        <w:t>un dispositif homologué en vertu de ce Règlement tel que modifié par toute série d</w:t>
      </w:r>
      <w:r w:rsidR="000F68E0">
        <w:t>’</w:t>
      </w:r>
      <w:r w:rsidRPr="00AE4912">
        <w:t>amendements antérieure, à condition que ce dispositif soit destiné à servir de pièce de rechange. ».</w:t>
      </w:r>
    </w:p>
    <w:p w:rsidR="001C5581" w:rsidRPr="00AE4912" w:rsidRDefault="001C5581" w:rsidP="003A00CC">
      <w:pPr>
        <w:pStyle w:val="H1G"/>
      </w:pPr>
      <w:r w:rsidRPr="00AE4912">
        <w:tab/>
        <w:t>E.</w:t>
      </w:r>
      <w:r w:rsidRPr="00AE4912">
        <w:tab/>
        <w:t>Proposition de série 05 d</w:t>
      </w:r>
      <w:r w:rsidR="000F68E0">
        <w:t>’</w:t>
      </w:r>
      <w:r w:rsidRPr="00AE4912">
        <w:t>amendements au Règlement n</w:t>
      </w:r>
      <w:r w:rsidRPr="00AE4912">
        <w:rPr>
          <w:vertAlign w:val="superscript"/>
        </w:rPr>
        <w:t>o</w:t>
      </w:r>
      <w:r w:rsidRPr="00AE4912">
        <w:t> 19</w:t>
      </w:r>
      <w:r w:rsidRPr="00A17FD2">
        <w:rPr>
          <w:rStyle w:val="FootnoteReference"/>
          <w:b w:val="0"/>
        </w:rPr>
        <w:footnoteReference w:id="7"/>
      </w:r>
    </w:p>
    <w:p w:rsidR="001C5581" w:rsidRPr="00AE4912" w:rsidRDefault="001C5581" w:rsidP="003A00CC">
      <w:pPr>
        <w:pStyle w:val="SingleTxtG"/>
        <w:keepNext/>
        <w:rPr>
          <w:i/>
          <w:iCs/>
        </w:rPr>
      </w:pPr>
      <w:r w:rsidRPr="00AE4912">
        <w:rPr>
          <w:i/>
          <w:iCs/>
        </w:rPr>
        <w:t>Paragraphe 14</w:t>
      </w:r>
      <w:r w:rsidRPr="00AE4912">
        <w:t>, lire</w:t>
      </w:r>
      <w:r w:rsidR="00077647">
        <w:t> :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« 14.</w:t>
      </w:r>
      <w:r w:rsidRPr="00AE4912">
        <w:tab/>
        <w:t>Dispositions transitoires</w:t>
      </w:r>
    </w:p>
    <w:p w:rsidR="001C5581" w:rsidRPr="00EE4DBE" w:rsidRDefault="001C5581" w:rsidP="00C81CD6">
      <w:pPr>
        <w:pStyle w:val="SingleTxtG"/>
        <w:ind w:left="2268" w:hanging="1134"/>
        <w:rPr>
          <w:spacing w:val="-2"/>
        </w:rPr>
      </w:pPr>
      <w:r w:rsidRPr="00AE4912">
        <w:t>14.1</w:t>
      </w:r>
      <w:r w:rsidRPr="00AE4912">
        <w:tab/>
      </w:r>
      <w:r w:rsidRPr="00EE4DBE">
        <w:rPr>
          <w:spacing w:val="-2"/>
        </w:rPr>
        <w:t>À compter de [24] mois après la date officielle d</w:t>
      </w:r>
      <w:r w:rsidR="000F68E0">
        <w:rPr>
          <w:spacing w:val="-2"/>
        </w:rPr>
        <w:t>’</w:t>
      </w:r>
      <w:r w:rsidRPr="00EE4DBE">
        <w:rPr>
          <w:spacing w:val="-2"/>
        </w:rPr>
        <w:t>entrée en vigueur du Règlement n</w:t>
      </w:r>
      <w:r w:rsidRPr="00EE4DBE">
        <w:rPr>
          <w:spacing w:val="-2"/>
          <w:vertAlign w:val="superscript"/>
        </w:rPr>
        <w:t>o</w:t>
      </w:r>
      <w:r w:rsidRPr="00EE4DBE">
        <w:rPr>
          <w:spacing w:val="-2"/>
        </w:rPr>
        <w:t> [RID], les Parties contractantes appliquant le présent Règlement doivent cesser d</w:t>
      </w:r>
      <w:r w:rsidR="000F68E0">
        <w:rPr>
          <w:spacing w:val="-2"/>
        </w:rPr>
        <w:t>’</w:t>
      </w:r>
      <w:r w:rsidRPr="00EE4DBE">
        <w:rPr>
          <w:spacing w:val="-2"/>
        </w:rPr>
        <w:t>accorder des homologations en application dudit Règlement.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14.2</w:t>
      </w:r>
      <w:r w:rsidRPr="00AE4912">
        <w:tab/>
        <w:t>Les Parties contractantes appliquant le présent Règlement ne doivent pas refuser d</w:t>
      </w:r>
      <w:r w:rsidR="000F68E0">
        <w:t>’</w:t>
      </w:r>
      <w:r w:rsidRPr="00AE4912">
        <w:t>accorder des extensions d</w:t>
      </w:r>
      <w:r w:rsidR="000F68E0">
        <w:t>’</w:t>
      </w:r>
      <w:r w:rsidRPr="00AE4912">
        <w:t>homologations délivrées en application de la présente série d</w:t>
      </w:r>
      <w:r w:rsidR="000F68E0">
        <w:t>’</w:t>
      </w:r>
      <w:r w:rsidRPr="00AE4912">
        <w:t>amendements audit Règlement ou de toute série d</w:t>
      </w:r>
      <w:r w:rsidR="000F68E0">
        <w:t>’</w:t>
      </w:r>
      <w:r w:rsidRPr="00AE4912">
        <w:t>amendements antérieure.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14.3</w:t>
      </w:r>
      <w:r w:rsidRPr="00AE4912">
        <w:tab/>
        <w:t>Les homologations et les extensions d</w:t>
      </w:r>
      <w:r w:rsidR="000F68E0">
        <w:t>’</w:t>
      </w:r>
      <w:r w:rsidRPr="00AE4912">
        <w:t>homologations accordées en vertu du présent Règlement, y compris en application d</w:t>
      </w:r>
      <w:r w:rsidR="000F68E0">
        <w:t>’</w:t>
      </w:r>
      <w:r w:rsidRPr="00AE4912">
        <w:t>une série d</w:t>
      </w:r>
      <w:r w:rsidR="000F68E0">
        <w:t>’</w:t>
      </w:r>
      <w:r w:rsidRPr="00AE4912">
        <w:t>amendements antérieure, restent valables indéfiniment.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14.4</w:t>
      </w:r>
      <w:r w:rsidRPr="00AE4912">
        <w:tab/>
        <w:t>Les Parties contractantes appliquant le présent Règlement doivent continuer à homologuer des dispositifs conformément à la présente série d</w:t>
      </w:r>
      <w:r w:rsidR="000F68E0">
        <w:t>’</w:t>
      </w:r>
      <w:r w:rsidRPr="00AE4912">
        <w:t>amendements audit Règlement et à toute série d</w:t>
      </w:r>
      <w:r w:rsidR="000F68E0">
        <w:t>’</w:t>
      </w:r>
      <w:r w:rsidRPr="00AE4912">
        <w:t>amendements antérieure, à condition que ces dispositifs soient destinés à servir de pièces de rechange sur des véhicules en service.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14.5</w:t>
      </w:r>
      <w:r w:rsidRPr="00AE4912">
        <w:tab/>
        <w:t>Les Parties contractantes appliquant le présent Règlement doivent continuer à autoriser le montage ou l</w:t>
      </w:r>
      <w:r w:rsidR="000F68E0">
        <w:t>’</w:t>
      </w:r>
      <w:r w:rsidRPr="00AE4912">
        <w:t>utilisation sur un véhicule en service d</w:t>
      </w:r>
      <w:r w:rsidR="000F68E0">
        <w:t>’</w:t>
      </w:r>
      <w:r w:rsidRPr="00AE4912">
        <w:t>un dispositif homologué en vertu de ce Règlement tel que modifié par toute série d</w:t>
      </w:r>
      <w:r w:rsidR="000F68E0">
        <w:t>’</w:t>
      </w:r>
      <w:r w:rsidRPr="00AE4912">
        <w:t>amendements antérieure, à condition que ce dispositif soit destiné à servir de pièce de rechange. ».</w:t>
      </w:r>
    </w:p>
    <w:p w:rsidR="001C5581" w:rsidRPr="00AE4912" w:rsidRDefault="001C5581" w:rsidP="003A00CC">
      <w:pPr>
        <w:pStyle w:val="H1G"/>
      </w:pPr>
      <w:r w:rsidRPr="00AE4912">
        <w:tab/>
        <w:t>F.</w:t>
      </w:r>
      <w:r w:rsidRPr="00AE4912">
        <w:tab/>
        <w:t>Proposition de série 01 d</w:t>
      </w:r>
      <w:r w:rsidR="000F68E0">
        <w:t>’</w:t>
      </w:r>
      <w:r w:rsidRPr="00AE4912">
        <w:t>amendements au Règlement n</w:t>
      </w:r>
      <w:r w:rsidRPr="00AE4912">
        <w:rPr>
          <w:vertAlign w:val="superscript"/>
        </w:rPr>
        <w:t>o</w:t>
      </w:r>
      <w:r w:rsidRPr="00AE4912">
        <w:t> 23</w:t>
      </w:r>
      <w:r w:rsidRPr="00A17FD2">
        <w:rPr>
          <w:rStyle w:val="FootnoteReference"/>
          <w:b w:val="0"/>
        </w:rPr>
        <w:footnoteReference w:id="8"/>
      </w:r>
    </w:p>
    <w:p w:rsidR="001C5581" w:rsidRPr="00AE4912" w:rsidRDefault="001C5581" w:rsidP="003A00CC">
      <w:pPr>
        <w:pStyle w:val="SingleTxtG"/>
        <w:keepNext/>
      </w:pPr>
      <w:r w:rsidRPr="00AE4912">
        <w:rPr>
          <w:i/>
          <w:iCs/>
        </w:rPr>
        <w:t>Ajouter un nouveau paragraphe 13</w:t>
      </w:r>
      <w:r w:rsidRPr="00AE4912">
        <w:t>, libellé comme suit</w:t>
      </w:r>
      <w:r w:rsidR="00077647">
        <w:t> :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« 13.</w:t>
      </w:r>
      <w:r w:rsidRPr="00AE4912">
        <w:tab/>
        <w:t>Dispositions transitoires</w:t>
      </w:r>
    </w:p>
    <w:p w:rsidR="001C5581" w:rsidRPr="00EE4DBE" w:rsidRDefault="001C5581" w:rsidP="00C81CD6">
      <w:pPr>
        <w:pStyle w:val="SingleTxtG"/>
        <w:ind w:left="2268" w:hanging="1134"/>
        <w:rPr>
          <w:spacing w:val="-2"/>
        </w:rPr>
      </w:pPr>
      <w:r w:rsidRPr="00AE4912">
        <w:t>13.1</w:t>
      </w:r>
      <w:r w:rsidRPr="00AE4912">
        <w:tab/>
      </w:r>
      <w:r w:rsidRPr="00EE4DBE">
        <w:rPr>
          <w:spacing w:val="-2"/>
        </w:rPr>
        <w:t>À compter de [24] mois après la date officielle d</w:t>
      </w:r>
      <w:r w:rsidR="000F68E0">
        <w:rPr>
          <w:spacing w:val="-2"/>
        </w:rPr>
        <w:t>’</w:t>
      </w:r>
      <w:r w:rsidRPr="00EE4DBE">
        <w:rPr>
          <w:spacing w:val="-2"/>
        </w:rPr>
        <w:t>entrée en vigueur du Règlement n</w:t>
      </w:r>
      <w:r w:rsidRPr="00EE4DBE">
        <w:rPr>
          <w:spacing w:val="-2"/>
          <w:vertAlign w:val="superscript"/>
        </w:rPr>
        <w:t>o</w:t>
      </w:r>
      <w:r w:rsidRPr="00EE4DBE">
        <w:rPr>
          <w:spacing w:val="-2"/>
        </w:rPr>
        <w:t> [LSD], les Parties contractantes appliquant le présent Règlement doivent cesser d</w:t>
      </w:r>
      <w:r w:rsidR="000F68E0">
        <w:rPr>
          <w:spacing w:val="-2"/>
        </w:rPr>
        <w:t>’</w:t>
      </w:r>
      <w:r w:rsidRPr="00EE4DBE">
        <w:rPr>
          <w:spacing w:val="-2"/>
        </w:rPr>
        <w:t>accorder des homologations en application dudit Règlement.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13.2</w:t>
      </w:r>
      <w:r w:rsidRPr="00AE4912">
        <w:tab/>
        <w:t>Les Parties contractantes appliquant le présent Règlement ne doivent pas refuser d</w:t>
      </w:r>
      <w:r w:rsidR="000F68E0">
        <w:t>’</w:t>
      </w:r>
      <w:r w:rsidRPr="00AE4912">
        <w:t>accorder des extensions d</w:t>
      </w:r>
      <w:r w:rsidR="000F68E0">
        <w:t>’</w:t>
      </w:r>
      <w:r w:rsidRPr="00AE4912">
        <w:t>homologations délivrées en application de la présente série d</w:t>
      </w:r>
      <w:r w:rsidR="000F68E0">
        <w:t>’</w:t>
      </w:r>
      <w:r w:rsidRPr="00AE4912">
        <w:t>amendements audit Règlement ou de toute série d</w:t>
      </w:r>
      <w:r w:rsidR="000F68E0">
        <w:t>’</w:t>
      </w:r>
      <w:r w:rsidRPr="00AE4912">
        <w:t>amendements antérieure.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13.3</w:t>
      </w:r>
      <w:r w:rsidRPr="00AE4912">
        <w:tab/>
        <w:t>Les homologations et les extensions d</w:t>
      </w:r>
      <w:r w:rsidR="000F68E0">
        <w:t>’</w:t>
      </w:r>
      <w:r w:rsidRPr="00AE4912">
        <w:t>homologations accordées en vertu du présent Règlement, y compris en application d</w:t>
      </w:r>
      <w:r w:rsidR="000F68E0">
        <w:t>’</w:t>
      </w:r>
      <w:r w:rsidRPr="00AE4912">
        <w:t>une série d</w:t>
      </w:r>
      <w:r w:rsidR="000F68E0">
        <w:t>’</w:t>
      </w:r>
      <w:r w:rsidRPr="00AE4912">
        <w:t>amendements antérieure, restent valables indéfiniment.</w:t>
      </w:r>
    </w:p>
    <w:p w:rsidR="001C5581" w:rsidRPr="00AE4912" w:rsidRDefault="001C5581" w:rsidP="00EE4DBE">
      <w:pPr>
        <w:pStyle w:val="SingleTxtG"/>
        <w:keepLines/>
        <w:ind w:left="2268" w:hanging="1134"/>
      </w:pPr>
      <w:r w:rsidRPr="00AE4912">
        <w:lastRenderedPageBreak/>
        <w:t>13.4</w:t>
      </w:r>
      <w:r w:rsidRPr="00AE4912">
        <w:tab/>
        <w:t>Les Parties contractantes appliquant le présent Règlement doivent continuer à homologuer des dispositifs conformément à la présente série d</w:t>
      </w:r>
      <w:r w:rsidR="000F68E0">
        <w:t>’</w:t>
      </w:r>
      <w:r w:rsidRPr="00AE4912">
        <w:t>amendements audit Règlement et à toute série d</w:t>
      </w:r>
      <w:r w:rsidR="000F68E0">
        <w:t>’</w:t>
      </w:r>
      <w:r w:rsidRPr="00AE4912">
        <w:t>amendements antérieure, à condition que ces dispositifs soient destinés à servir de pièces de rechange sur des véhicules en service.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13.5</w:t>
      </w:r>
      <w:r w:rsidRPr="00AE4912">
        <w:tab/>
        <w:t>Les Parties contractantes appliquant le présent Règlement doivent continuer à autoriser le montage ou l</w:t>
      </w:r>
      <w:r w:rsidR="000F68E0">
        <w:t>’</w:t>
      </w:r>
      <w:r w:rsidRPr="00AE4912">
        <w:t>utilisation sur un véhicule en service d</w:t>
      </w:r>
      <w:r w:rsidR="000F68E0">
        <w:t>’</w:t>
      </w:r>
      <w:r w:rsidRPr="00AE4912">
        <w:t>un dispositif homologué en vertu de ce Règlement tel que modifié par toute série d</w:t>
      </w:r>
      <w:r w:rsidR="000F68E0">
        <w:t>’</w:t>
      </w:r>
      <w:r w:rsidRPr="00AE4912">
        <w:t>amendements antérieure, à condition que ce dispositif soit destiné à servir de pièce de rechange. ».</w:t>
      </w:r>
    </w:p>
    <w:p w:rsidR="001C5581" w:rsidRPr="00AE4912" w:rsidRDefault="001C5581" w:rsidP="003A00CC">
      <w:pPr>
        <w:pStyle w:val="H1G"/>
      </w:pPr>
      <w:r w:rsidRPr="00AE4912">
        <w:tab/>
        <w:t>G.</w:t>
      </w:r>
      <w:r w:rsidRPr="00AE4912">
        <w:tab/>
        <w:t>Proposition de série 05 d</w:t>
      </w:r>
      <w:r w:rsidR="000F68E0">
        <w:t>’</w:t>
      </w:r>
      <w:r w:rsidRPr="00AE4912">
        <w:t>amendements au Règlement n</w:t>
      </w:r>
      <w:r w:rsidRPr="00AE4912">
        <w:rPr>
          <w:vertAlign w:val="superscript"/>
        </w:rPr>
        <w:t>o</w:t>
      </w:r>
      <w:r w:rsidRPr="00AE4912">
        <w:t> 27</w:t>
      </w:r>
      <w:r w:rsidRPr="00A17FD2">
        <w:rPr>
          <w:rStyle w:val="FootnoteReference"/>
          <w:b w:val="0"/>
        </w:rPr>
        <w:footnoteReference w:id="9"/>
      </w:r>
    </w:p>
    <w:p w:rsidR="001C5581" w:rsidRPr="00AE4912" w:rsidRDefault="001C5581" w:rsidP="003A00CC">
      <w:pPr>
        <w:pStyle w:val="SingleTxtG"/>
        <w:keepNext/>
        <w:rPr>
          <w:i/>
          <w:iCs/>
        </w:rPr>
      </w:pPr>
      <w:r w:rsidRPr="00AE4912">
        <w:rPr>
          <w:i/>
          <w:iCs/>
        </w:rPr>
        <w:t>Paragraphe 14</w:t>
      </w:r>
      <w:r w:rsidRPr="00AE4912">
        <w:t>, lire</w:t>
      </w:r>
      <w:r w:rsidR="00077647">
        <w:t> :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« 14.</w:t>
      </w:r>
      <w:r w:rsidRPr="00AE4912">
        <w:tab/>
        <w:t>Dispositions transitoires</w:t>
      </w:r>
    </w:p>
    <w:p w:rsidR="001C5581" w:rsidRPr="00EE4DBE" w:rsidRDefault="001C5581" w:rsidP="00C81CD6">
      <w:pPr>
        <w:pStyle w:val="SingleTxtG"/>
        <w:ind w:left="2268" w:hanging="1134"/>
        <w:rPr>
          <w:spacing w:val="-2"/>
        </w:rPr>
      </w:pPr>
      <w:r w:rsidRPr="00AE4912">
        <w:t>14.1</w:t>
      </w:r>
      <w:r w:rsidRPr="00AE4912">
        <w:tab/>
      </w:r>
      <w:r w:rsidRPr="00EE4DBE">
        <w:rPr>
          <w:spacing w:val="-2"/>
        </w:rPr>
        <w:t>À compter de [24] mois après la date officielle d</w:t>
      </w:r>
      <w:r w:rsidR="000F68E0">
        <w:rPr>
          <w:spacing w:val="-2"/>
        </w:rPr>
        <w:t>’</w:t>
      </w:r>
      <w:r w:rsidRPr="00EE4DBE">
        <w:rPr>
          <w:spacing w:val="-2"/>
        </w:rPr>
        <w:t>entrée en vigueur du Règlement n</w:t>
      </w:r>
      <w:r w:rsidRPr="00EE4DBE">
        <w:rPr>
          <w:spacing w:val="-2"/>
          <w:vertAlign w:val="superscript"/>
        </w:rPr>
        <w:t>o</w:t>
      </w:r>
      <w:r w:rsidRPr="00EE4DBE">
        <w:rPr>
          <w:spacing w:val="-2"/>
        </w:rPr>
        <w:t> [RRD], les Parties contractantes appliquant le présent Règlement doivent cesser d</w:t>
      </w:r>
      <w:r w:rsidR="000F68E0">
        <w:rPr>
          <w:spacing w:val="-2"/>
        </w:rPr>
        <w:t>’</w:t>
      </w:r>
      <w:r w:rsidRPr="00EE4DBE">
        <w:rPr>
          <w:spacing w:val="-2"/>
        </w:rPr>
        <w:t>accorder des homologations en application dudit Règlement.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14.2</w:t>
      </w:r>
      <w:r w:rsidRPr="00AE4912">
        <w:tab/>
        <w:t>Les Parties contractantes appliquant le présent Règlement ne doivent pas refuser d</w:t>
      </w:r>
      <w:r w:rsidR="000F68E0">
        <w:t>’</w:t>
      </w:r>
      <w:r w:rsidRPr="00AE4912">
        <w:t>accorder des extensions d</w:t>
      </w:r>
      <w:r w:rsidR="000F68E0">
        <w:t>’</w:t>
      </w:r>
      <w:r w:rsidRPr="00AE4912">
        <w:t>homologations délivrées en application de la présente série d</w:t>
      </w:r>
      <w:r w:rsidR="000F68E0">
        <w:t>’</w:t>
      </w:r>
      <w:r w:rsidRPr="00AE4912">
        <w:t>amendements audit Règlement ou de toute série d</w:t>
      </w:r>
      <w:r w:rsidR="000F68E0">
        <w:t>’</w:t>
      </w:r>
      <w:r w:rsidRPr="00AE4912">
        <w:t>amendements antérieure.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14.3</w:t>
      </w:r>
      <w:r w:rsidRPr="00AE4912">
        <w:tab/>
        <w:t>Les homologations et les extensions d</w:t>
      </w:r>
      <w:r w:rsidR="000F68E0">
        <w:t>’</w:t>
      </w:r>
      <w:r w:rsidRPr="00AE4912">
        <w:t>homologations accordées en vertu du présent Règlement, y compris en application d</w:t>
      </w:r>
      <w:r w:rsidR="000F68E0">
        <w:t>’</w:t>
      </w:r>
      <w:r w:rsidRPr="00AE4912">
        <w:t>une série d</w:t>
      </w:r>
      <w:r w:rsidR="000F68E0">
        <w:t>’</w:t>
      </w:r>
      <w:r w:rsidRPr="00AE4912">
        <w:t>amendements antérieure, restent valables indéfiniment.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14.4</w:t>
      </w:r>
      <w:r w:rsidRPr="00AE4912">
        <w:tab/>
        <w:t>Les Parties contractantes appliquant le présent Règlement doivent continuer à homologuer des dispositifs conformément à la présente série d</w:t>
      </w:r>
      <w:r w:rsidR="000F68E0">
        <w:t>’</w:t>
      </w:r>
      <w:r w:rsidRPr="00AE4912">
        <w:t>amendements audit Règlement et à toute série d</w:t>
      </w:r>
      <w:r w:rsidR="000F68E0">
        <w:t>’</w:t>
      </w:r>
      <w:r w:rsidRPr="00AE4912">
        <w:t>amendements antérieure, à condition que ces dispositifs soient destinés à servir de pièces de rechange sur des véhicules en service.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14.5</w:t>
      </w:r>
      <w:r w:rsidRPr="00AE4912">
        <w:tab/>
        <w:t>Les Parties contractantes appliquant le présent Règlement doivent continuer à autoriser le montage ou l</w:t>
      </w:r>
      <w:r w:rsidR="000F68E0">
        <w:t>’</w:t>
      </w:r>
      <w:r w:rsidRPr="00AE4912">
        <w:t>utilisation sur un véhicule en service d</w:t>
      </w:r>
      <w:r w:rsidR="000F68E0">
        <w:t>’</w:t>
      </w:r>
      <w:r w:rsidRPr="00AE4912">
        <w:t>un dispositif homologué en vertu de ce Règlement tel que modifié par toute série d</w:t>
      </w:r>
      <w:r w:rsidR="000F68E0">
        <w:t>’</w:t>
      </w:r>
      <w:r w:rsidRPr="00AE4912">
        <w:t>amendements antérieure, à condition que ce dispositif soit destiné à servir de pièce de rechange. ».</w:t>
      </w:r>
    </w:p>
    <w:p w:rsidR="001C5581" w:rsidRPr="00AE4912" w:rsidRDefault="001C5581" w:rsidP="003A00CC">
      <w:pPr>
        <w:pStyle w:val="H1G"/>
      </w:pPr>
      <w:r w:rsidRPr="00AE4912">
        <w:tab/>
        <w:t>H.</w:t>
      </w:r>
      <w:r w:rsidRPr="00AE4912">
        <w:tab/>
        <w:t>Proposition de série 01 d</w:t>
      </w:r>
      <w:r w:rsidR="000F68E0">
        <w:t>’</w:t>
      </w:r>
      <w:r w:rsidRPr="00AE4912">
        <w:t>amendements au Règlement n</w:t>
      </w:r>
      <w:r w:rsidRPr="00AE4912">
        <w:rPr>
          <w:vertAlign w:val="superscript"/>
        </w:rPr>
        <w:t>o</w:t>
      </w:r>
      <w:r w:rsidRPr="00AE4912">
        <w:t> 38</w:t>
      </w:r>
      <w:r w:rsidRPr="00A17FD2">
        <w:rPr>
          <w:rStyle w:val="FootnoteReference"/>
          <w:b w:val="0"/>
        </w:rPr>
        <w:footnoteReference w:id="10"/>
      </w:r>
    </w:p>
    <w:p w:rsidR="001C5581" w:rsidRPr="00AE4912" w:rsidRDefault="001C5581" w:rsidP="003A00CC">
      <w:pPr>
        <w:pStyle w:val="SingleTxtG"/>
        <w:keepNext/>
      </w:pPr>
      <w:r w:rsidRPr="00AE4912">
        <w:rPr>
          <w:i/>
          <w:iCs/>
        </w:rPr>
        <w:t>Insérer un nouveau paragraphe 14</w:t>
      </w:r>
      <w:r w:rsidRPr="00AE4912">
        <w:t>, libellé comme suit</w:t>
      </w:r>
      <w:r w:rsidR="00077647">
        <w:t> :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« 14.</w:t>
      </w:r>
      <w:r w:rsidRPr="00AE4912">
        <w:tab/>
        <w:t>Dispositions transitoires</w:t>
      </w:r>
    </w:p>
    <w:p w:rsidR="001C5581" w:rsidRPr="00EE4DBE" w:rsidRDefault="001C5581" w:rsidP="00C81CD6">
      <w:pPr>
        <w:pStyle w:val="SingleTxtG"/>
        <w:ind w:left="2268" w:hanging="1134"/>
        <w:rPr>
          <w:spacing w:val="-2"/>
        </w:rPr>
      </w:pPr>
      <w:r w:rsidRPr="00AE4912">
        <w:t>14.1</w:t>
      </w:r>
      <w:r w:rsidRPr="00AE4912">
        <w:tab/>
      </w:r>
      <w:r w:rsidRPr="00EE4DBE">
        <w:rPr>
          <w:spacing w:val="-2"/>
        </w:rPr>
        <w:t>À compter de [24] mois après la date officielle d</w:t>
      </w:r>
      <w:r w:rsidR="000F68E0">
        <w:rPr>
          <w:spacing w:val="-2"/>
        </w:rPr>
        <w:t>’</w:t>
      </w:r>
      <w:r w:rsidRPr="00EE4DBE">
        <w:rPr>
          <w:spacing w:val="-2"/>
        </w:rPr>
        <w:t>entrée en vigueur du Règlement n</w:t>
      </w:r>
      <w:r w:rsidRPr="00EE4DBE">
        <w:rPr>
          <w:spacing w:val="-2"/>
          <w:vertAlign w:val="superscript"/>
        </w:rPr>
        <w:t>o</w:t>
      </w:r>
      <w:r w:rsidRPr="00EE4DBE">
        <w:rPr>
          <w:spacing w:val="-2"/>
        </w:rPr>
        <w:t> [LSD], les Parties contractantes appliquant le présent Règlement doivent cesser d</w:t>
      </w:r>
      <w:r w:rsidR="000F68E0">
        <w:rPr>
          <w:spacing w:val="-2"/>
        </w:rPr>
        <w:t>’</w:t>
      </w:r>
      <w:r w:rsidRPr="00EE4DBE">
        <w:rPr>
          <w:spacing w:val="-2"/>
        </w:rPr>
        <w:t>accorder des homologations en application dudit Règlement.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14.2</w:t>
      </w:r>
      <w:r w:rsidRPr="00AE4912">
        <w:tab/>
        <w:t>Les Parties contractantes appliquant le présent Règlement ne doivent pas refuser d</w:t>
      </w:r>
      <w:r w:rsidR="000F68E0">
        <w:t>’</w:t>
      </w:r>
      <w:r w:rsidRPr="00AE4912">
        <w:t>accorder des extensions d</w:t>
      </w:r>
      <w:r w:rsidR="000F68E0">
        <w:t>’</w:t>
      </w:r>
      <w:r w:rsidRPr="00AE4912">
        <w:t>homologations délivrées en application de la présente série d</w:t>
      </w:r>
      <w:r w:rsidR="000F68E0">
        <w:t>’</w:t>
      </w:r>
      <w:r w:rsidRPr="00AE4912">
        <w:t>amendements audit Règlement ou de toute série d</w:t>
      </w:r>
      <w:r w:rsidR="000F68E0">
        <w:t>’</w:t>
      </w:r>
      <w:r w:rsidRPr="00AE4912">
        <w:t>amendements antérieure.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lastRenderedPageBreak/>
        <w:t>14.3</w:t>
      </w:r>
      <w:r w:rsidRPr="00AE4912">
        <w:tab/>
        <w:t>Les homologations et les extensions d</w:t>
      </w:r>
      <w:r w:rsidR="000F68E0">
        <w:t>’</w:t>
      </w:r>
      <w:r w:rsidRPr="00AE4912">
        <w:t>homologations accordées en vertu du présent Règlement, y compris en application d</w:t>
      </w:r>
      <w:r w:rsidR="000F68E0">
        <w:t>’</w:t>
      </w:r>
      <w:r w:rsidRPr="00AE4912">
        <w:t>une série d</w:t>
      </w:r>
      <w:r w:rsidR="000F68E0">
        <w:t>’</w:t>
      </w:r>
      <w:r w:rsidRPr="00AE4912">
        <w:t>amendements antérieure, restent valables indéfiniment.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14.4</w:t>
      </w:r>
      <w:r w:rsidRPr="00AE4912">
        <w:tab/>
        <w:t>Les Parties contractantes appliquant le présent Règlement doivent continuer à homologuer des dispositifs conformément à la présente série d</w:t>
      </w:r>
      <w:r w:rsidR="000F68E0">
        <w:t>’</w:t>
      </w:r>
      <w:r w:rsidRPr="00AE4912">
        <w:t>amendements audit Règlement et à toute série d</w:t>
      </w:r>
      <w:r w:rsidR="000F68E0">
        <w:t>’</w:t>
      </w:r>
      <w:r w:rsidRPr="00AE4912">
        <w:t>amendements antérieure, à condition que ces dispositifs soient destinés à servir de pièces de rechange sur des véhicules en service.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14.5</w:t>
      </w:r>
      <w:r w:rsidRPr="00AE4912">
        <w:tab/>
        <w:t>Les Parties contractantes appliquant le présent Règlement doivent continuer à autoriser le montage ou l</w:t>
      </w:r>
      <w:r w:rsidR="000F68E0">
        <w:t>’</w:t>
      </w:r>
      <w:r w:rsidRPr="00AE4912">
        <w:t>utilisation sur un véhicule en service d</w:t>
      </w:r>
      <w:r w:rsidR="000F68E0">
        <w:t>’</w:t>
      </w:r>
      <w:r w:rsidRPr="00AE4912">
        <w:t>un dispositif homologué en vertu de ce Règlement tel que modifié par toute série d</w:t>
      </w:r>
      <w:r w:rsidR="000F68E0">
        <w:t>’</w:t>
      </w:r>
      <w:r w:rsidRPr="00AE4912">
        <w:t>amendements antérieure, à condition que ce dispositif soit destiné à servir de pièce de rechange. ».</w:t>
      </w:r>
    </w:p>
    <w:p w:rsidR="001C5581" w:rsidRPr="00AE4912" w:rsidRDefault="001C5581" w:rsidP="003A00CC">
      <w:pPr>
        <w:pStyle w:val="H1G"/>
      </w:pPr>
      <w:r w:rsidRPr="00AE4912">
        <w:tab/>
        <w:t>I.</w:t>
      </w:r>
      <w:r w:rsidRPr="00AE4912">
        <w:tab/>
        <w:t>Proposition de série 01 d</w:t>
      </w:r>
      <w:r w:rsidR="000F68E0">
        <w:t>’</w:t>
      </w:r>
      <w:r w:rsidRPr="00AE4912">
        <w:t>amendements au Règlement n</w:t>
      </w:r>
      <w:r w:rsidRPr="00AE4912">
        <w:rPr>
          <w:vertAlign w:val="superscript"/>
        </w:rPr>
        <w:t>o</w:t>
      </w:r>
      <w:r w:rsidRPr="00AE4912">
        <w:t> 50</w:t>
      </w:r>
      <w:r w:rsidRPr="00A17FD2">
        <w:rPr>
          <w:rStyle w:val="FootnoteReference"/>
          <w:b w:val="0"/>
        </w:rPr>
        <w:footnoteReference w:id="11"/>
      </w:r>
    </w:p>
    <w:p w:rsidR="001C5581" w:rsidRPr="00AE4912" w:rsidRDefault="001C5581" w:rsidP="003A00CC">
      <w:pPr>
        <w:pStyle w:val="SingleTxtG"/>
        <w:keepNext/>
        <w:rPr>
          <w:i/>
          <w:iCs/>
        </w:rPr>
      </w:pPr>
      <w:r w:rsidRPr="00AE4912">
        <w:rPr>
          <w:i/>
          <w:iCs/>
        </w:rPr>
        <w:t>Paragraphe 14</w:t>
      </w:r>
      <w:r w:rsidRPr="00AE4912">
        <w:t>, lire</w:t>
      </w:r>
      <w:r w:rsidR="00077647">
        <w:t> :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« 14.</w:t>
      </w:r>
      <w:r w:rsidRPr="00AE4912">
        <w:tab/>
        <w:t>Dispositions transitoires</w:t>
      </w:r>
    </w:p>
    <w:p w:rsidR="001C5581" w:rsidRPr="00EE4DBE" w:rsidRDefault="001C5581" w:rsidP="00C81CD6">
      <w:pPr>
        <w:pStyle w:val="SingleTxtG"/>
        <w:ind w:left="2268" w:hanging="1134"/>
        <w:rPr>
          <w:spacing w:val="-2"/>
        </w:rPr>
      </w:pPr>
      <w:r w:rsidRPr="00AE4912">
        <w:t>14.1</w:t>
      </w:r>
      <w:r w:rsidRPr="00AE4912">
        <w:tab/>
      </w:r>
      <w:r w:rsidRPr="00EE4DBE">
        <w:rPr>
          <w:spacing w:val="-2"/>
        </w:rPr>
        <w:t>À compter de [24] mois après la date officielle d</w:t>
      </w:r>
      <w:r w:rsidR="000F68E0">
        <w:rPr>
          <w:spacing w:val="-2"/>
        </w:rPr>
        <w:t>’</w:t>
      </w:r>
      <w:r w:rsidRPr="00EE4DBE">
        <w:rPr>
          <w:spacing w:val="-2"/>
        </w:rPr>
        <w:t>entrée en vigueur du Règlement n</w:t>
      </w:r>
      <w:r w:rsidRPr="00EE4DBE">
        <w:rPr>
          <w:spacing w:val="-2"/>
          <w:vertAlign w:val="superscript"/>
        </w:rPr>
        <w:t>o</w:t>
      </w:r>
      <w:r w:rsidRPr="00EE4DBE">
        <w:rPr>
          <w:spacing w:val="-2"/>
        </w:rPr>
        <w:t> [LSD], les Parties contractantes appliquant le présent Règlement doivent cesser d</w:t>
      </w:r>
      <w:r w:rsidR="000F68E0">
        <w:rPr>
          <w:spacing w:val="-2"/>
        </w:rPr>
        <w:t>’</w:t>
      </w:r>
      <w:r w:rsidRPr="00EE4DBE">
        <w:rPr>
          <w:spacing w:val="-2"/>
        </w:rPr>
        <w:t>accorder des homologations en application dudit Règlement.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14.2</w:t>
      </w:r>
      <w:r w:rsidRPr="00AE4912">
        <w:tab/>
        <w:t>Les Parties contractantes appliquant le présent Règlement ne doivent pas refuser d</w:t>
      </w:r>
      <w:r w:rsidR="000F68E0">
        <w:t>’</w:t>
      </w:r>
      <w:r w:rsidRPr="00AE4912">
        <w:t>accorder des extensions d</w:t>
      </w:r>
      <w:r w:rsidR="000F68E0">
        <w:t>’</w:t>
      </w:r>
      <w:r w:rsidRPr="00AE4912">
        <w:t>homologations délivrées en application de la présente série d</w:t>
      </w:r>
      <w:r w:rsidR="000F68E0">
        <w:t>’</w:t>
      </w:r>
      <w:r w:rsidRPr="00AE4912">
        <w:t>amendements audit Règlement ou de toute série d</w:t>
      </w:r>
      <w:r w:rsidR="000F68E0">
        <w:t>’</w:t>
      </w:r>
      <w:r w:rsidRPr="00AE4912">
        <w:t>amendements antérieure.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14.3</w:t>
      </w:r>
      <w:r w:rsidRPr="00AE4912">
        <w:tab/>
        <w:t>Les homologations et les extensions d</w:t>
      </w:r>
      <w:r w:rsidR="000F68E0">
        <w:t>’</w:t>
      </w:r>
      <w:r w:rsidRPr="00AE4912">
        <w:t>homologations accordées en vertu du présent Règlement, y compris en application d</w:t>
      </w:r>
      <w:r w:rsidR="000F68E0">
        <w:t>’</w:t>
      </w:r>
      <w:r w:rsidRPr="00AE4912">
        <w:t>une série d</w:t>
      </w:r>
      <w:r w:rsidR="000F68E0">
        <w:t>’</w:t>
      </w:r>
      <w:r w:rsidRPr="00AE4912">
        <w:t>amendements antérieure, restent valables indéfiniment.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14.4</w:t>
      </w:r>
      <w:r w:rsidRPr="00AE4912">
        <w:tab/>
        <w:t>Les Parties contractantes appliquant le présent Règlement doivent continuer à homologuer des dispositifs conformément à la présente série d</w:t>
      </w:r>
      <w:r w:rsidR="000F68E0">
        <w:t>’</w:t>
      </w:r>
      <w:r w:rsidRPr="00AE4912">
        <w:t>amendements audit Règlement et à toute série d</w:t>
      </w:r>
      <w:r w:rsidR="000F68E0">
        <w:t>’</w:t>
      </w:r>
      <w:r w:rsidRPr="00AE4912">
        <w:t>amendements antérieure, à condition que ces dispositifs soient destinés à servir de pièces de rechange sur des véhicules en service.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14.5</w:t>
      </w:r>
      <w:r w:rsidRPr="00AE4912">
        <w:tab/>
        <w:t>Les Parties contractantes appliquant le présent Règlement doivent continuer à autoriser le montage ou l</w:t>
      </w:r>
      <w:r w:rsidR="000F68E0">
        <w:t>’</w:t>
      </w:r>
      <w:r w:rsidRPr="00AE4912">
        <w:t>utilisation sur un véhicule en service d</w:t>
      </w:r>
      <w:r w:rsidR="000F68E0">
        <w:t>’</w:t>
      </w:r>
      <w:r w:rsidRPr="00AE4912">
        <w:t>un dispositif homologué en vertu de ce Règlement tel que modifié par toute série d</w:t>
      </w:r>
      <w:r w:rsidR="000F68E0">
        <w:t>’</w:t>
      </w:r>
      <w:r w:rsidRPr="00AE4912">
        <w:t>amendements antérieure, à condition que ce dispositif soit destiné à servir de pièce de rechange. ».</w:t>
      </w:r>
    </w:p>
    <w:p w:rsidR="001C5581" w:rsidRPr="00AE4912" w:rsidRDefault="001C5581" w:rsidP="003A00CC">
      <w:pPr>
        <w:pStyle w:val="H1G"/>
      </w:pPr>
      <w:r w:rsidRPr="00AE4912">
        <w:tab/>
        <w:t>J.</w:t>
      </w:r>
      <w:r w:rsidRPr="00AE4912">
        <w:tab/>
        <w:t xml:space="preserve">Proposition de série </w:t>
      </w:r>
      <w:r w:rsidR="00855A27">
        <w:t>0</w:t>
      </w:r>
      <w:r w:rsidRPr="00AE4912">
        <w:t>2 d</w:t>
      </w:r>
      <w:r w:rsidR="000F68E0">
        <w:t>’</w:t>
      </w:r>
      <w:r w:rsidRPr="00AE4912">
        <w:t>amendements au Règlement n</w:t>
      </w:r>
      <w:r w:rsidRPr="00AE4912">
        <w:rPr>
          <w:vertAlign w:val="superscript"/>
        </w:rPr>
        <w:t>o</w:t>
      </w:r>
      <w:r w:rsidRPr="00AE4912">
        <w:t> 69</w:t>
      </w:r>
      <w:r w:rsidRPr="003C6471">
        <w:rPr>
          <w:rStyle w:val="FootnoteReference"/>
          <w:b w:val="0"/>
        </w:rPr>
        <w:footnoteReference w:id="12"/>
      </w:r>
    </w:p>
    <w:p w:rsidR="001C5581" w:rsidRPr="00AE4912" w:rsidRDefault="001C5581" w:rsidP="003A00CC">
      <w:pPr>
        <w:pStyle w:val="SingleTxtG"/>
        <w:keepNext/>
        <w:rPr>
          <w:i/>
          <w:iCs/>
        </w:rPr>
      </w:pPr>
      <w:r w:rsidRPr="00AE4912">
        <w:rPr>
          <w:i/>
          <w:iCs/>
        </w:rPr>
        <w:t>Paragraphe 12</w:t>
      </w:r>
      <w:r w:rsidRPr="00AE4912">
        <w:t>, lire</w:t>
      </w:r>
      <w:r w:rsidR="00077647">
        <w:t> :</w:t>
      </w:r>
    </w:p>
    <w:p w:rsidR="001C5581" w:rsidRPr="00AE4912" w:rsidRDefault="001C5581" w:rsidP="003C6471">
      <w:pPr>
        <w:pStyle w:val="SingleTxtG"/>
        <w:keepNext/>
        <w:ind w:left="2268" w:hanging="1134"/>
      </w:pPr>
      <w:r w:rsidRPr="00AE4912">
        <w:t>« 12.</w:t>
      </w:r>
      <w:r w:rsidRPr="00AE4912">
        <w:tab/>
        <w:t>Dispositions transitoires</w:t>
      </w:r>
    </w:p>
    <w:p w:rsidR="001C5581" w:rsidRPr="00EE4DBE" w:rsidRDefault="001C5581" w:rsidP="00C81CD6">
      <w:pPr>
        <w:pStyle w:val="SingleTxtG"/>
        <w:ind w:left="2268" w:hanging="1134"/>
        <w:rPr>
          <w:spacing w:val="-2"/>
        </w:rPr>
      </w:pPr>
      <w:r w:rsidRPr="00AE4912">
        <w:t>12.1</w:t>
      </w:r>
      <w:r w:rsidRPr="00AE4912">
        <w:tab/>
      </w:r>
      <w:r w:rsidRPr="00EE4DBE">
        <w:rPr>
          <w:spacing w:val="-2"/>
        </w:rPr>
        <w:t>À compter de [24] mois après la date officielle d</w:t>
      </w:r>
      <w:r w:rsidR="000F68E0">
        <w:rPr>
          <w:spacing w:val="-2"/>
        </w:rPr>
        <w:t>’</w:t>
      </w:r>
      <w:r w:rsidRPr="00EE4DBE">
        <w:rPr>
          <w:spacing w:val="-2"/>
        </w:rPr>
        <w:t>entrée en vigueur du Règlement n</w:t>
      </w:r>
      <w:r w:rsidRPr="00EE4DBE">
        <w:rPr>
          <w:spacing w:val="-2"/>
          <w:vertAlign w:val="superscript"/>
        </w:rPr>
        <w:t>o</w:t>
      </w:r>
      <w:r w:rsidRPr="00EE4DBE">
        <w:rPr>
          <w:spacing w:val="-2"/>
        </w:rPr>
        <w:t> [RRD], les Parties contractantes appliquant le présent Règlement doivent cesser d</w:t>
      </w:r>
      <w:r w:rsidR="000F68E0">
        <w:rPr>
          <w:spacing w:val="-2"/>
        </w:rPr>
        <w:t>’</w:t>
      </w:r>
      <w:r w:rsidRPr="00EE4DBE">
        <w:rPr>
          <w:spacing w:val="-2"/>
        </w:rPr>
        <w:t>accorder des homologations en application dudit Règlement.</w:t>
      </w:r>
    </w:p>
    <w:p w:rsidR="001C5581" w:rsidRPr="00AE4912" w:rsidRDefault="001C5581" w:rsidP="00EE4DBE">
      <w:pPr>
        <w:pStyle w:val="SingleTxtG"/>
        <w:keepLines/>
        <w:ind w:left="2268" w:hanging="1134"/>
      </w:pPr>
      <w:r w:rsidRPr="00AE4912">
        <w:lastRenderedPageBreak/>
        <w:t>12.2</w:t>
      </w:r>
      <w:r w:rsidRPr="00AE4912">
        <w:tab/>
        <w:t>Les Parties contractantes appliquant le présent Règlement ne doivent pas refuser d</w:t>
      </w:r>
      <w:r w:rsidR="000F68E0">
        <w:t>’</w:t>
      </w:r>
      <w:r w:rsidRPr="00AE4912">
        <w:t>accorder des extensions d</w:t>
      </w:r>
      <w:r w:rsidR="000F68E0">
        <w:t>’</w:t>
      </w:r>
      <w:r w:rsidRPr="00AE4912">
        <w:t>homologations délivrées en application de la présente série d</w:t>
      </w:r>
      <w:r w:rsidR="000F68E0">
        <w:t>’</w:t>
      </w:r>
      <w:r w:rsidRPr="00AE4912">
        <w:t>amendements audit Règlement ou de toute série d</w:t>
      </w:r>
      <w:r w:rsidR="000F68E0">
        <w:t>’</w:t>
      </w:r>
      <w:r w:rsidRPr="00AE4912">
        <w:t>amendements antérieure.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12.3</w:t>
      </w:r>
      <w:r w:rsidRPr="00AE4912">
        <w:tab/>
        <w:t>Les homologations et les extensions d</w:t>
      </w:r>
      <w:r w:rsidR="000F68E0">
        <w:t>’</w:t>
      </w:r>
      <w:r w:rsidRPr="00AE4912">
        <w:t>homologations accordées en vertu du présent Règlement, y compris en application d</w:t>
      </w:r>
      <w:r w:rsidR="000F68E0">
        <w:t>’</w:t>
      </w:r>
      <w:r w:rsidRPr="00AE4912">
        <w:t>une série d</w:t>
      </w:r>
      <w:r w:rsidR="000F68E0">
        <w:t>’</w:t>
      </w:r>
      <w:r w:rsidRPr="00AE4912">
        <w:t>amendements antérieure, restent valables indéfiniment.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12.4</w:t>
      </w:r>
      <w:r w:rsidRPr="00AE4912">
        <w:tab/>
        <w:t>Les Parties contractantes appliquant le présent Règlement doivent continuer à homologuer des dispositifs conformément à la présente série d</w:t>
      </w:r>
      <w:r w:rsidR="000F68E0">
        <w:t>’</w:t>
      </w:r>
      <w:r w:rsidRPr="00AE4912">
        <w:t>amendements audit Règlement et à toute série d</w:t>
      </w:r>
      <w:r w:rsidR="000F68E0">
        <w:t>’</w:t>
      </w:r>
      <w:r w:rsidRPr="00AE4912">
        <w:t>amendements antérieure, à condition que ces dispositifs soient destinés à servir de pièces de rechange sur des véhicules en service.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12.5</w:t>
      </w:r>
      <w:r w:rsidRPr="00AE4912">
        <w:tab/>
        <w:t>Les Parties contractantes appliquant le présent Règlement doivent continuer à autoriser le montage ou l</w:t>
      </w:r>
      <w:r w:rsidR="000F68E0">
        <w:t>’</w:t>
      </w:r>
      <w:r w:rsidRPr="00AE4912">
        <w:t>utilisation sur un véhicule en service d</w:t>
      </w:r>
      <w:r w:rsidR="000F68E0">
        <w:t>’</w:t>
      </w:r>
      <w:r w:rsidRPr="00AE4912">
        <w:t>un dispositif homologué en vertu de ce Règlement tel que modifié par toute série d</w:t>
      </w:r>
      <w:r w:rsidR="000F68E0">
        <w:t>’</w:t>
      </w:r>
      <w:r w:rsidRPr="00AE4912">
        <w:t>amendements antérieure, à condition que ce dispositif soit destiné à servir de pièce de rechange. ».</w:t>
      </w:r>
    </w:p>
    <w:p w:rsidR="001C5581" w:rsidRPr="00AE4912" w:rsidRDefault="001C5581" w:rsidP="003A00CC">
      <w:pPr>
        <w:pStyle w:val="H1G"/>
      </w:pPr>
      <w:r w:rsidRPr="00AE4912">
        <w:tab/>
        <w:t>K.</w:t>
      </w:r>
      <w:r w:rsidRPr="00AE4912">
        <w:tab/>
        <w:t>Proposition de série 02 d</w:t>
      </w:r>
      <w:r w:rsidR="000F68E0">
        <w:t>’</w:t>
      </w:r>
      <w:r w:rsidRPr="00AE4912">
        <w:t>amendements au Règlement n</w:t>
      </w:r>
      <w:r w:rsidRPr="00AE4912">
        <w:rPr>
          <w:vertAlign w:val="superscript"/>
        </w:rPr>
        <w:t>o</w:t>
      </w:r>
      <w:r w:rsidRPr="00AE4912">
        <w:t> 70</w:t>
      </w:r>
      <w:r w:rsidRPr="003C6471">
        <w:rPr>
          <w:rStyle w:val="FootnoteReference"/>
          <w:b w:val="0"/>
        </w:rPr>
        <w:footnoteReference w:id="13"/>
      </w:r>
    </w:p>
    <w:p w:rsidR="001C5581" w:rsidRPr="00AE4912" w:rsidRDefault="001C5581" w:rsidP="003A00CC">
      <w:pPr>
        <w:pStyle w:val="SingleTxtG"/>
        <w:keepNext/>
        <w:rPr>
          <w:i/>
          <w:iCs/>
        </w:rPr>
      </w:pPr>
      <w:r w:rsidRPr="00AE4912">
        <w:rPr>
          <w:i/>
          <w:iCs/>
        </w:rPr>
        <w:t>Paragraphe 13</w:t>
      </w:r>
      <w:r w:rsidRPr="00AE4912">
        <w:t>, lire</w:t>
      </w:r>
      <w:r w:rsidR="00077647">
        <w:t> :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« 13.</w:t>
      </w:r>
      <w:r w:rsidRPr="00AE4912">
        <w:tab/>
        <w:t>Dispositions transitoires</w:t>
      </w:r>
    </w:p>
    <w:p w:rsidR="001C5581" w:rsidRPr="00EE4DBE" w:rsidRDefault="001C5581" w:rsidP="00C81CD6">
      <w:pPr>
        <w:pStyle w:val="SingleTxtG"/>
        <w:ind w:left="2268" w:hanging="1134"/>
        <w:rPr>
          <w:spacing w:val="-2"/>
        </w:rPr>
      </w:pPr>
      <w:r w:rsidRPr="00AE4912">
        <w:t>13.1</w:t>
      </w:r>
      <w:r w:rsidRPr="00AE4912">
        <w:tab/>
      </w:r>
      <w:r w:rsidRPr="00EE4DBE">
        <w:rPr>
          <w:spacing w:val="-2"/>
        </w:rPr>
        <w:t>À compter de [24] mois après la date officielle d</w:t>
      </w:r>
      <w:r w:rsidR="000F68E0">
        <w:rPr>
          <w:spacing w:val="-2"/>
        </w:rPr>
        <w:t>’</w:t>
      </w:r>
      <w:r w:rsidRPr="00EE4DBE">
        <w:rPr>
          <w:spacing w:val="-2"/>
        </w:rPr>
        <w:t xml:space="preserve">entrée en vigueur du Règlement </w:t>
      </w:r>
      <w:r w:rsidR="00EE4DBE" w:rsidRPr="00EE4DBE">
        <w:rPr>
          <w:rFonts w:eastAsia="MS Mincho"/>
          <w:spacing w:val="-2"/>
        </w:rPr>
        <w:t>n</w:t>
      </w:r>
      <w:r w:rsidR="00EE4DBE" w:rsidRPr="00EE4DBE">
        <w:rPr>
          <w:rFonts w:eastAsia="MS Mincho"/>
          <w:spacing w:val="-2"/>
          <w:vertAlign w:val="superscript"/>
        </w:rPr>
        <w:t>o</w:t>
      </w:r>
      <w:r w:rsidR="00EE4DBE" w:rsidRPr="00EE4DBE">
        <w:rPr>
          <w:spacing w:val="-2"/>
        </w:rPr>
        <w:t> </w:t>
      </w:r>
      <w:r w:rsidRPr="00EE4DBE">
        <w:rPr>
          <w:spacing w:val="-2"/>
        </w:rPr>
        <w:t>[RRD], les Parties contractantes appliquant le présent Règlement doivent cesser d</w:t>
      </w:r>
      <w:r w:rsidR="000F68E0">
        <w:rPr>
          <w:spacing w:val="-2"/>
        </w:rPr>
        <w:t>’</w:t>
      </w:r>
      <w:r w:rsidRPr="00EE4DBE">
        <w:rPr>
          <w:spacing w:val="-2"/>
        </w:rPr>
        <w:t>accorder des homologations en application dudit Règlement.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13.2</w:t>
      </w:r>
      <w:r w:rsidRPr="00AE4912">
        <w:tab/>
        <w:t>Les Parties contractantes appliquant le présent Règlement ne doivent pas refuser d</w:t>
      </w:r>
      <w:r w:rsidR="000F68E0">
        <w:t>’</w:t>
      </w:r>
      <w:r w:rsidRPr="00AE4912">
        <w:t>accorder des extensions d</w:t>
      </w:r>
      <w:r w:rsidR="000F68E0">
        <w:t>’</w:t>
      </w:r>
      <w:r w:rsidRPr="00AE4912">
        <w:t>homologations délivrées en application de la présente série d</w:t>
      </w:r>
      <w:r w:rsidR="000F68E0">
        <w:t>’</w:t>
      </w:r>
      <w:r w:rsidRPr="00AE4912">
        <w:t>amendements audit Règlement ou de toute série d</w:t>
      </w:r>
      <w:r w:rsidR="000F68E0">
        <w:t>’</w:t>
      </w:r>
      <w:r w:rsidRPr="00AE4912">
        <w:t>amendements antérieure.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13.3</w:t>
      </w:r>
      <w:r w:rsidRPr="00AE4912">
        <w:tab/>
        <w:t>Les homologations et les extensions d</w:t>
      </w:r>
      <w:r w:rsidR="000F68E0">
        <w:t>’</w:t>
      </w:r>
      <w:r w:rsidRPr="00AE4912">
        <w:t>homologations accordées en vertu du présent Règlement, y compris en application d</w:t>
      </w:r>
      <w:r w:rsidR="000F68E0">
        <w:t>’</w:t>
      </w:r>
      <w:r w:rsidRPr="00AE4912">
        <w:t>une série d</w:t>
      </w:r>
      <w:r w:rsidR="000F68E0">
        <w:t>’</w:t>
      </w:r>
      <w:r w:rsidRPr="00AE4912">
        <w:t>amendements antérieure, restent valables indéfiniment.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13.4</w:t>
      </w:r>
      <w:r w:rsidRPr="00AE4912">
        <w:tab/>
        <w:t>Les Parties contractantes appliquant le présent Règlement doivent continuer à homologuer des dispositifs conformément à la présente série d</w:t>
      </w:r>
      <w:r w:rsidR="000F68E0">
        <w:t>’</w:t>
      </w:r>
      <w:r w:rsidRPr="00AE4912">
        <w:t>amendements audit Règlement et à toute série d</w:t>
      </w:r>
      <w:r w:rsidR="000F68E0">
        <w:t>’</w:t>
      </w:r>
      <w:r w:rsidRPr="00AE4912">
        <w:t>amendements antérieure, à condition que ces dispositifs soient destinés à servir de pièces de rechange sur des véhicules en service.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13.5</w:t>
      </w:r>
      <w:r w:rsidRPr="00AE4912">
        <w:tab/>
        <w:t>Les Parties contractantes appliquant le présent Règlement doivent continuer à autoriser le montage ou l</w:t>
      </w:r>
      <w:r w:rsidR="000F68E0">
        <w:t>’</w:t>
      </w:r>
      <w:r w:rsidRPr="00AE4912">
        <w:t>utilisation sur un véhicule en service d</w:t>
      </w:r>
      <w:r w:rsidR="000F68E0">
        <w:t>’</w:t>
      </w:r>
      <w:r w:rsidRPr="00AE4912">
        <w:t>un dispositif homologué en vertu de ce Règlement tel que modifié par toute série d</w:t>
      </w:r>
      <w:r w:rsidR="000F68E0">
        <w:t>’</w:t>
      </w:r>
      <w:r w:rsidRPr="00AE4912">
        <w:t>amendements antérieure, à condition que ce dispositif soit destiné à servir de pièce de rechange. ».</w:t>
      </w:r>
    </w:p>
    <w:p w:rsidR="001C5581" w:rsidRPr="00AE4912" w:rsidRDefault="001C5581" w:rsidP="003A00CC">
      <w:pPr>
        <w:pStyle w:val="H1G"/>
      </w:pPr>
      <w:r w:rsidRPr="00AE4912">
        <w:lastRenderedPageBreak/>
        <w:tab/>
        <w:t>L.</w:t>
      </w:r>
      <w:r w:rsidRPr="00AE4912">
        <w:tab/>
        <w:t>Proposition de série 01 d</w:t>
      </w:r>
      <w:r w:rsidR="000F68E0">
        <w:t>’</w:t>
      </w:r>
      <w:r w:rsidRPr="00AE4912">
        <w:t>amendements au Règlement n</w:t>
      </w:r>
      <w:r w:rsidRPr="00AE4912">
        <w:rPr>
          <w:vertAlign w:val="superscript"/>
        </w:rPr>
        <w:t>o</w:t>
      </w:r>
      <w:r w:rsidRPr="00AE4912">
        <w:t> 77</w:t>
      </w:r>
      <w:r w:rsidRPr="003C6471">
        <w:rPr>
          <w:rStyle w:val="FootnoteReference"/>
          <w:b w:val="0"/>
        </w:rPr>
        <w:footnoteReference w:id="14"/>
      </w:r>
    </w:p>
    <w:p w:rsidR="001C5581" w:rsidRPr="00AE4912" w:rsidRDefault="001C5581" w:rsidP="003A00CC">
      <w:pPr>
        <w:pStyle w:val="SingleTxtG"/>
        <w:keepNext/>
        <w:rPr>
          <w:i/>
          <w:iCs/>
        </w:rPr>
      </w:pPr>
      <w:r w:rsidRPr="00AE4912">
        <w:rPr>
          <w:i/>
          <w:iCs/>
        </w:rPr>
        <w:t>Paragraphe 16</w:t>
      </w:r>
      <w:r w:rsidRPr="00AE4912">
        <w:t>, lire</w:t>
      </w:r>
      <w:r w:rsidR="00077647">
        <w:t> :</w:t>
      </w:r>
    </w:p>
    <w:p w:rsidR="001C5581" w:rsidRPr="00AE4912" w:rsidRDefault="001C5581" w:rsidP="00EE4DBE">
      <w:pPr>
        <w:pStyle w:val="SingleTxtG"/>
        <w:keepNext/>
        <w:ind w:left="2268" w:hanging="1134"/>
      </w:pPr>
      <w:r w:rsidRPr="00AE4912">
        <w:t>« 16.</w:t>
      </w:r>
      <w:r w:rsidRPr="00AE4912">
        <w:tab/>
        <w:t>Dispositions transitoires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16.1</w:t>
      </w:r>
      <w:r w:rsidRPr="00AE4912">
        <w:tab/>
      </w:r>
      <w:r w:rsidRPr="003C6471">
        <w:rPr>
          <w:spacing w:val="-1"/>
        </w:rPr>
        <w:t>À compter de [24] mois après la date officielle d</w:t>
      </w:r>
      <w:r w:rsidR="000F68E0">
        <w:rPr>
          <w:spacing w:val="-1"/>
        </w:rPr>
        <w:t>’</w:t>
      </w:r>
      <w:r w:rsidRPr="003C6471">
        <w:rPr>
          <w:spacing w:val="-1"/>
        </w:rPr>
        <w:t xml:space="preserve">entrée en vigueur du Règlement </w:t>
      </w:r>
      <w:r w:rsidR="00EE4DBE" w:rsidRPr="00EE4DBE">
        <w:rPr>
          <w:rFonts w:eastAsia="MS Mincho"/>
          <w:spacing w:val="-1"/>
        </w:rPr>
        <w:t>n</w:t>
      </w:r>
      <w:r w:rsidR="00EE4DBE" w:rsidRPr="00EE4DBE">
        <w:rPr>
          <w:rFonts w:eastAsia="MS Mincho"/>
          <w:spacing w:val="-1"/>
          <w:vertAlign w:val="superscript"/>
        </w:rPr>
        <w:t>o</w:t>
      </w:r>
      <w:r w:rsidR="00EE4DBE">
        <w:rPr>
          <w:spacing w:val="-1"/>
        </w:rPr>
        <w:t> </w:t>
      </w:r>
      <w:r w:rsidRPr="003C6471">
        <w:rPr>
          <w:spacing w:val="-1"/>
        </w:rPr>
        <w:t>[LSD], les Parties contractantes appliquant le présent Règlement doivent cesser d</w:t>
      </w:r>
      <w:r w:rsidR="000F68E0">
        <w:rPr>
          <w:spacing w:val="-1"/>
        </w:rPr>
        <w:t>’</w:t>
      </w:r>
      <w:r w:rsidRPr="003C6471">
        <w:rPr>
          <w:spacing w:val="-1"/>
        </w:rPr>
        <w:t>accorder des homologations en application dudit Règlement.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16.2</w:t>
      </w:r>
      <w:r w:rsidRPr="00AE4912">
        <w:tab/>
        <w:t>Les Parties contractantes appliquant le présent Règlement ne doivent pas refuser d</w:t>
      </w:r>
      <w:r w:rsidR="000F68E0">
        <w:t>’</w:t>
      </w:r>
      <w:r w:rsidRPr="00AE4912">
        <w:t>accorder des extensions d</w:t>
      </w:r>
      <w:r w:rsidR="000F68E0">
        <w:t>’</w:t>
      </w:r>
      <w:r w:rsidRPr="00AE4912">
        <w:t>homologations délivrées en application de la présente série d</w:t>
      </w:r>
      <w:r w:rsidR="000F68E0">
        <w:t>’</w:t>
      </w:r>
      <w:r w:rsidRPr="00AE4912">
        <w:t>amendements audit Règlement ou de toute série d</w:t>
      </w:r>
      <w:r w:rsidR="000F68E0">
        <w:t>’</w:t>
      </w:r>
      <w:r w:rsidRPr="00AE4912">
        <w:t>amendements antérieure.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16.3</w:t>
      </w:r>
      <w:r w:rsidRPr="00AE4912">
        <w:tab/>
        <w:t>Les homologations et les extensions d</w:t>
      </w:r>
      <w:r w:rsidR="000F68E0">
        <w:t>’</w:t>
      </w:r>
      <w:r w:rsidRPr="00AE4912">
        <w:t>homologations accordées en vertu du présent Règlement, y compris en application d</w:t>
      </w:r>
      <w:r w:rsidR="000F68E0">
        <w:t>’</w:t>
      </w:r>
      <w:r w:rsidRPr="00AE4912">
        <w:t>une série d</w:t>
      </w:r>
      <w:r w:rsidR="000F68E0">
        <w:t>’</w:t>
      </w:r>
      <w:r w:rsidRPr="00AE4912">
        <w:t>amendements antérieure, restent valables indéfiniment.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16.4</w:t>
      </w:r>
      <w:r w:rsidRPr="00AE4912">
        <w:tab/>
        <w:t>Les Parties contractantes appliquant le présent Règlement doivent continuer à homologuer des dispositifs conformément à la présente série d</w:t>
      </w:r>
      <w:r w:rsidR="000F68E0">
        <w:t>’</w:t>
      </w:r>
      <w:r w:rsidRPr="00AE4912">
        <w:t>amendements audit Règlement et à toute série d</w:t>
      </w:r>
      <w:r w:rsidR="000F68E0">
        <w:t>’</w:t>
      </w:r>
      <w:r w:rsidRPr="00AE4912">
        <w:t>amendements antérieure, à condition que ces dispositifs soient destinés à servir de pièces de rechange sur des véhicules en service.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16.5</w:t>
      </w:r>
      <w:r w:rsidRPr="00AE4912">
        <w:tab/>
        <w:t>Les Parties contractantes appliquant le présent Règlement doivent continuer à autoriser le montage ou l</w:t>
      </w:r>
      <w:r w:rsidR="000F68E0">
        <w:t>’</w:t>
      </w:r>
      <w:r w:rsidRPr="00AE4912">
        <w:t>utilisation sur un véhicule en service d</w:t>
      </w:r>
      <w:r w:rsidR="000F68E0">
        <w:t>’</w:t>
      </w:r>
      <w:r w:rsidRPr="00AE4912">
        <w:t>un dispositif homologué en vertu de ce Règlement tel que modifié par toute série d</w:t>
      </w:r>
      <w:r w:rsidR="000F68E0">
        <w:t>’</w:t>
      </w:r>
      <w:r w:rsidRPr="00AE4912">
        <w:t>amendements antérieure, à condition que ce dispositif soit destiné à servir de pièce de rechange. ».</w:t>
      </w:r>
    </w:p>
    <w:p w:rsidR="001C5581" w:rsidRPr="00AE4912" w:rsidRDefault="001C5581" w:rsidP="003A00CC">
      <w:pPr>
        <w:pStyle w:val="H1G"/>
      </w:pPr>
      <w:r w:rsidRPr="00AE4912">
        <w:tab/>
        <w:t>M.</w:t>
      </w:r>
      <w:r w:rsidRPr="00AE4912">
        <w:tab/>
        <w:t>Proposition de série 01 d</w:t>
      </w:r>
      <w:r w:rsidR="000F68E0">
        <w:t>’</w:t>
      </w:r>
      <w:r w:rsidRPr="00AE4912">
        <w:t>amendements au Règlement n</w:t>
      </w:r>
      <w:r w:rsidRPr="00AE4912">
        <w:rPr>
          <w:vertAlign w:val="superscript"/>
        </w:rPr>
        <w:t>o</w:t>
      </w:r>
      <w:r w:rsidRPr="00AE4912">
        <w:t> 87</w:t>
      </w:r>
      <w:r w:rsidRPr="003C6471">
        <w:rPr>
          <w:rStyle w:val="FootnoteReference"/>
          <w:b w:val="0"/>
        </w:rPr>
        <w:footnoteReference w:id="15"/>
      </w:r>
    </w:p>
    <w:p w:rsidR="001C5581" w:rsidRPr="00AE4912" w:rsidRDefault="001C5581" w:rsidP="003A00CC">
      <w:pPr>
        <w:pStyle w:val="SingleTxtG"/>
        <w:keepNext/>
      </w:pPr>
      <w:r w:rsidRPr="00AE4912">
        <w:rPr>
          <w:i/>
          <w:iCs/>
        </w:rPr>
        <w:t>Ajouter un nouveau paragraphe 17</w:t>
      </w:r>
      <w:r w:rsidRPr="00AE4912">
        <w:t>, libellé comme suit</w:t>
      </w:r>
      <w:r w:rsidR="00077647">
        <w:t> :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« 17.</w:t>
      </w:r>
      <w:r w:rsidRPr="00AE4912">
        <w:tab/>
        <w:t>Dispositions transitoires</w:t>
      </w:r>
    </w:p>
    <w:p w:rsidR="001C5581" w:rsidRPr="00EE4DBE" w:rsidRDefault="001C5581" w:rsidP="00C81CD6">
      <w:pPr>
        <w:pStyle w:val="SingleTxtG"/>
        <w:ind w:left="2268" w:hanging="1134"/>
        <w:rPr>
          <w:spacing w:val="-1"/>
        </w:rPr>
      </w:pPr>
      <w:r w:rsidRPr="00AE4912">
        <w:t>17.1</w:t>
      </w:r>
      <w:r w:rsidRPr="00AE4912">
        <w:tab/>
      </w:r>
      <w:r w:rsidRPr="00EE4DBE">
        <w:rPr>
          <w:spacing w:val="-1"/>
        </w:rPr>
        <w:t>À compter de [24] mois après la date officielle d</w:t>
      </w:r>
      <w:r w:rsidR="000F68E0">
        <w:rPr>
          <w:spacing w:val="-1"/>
        </w:rPr>
        <w:t>’</w:t>
      </w:r>
      <w:r w:rsidRPr="00EE4DBE">
        <w:rPr>
          <w:spacing w:val="-1"/>
        </w:rPr>
        <w:t xml:space="preserve">entrée en vigueur du Règlement </w:t>
      </w:r>
      <w:r w:rsidR="00EE4DBE" w:rsidRPr="00EE4DBE">
        <w:rPr>
          <w:rFonts w:eastAsia="MS Mincho"/>
          <w:spacing w:val="-1"/>
        </w:rPr>
        <w:t>n</w:t>
      </w:r>
      <w:r w:rsidR="00EE4DBE" w:rsidRPr="00EE4DBE">
        <w:rPr>
          <w:rFonts w:eastAsia="MS Mincho"/>
          <w:spacing w:val="-1"/>
          <w:vertAlign w:val="superscript"/>
        </w:rPr>
        <w:t>o</w:t>
      </w:r>
      <w:r w:rsidR="00EE4DBE" w:rsidRPr="00EE4DBE">
        <w:rPr>
          <w:spacing w:val="-1"/>
        </w:rPr>
        <w:t> </w:t>
      </w:r>
      <w:r w:rsidRPr="00EE4DBE">
        <w:rPr>
          <w:spacing w:val="-1"/>
        </w:rPr>
        <w:t>[LSD], les Parties contractantes appliquant le présent Règlement doivent cesser d</w:t>
      </w:r>
      <w:r w:rsidR="000F68E0">
        <w:rPr>
          <w:spacing w:val="-1"/>
        </w:rPr>
        <w:t>’</w:t>
      </w:r>
      <w:r w:rsidRPr="00EE4DBE">
        <w:rPr>
          <w:spacing w:val="-1"/>
        </w:rPr>
        <w:t>accorder des homologations en application dudit Règlement.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17.2</w:t>
      </w:r>
      <w:r w:rsidRPr="00AE4912">
        <w:tab/>
        <w:t>Les Parties contractantes appliquant le présent Règlement ne doivent pas refuser d</w:t>
      </w:r>
      <w:r w:rsidR="000F68E0">
        <w:t>’</w:t>
      </w:r>
      <w:r w:rsidRPr="00AE4912">
        <w:t>accorder des extensions d</w:t>
      </w:r>
      <w:r w:rsidR="000F68E0">
        <w:t>’</w:t>
      </w:r>
      <w:r w:rsidRPr="00AE4912">
        <w:t>homologations délivrées en application de la présente série d</w:t>
      </w:r>
      <w:r w:rsidR="000F68E0">
        <w:t>’</w:t>
      </w:r>
      <w:r w:rsidRPr="00AE4912">
        <w:t>amendements audit Règlement ou de toute série d</w:t>
      </w:r>
      <w:r w:rsidR="000F68E0">
        <w:t>’</w:t>
      </w:r>
      <w:r w:rsidRPr="00AE4912">
        <w:t>amendements antérieure.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17.3</w:t>
      </w:r>
      <w:r w:rsidRPr="00AE4912">
        <w:tab/>
        <w:t>Les homologations et les extensions d</w:t>
      </w:r>
      <w:r w:rsidR="000F68E0">
        <w:t>’</w:t>
      </w:r>
      <w:r w:rsidRPr="00AE4912">
        <w:t>homologations accordées en vertu du présent Règlement, y compris en application d</w:t>
      </w:r>
      <w:r w:rsidR="000F68E0">
        <w:t>’</w:t>
      </w:r>
      <w:r w:rsidRPr="00AE4912">
        <w:t>une série d</w:t>
      </w:r>
      <w:r w:rsidR="000F68E0">
        <w:t>’</w:t>
      </w:r>
      <w:r w:rsidRPr="00AE4912">
        <w:t>amendements antérieure, restent valables indéfiniment.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17.4</w:t>
      </w:r>
      <w:r w:rsidRPr="00AE4912">
        <w:tab/>
        <w:t>Les Parties contractantes appliquant le présent Règlement doivent continuer à homologuer des dispositifs conformément à la présente série d</w:t>
      </w:r>
      <w:r w:rsidR="000F68E0">
        <w:t>’</w:t>
      </w:r>
      <w:r w:rsidRPr="00AE4912">
        <w:t>amendements audit Règlement et à toute série d</w:t>
      </w:r>
      <w:r w:rsidR="000F68E0">
        <w:t>’</w:t>
      </w:r>
      <w:r w:rsidRPr="00AE4912">
        <w:t>amendements antérieure, à condition que ces dispositifs soient destinés à servir de pièces de rechange sur des véhicules en service.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17.5</w:t>
      </w:r>
      <w:r w:rsidRPr="00AE4912">
        <w:tab/>
        <w:t>Les Parties contractantes appliquant le présent Règlement doivent continuer à autoriser le montage ou l</w:t>
      </w:r>
      <w:r w:rsidR="000F68E0">
        <w:t>’</w:t>
      </w:r>
      <w:r w:rsidRPr="00AE4912">
        <w:t>utilisation sur un véhicule en service d</w:t>
      </w:r>
      <w:r w:rsidR="000F68E0">
        <w:t>’</w:t>
      </w:r>
      <w:r w:rsidRPr="00AE4912">
        <w:t>un dispositif homologué en vertu de ce Règlement tel que modifié par toute série d</w:t>
      </w:r>
      <w:r w:rsidR="000F68E0">
        <w:t>’</w:t>
      </w:r>
      <w:r w:rsidRPr="00AE4912">
        <w:t>amendements antérieure, à condition que ce dispositif soit destiné à servir de pièce de rechange. ».</w:t>
      </w:r>
    </w:p>
    <w:p w:rsidR="001C5581" w:rsidRPr="00AE4912" w:rsidRDefault="001C5581" w:rsidP="003A00CC">
      <w:pPr>
        <w:pStyle w:val="H1G"/>
      </w:pPr>
      <w:r w:rsidRPr="00AE4912">
        <w:lastRenderedPageBreak/>
        <w:tab/>
        <w:t>N.</w:t>
      </w:r>
      <w:r w:rsidRPr="00AE4912">
        <w:tab/>
        <w:t>Proposition de série 01 d</w:t>
      </w:r>
      <w:r w:rsidR="000F68E0">
        <w:t>’</w:t>
      </w:r>
      <w:r w:rsidRPr="00AE4912">
        <w:t>amendements au Règlement n</w:t>
      </w:r>
      <w:r w:rsidRPr="00AE4912">
        <w:rPr>
          <w:vertAlign w:val="superscript"/>
        </w:rPr>
        <w:t>o</w:t>
      </w:r>
      <w:r w:rsidRPr="00AE4912">
        <w:t> 91</w:t>
      </w:r>
      <w:r w:rsidRPr="003C6471">
        <w:rPr>
          <w:rStyle w:val="FootnoteReference"/>
          <w:b w:val="0"/>
        </w:rPr>
        <w:footnoteReference w:id="16"/>
      </w:r>
    </w:p>
    <w:p w:rsidR="001C5581" w:rsidRPr="00AE4912" w:rsidRDefault="001C5581" w:rsidP="003A00CC">
      <w:pPr>
        <w:pStyle w:val="SingleTxtG"/>
        <w:keepNext/>
        <w:rPr>
          <w:i/>
          <w:iCs/>
        </w:rPr>
      </w:pPr>
      <w:r w:rsidRPr="00AE4912">
        <w:rPr>
          <w:i/>
          <w:iCs/>
        </w:rPr>
        <w:t>Paragraphe 15</w:t>
      </w:r>
      <w:r w:rsidRPr="00AE4912">
        <w:t>, lire</w:t>
      </w:r>
      <w:r w:rsidR="00077647">
        <w:t> :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« 15.</w:t>
      </w:r>
      <w:r w:rsidRPr="00AE4912">
        <w:tab/>
        <w:t>Dispositions transitoires</w:t>
      </w:r>
    </w:p>
    <w:p w:rsidR="001C5581" w:rsidRPr="00CB5D4C" w:rsidRDefault="001C5581" w:rsidP="00C81CD6">
      <w:pPr>
        <w:pStyle w:val="SingleTxtG"/>
        <w:ind w:left="2268" w:hanging="1134"/>
        <w:rPr>
          <w:spacing w:val="-2"/>
        </w:rPr>
      </w:pPr>
      <w:r w:rsidRPr="00CB5D4C">
        <w:rPr>
          <w:spacing w:val="-2"/>
        </w:rPr>
        <w:t>15.1</w:t>
      </w:r>
      <w:r w:rsidRPr="00CB5D4C">
        <w:rPr>
          <w:spacing w:val="-2"/>
        </w:rPr>
        <w:tab/>
        <w:t>À compter de [24] mois après la date officielle d</w:t>
      </w:r>
      <w:r w:rsidR="000F68E0">
        <w:rPr>
          <w:spacing w:val="-2"/>
        </w:rPr>
        <w:t>’</w:t>
      </w:r>
      <w:r w:rsidRPr="00CB5D4C">
        <w:rPr>
          <w:spacing w:val="-2"/>
        </w:rPr>
        <w:t xml:space="preserve">entrée en vigueur du Règlement </w:t>
      </w:r>
      <w:r w:rsidR="00EE4DBE" w:rsidRPr="00EE4DBE">
        <w:rPr>
          <w:rFonts w:eastAsia="MS Mincho"/>
          <w:spacing w:val="-2"/>
        </w:rPr>
        <w:t>n</w:t>
      </w:r>
      <w:r w:rsidR="00EE4DBE" w:rsidRPr="00EE4DBE">
        <w:rPr>
          <w:rFonts w:eastAsia="MS Mincho"/>
          <w:spacing w:val="-2"/>
          <w:vertAlign w:val="superscript"/>
        </w:rPr>
        <w:t>o</w:t>
      </w:r>
      <w:r w:rsidR="00EE4DBE">
        <w:rPr>
          <w:spacing w:val="-2"/>
        </w:rPr>
        <w:t> </w:t>
      </w:r>
      <w:r w:rsidRPr="00CB5D4C">
        <w:rPr>
          <w:spacing w:val="-2"/>
        </w:rPr>
        <w:t>[LSD], les Parties contractantes appliquant le présent Règlement doivent cesser d</w:t>
      </w:r>
      <w:r w:rsidR="000F68E0">
        <w:rPr>
          <w:spacing w:val="-2"/>
        </w:rPr>
        <w:t>’</w:t>
      </w:r>
      <w:r w:rsidRPr="00CB5D4C">
        <w:rPr>
          <w:spacing w:val="-2"/>
        </w:rPr>
        <w:t>accorder des homologations en application dudit Règlement.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15.2</w:t>
      </w:r>
      <w:r w:rsidRPr="00AE4912">
        <w:tab/>
        <w:t>Les Parties contractantes appliquant le présent Règlement ne doivent pas refuser d</w:t>
      </w:r>
      <w:r w:rsidR="000F68E0">
        <w:t>’</w:t>
      </w:r>
      <w:r w:rsidRPr="00AE4912">
        <w:t>accorder des extensions d</w:t>
      </w:r>
      <w:r w:rsidR="000F68E0">
        <w:t>’</w:t>
      </w:r>
      <w:r w:rsidRPr="00AE4912">
        <w:t>homologations délivrées en application de la présente série d</w:t>
      </w:r>
      <w:r w:rsidR="000F68E0">
        <w:t>’</w:t>
      </w:r>
      <w:r w:rsidRPr="00AE4912">
        <w:t>amendements audit Règlement ou de toute série d</w:t>
      </w:r>
      <w:r w:rsidR="000F68E0">
        <w:t>’</w:t>
      </w:r>
      <w:r w:rsidRPr="00AE4912">
        <w:t>amendements antérieure.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15.3</w:t>
      </w:r>
      <w:r w:rsidRPr="00AE4912">
        <w:tab/>
        <w:t>Les homologations et les extensions d</w:t>
      </w:r>
      <w:r w:rsidR="000F68E0">
        <w:t>’</w:t>
      </w:r>
      <w:r w:rsidRPr="00AE4912">
        <w:t>homologations accordées en vertu du présent Règlement, y compris en application d</w:t>
      </w:r>
      <w:r w:rsidR="000F68E0">
        <w:t>’</w:t>
      </w:r>
      <w:r w:rsidRPr="00AE4912">
        <w:t>une série d</w:t>
      </w:r>
      <w:r w:rsidR="000F68E0">
        <w:t>’</w:t>
      </w:r>
      <w:r w:rsidRPr="00AE4912">
        <w:t>amendements antérieure, restent valables indéfiniment.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15.4</w:t>
      </w:r>
      <w:r w:rsidRPr="00AE4912">
        <w:tab/>
        <w:t>Les Parties contractantes appliquant le présent Règlement doivent continuer à homologuer des dispositifs conformément à la présente série d</w:t>
      </w:r>
      <w:r w:rsidR="000F68E0">
        <w:t>’</w:t>
      </w:r>
      <w:r w:rsidRPr="00AE4912">
        <w:t>amendements audit Règlement et à toute série d</w:t>
      </w:r>
      <w:r w:rsidR="000F68E0">
        <w:t>’</w:t>
      </w:r>
      <w:r w:rsidRPr="00AE4912">
        <w:t>amendements antérieure, à condition que ces dispositifs soient destinés à servir de pièces de rechange sur des véhicules en service.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15.5</w:t>
      </w:r>
      <w:r w:rsidRPr="00AE4912">
        <w:tab/>
        <w:t>Les Parties contractantes appliquant le présent Règlement doivent continuer à autoriser le montage ou l</w:t>
      </w:r>
      <w:r w:rsidR="000F68E0">
        <w:t>’</w:t>
      </w:r>
      <w:r w:rsidRPr="00AE4912">
        <w:t>utilisation sur un véhicule en service d</w:t>
      </w:r>
      <w:r w:rsidR="000F68E0">
        <w:t>’</w:t>
      </w:r>
      <w:r w:rsidRPr="00AE4912">
        <w:t>un dispositif homologué en vertu de ce Règlement tel que modifié par toute série d</w:t>
      </w:r>
      <w:r w:rsidR="000F68E0">
        <w:t>’</w:t>
      </w:r>
      <w:r w:rsidRPr="00AE4912">
        <w:t>amendements antérieure, à condition que ce dispositif soit destiné à servir de pièce de rechange. ».</w:t>
      </w:r>
    </w:p>
    <w:p w:rsidR="001C5581" w:rsidRPr="00AE4912" w:rsidRDefault="001C5581" w:rsidP="003A00CC">
      <w:pPr>
        <w:pStyle w:val="H1G"/>
      </w:pPr>
      <w:r w:rsidRPr="00AE4912">
        <w:tab/>
        <w:t>O.</w:t>
      </w:r>
      <w:r w:rsidRPr="00AE4912">
        <w:tab/>
        <w:t>Proposition de série 02 d</w:t>
      </w:r>
      <w:r w:rsidR="000F68E0">
        <w:t>’</w:t>
      </w:r>
      <w:r w:rsidRPr="00AE4912">
        <w:t>amendements au Règlement n</w:t>
      </w:r>
      <w:r w:rsidRPr="00AE4912">
        <w:rPr>
          <w:vertAlign w:val="superscript"/>
        </w:rPr>
        <w:t>o</w:t>
      </w:r>
      <w:r w:rsidRPr="00AE4912">
        <w:t> 98</w:t>
      </w:r>
      <w:r w:rsidRPr="003C6471">
        <w:rPr>
          <w:rStyle w:val="FootnoteReference"/>
          <w:b w:val="0"/>
        </w:rPr>
        <w:footnoteReference w:id="17"/>
      </w:r>
    </w:p>
    <w:p w:rsidR="001C5581" w:rsidRPr="00AE4912" w:rsidRDefault="001C5581" w:rsidP="003A00CC">
      <w:pPr>
        <w:pStyle w:val="SingleTxtG"/>
        <w:keepNext/>
        <w:rPr>
          <w:i/>
          <w:iCs/>
        </w:rPr>
      </w:pPr>
      <w:r w:rsidRPr="00AE4912">
        <w:rPr>
          <w:i/>
          <w:iCs/>
        </w:rPr>
        <w:t>Paragraphe 13</w:t>
      </w:r>
      <w:r w:rsidRPr="00AE4912">
        <w:t>, lire</w:t>
      </w:r>
      <w:r w:rsidR="00077647">
        <w:t> :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« 13.</w:t>
      </w:r>
      <w:r w:rsidRPr="00AE4912">
        <w:tab/>
        <w:t>Dispositions transitoires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13.1</w:t>
      </w:r>
      <w:r w:rsidRPr="00AE4912">
        <w:tab/>
      </w:r>
      <w:r w:rsidRPr="003C6471">
        <w:rPr>
          <w:spacing w:val="-1"/>
        </w:rPr>
        <w:t>À compter de [24] mois après la date officielle d</w:t>
      </w:r>
      <w:r w:rsidR="000F68E0">
        <w:rPr>
          <w:spacing w:val="-1"/>
        </w:rPr>
        <w:t>’</w:t>
      </w:r>
      <w:r w:rsidRPr="003C6471">
        <w:rPr>
          <w:spacing w:val="-1"/>
        </w:rPr>
        <w:t xml:space="preserve">entrée en vigueur du Règlement </w:t>
      </w:r>
      <w:r w:rsidR="00EE4DBE" w:rsidRPr="00EE4DBE">
        <w:rPr>
          <w:rFonts w:eastAsia="MS Mincho"/>
          <w:spacing w:val="-1"/>
        </w:rPr>
        <w:t>n</w:t>
      </w:r>
      <w:r w:rsidR="00EE4DBE" w:rsidRPr="00EE4DBE">
        <w:rPr>
          <w:rFonts w:eastAsia="MS Mincho"/>
          <w:spacing w:val="-1"/>
          <w:vertAlign w:val="superscript"/>
        </w:rPr>
        <w:t>o</w:t>
      </w:r>
      <w:r w:rsidR="00EE4DBE">
        <w:rPr>
          <w:spacing w:val="-1"/>
        </w:rPr>
        <w:t> </w:t>
      </w:r>
      <w:r w:rsidRPr="003C6471">
        <w:rPr>
          <w:spacing w:val="-1"/>
        </w:rPr>
        <w:t>[RID], les Parties contractantes appliquant le présent Règlement doivent cesser d</w:t>
      </w:r>
      <w:r w:rsidR="000F68E0">
        <w:rPr>
          <w:spacing w:val="-1"/>
        </w:rPr>
        <w:t>’</w:t>
      </w:r>
      <w:r w:rsidRPr="003C6471">
        <w:rPr>
          <w:spacing w:val="-1"/>
        </w:rPr>
        <w:t>accorder des homologations en application dudit Règlement.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13.2</w:t>
      </w:r>
      <w:r w:rsidRPr="00AE4912">
        <w:tab/>
        <w:t>Les Parties contractantes appliquant le présent Règlement ne doivent pas refuser d</w:t>
      </w:r>
      <w:r w:rsidR="000F68E0">
        <w:t>’</w:t>
      </w:r>
      <w:r w:rsidRPr="00AE4912">
        <w:t>accorder des extensions d</w:t>
      </w:r>
      <w:r w:rsidR="000F68E0">
        <w:t>’</w:t>
      </w:r>
      <w:r w:rsidRPr="00AE4912">
        <w:t>homologations délivrées en application de la présente série d</w:t>
      </w:r>
      <w:r w:rsidR="000F68E0">
        <w:t>’</w:t>
      </w:r>
      <w:r w:rsidRPr="00AE4912">
        <w:t>amendements audit Règlement ou de toute série d</w:t>
      </w:r>
      <w:r w:rsidR="000F68E0">
        <w:t>’</w:t>
      </w:r>
      <w:r w:rsidRPr="00AE4912">
        <w:t>amendements antérieure.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13.3</w:t>
      </w:r>
      <w:r w:rsidRPr="00AE4912">
        <w:tab/>
        <w:t>Les homologations et les extensions d</w:t>
      </w:r>
      <w:r w:rsidR="000F68E0">
        <w:t>’</w:t>
      </w:r>
      <w:r w:rsidRPr="00AE4912">
        <w:t>homologations accordées en vertu du présent Règlement, y compris en application d</w:t>
      </w:r>
      <w:r w:rsidR="000F68E0">
        <w:t>’</w:t>
      </w:r>
      <w:r w:rsidRPr="00AE4912">
        <w:t>une série d</w:t>
      </w:r>
      <w:r w:rsidR="000F68E0">
        <w:t>’</w:t>
      </w:r>
      <w:r w:rsidRPr="00AE4912">
        <w:t>amendements antérieure, restent valables indéfiniment.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13.4</w:t>
      </w:r>
      <w:r w:rsidRPr="00AE4912">
        <w:tab/>
        <w:t>Les Parties contractantes appliquant le présent Règlement doivent continuer à homologuer des dispositifs conformément à la présente série d</w:t>
      </w:r>
      <w:r w:rsidR="000F68E0">
        <w:t>’</w:t>
      </w:r>
      <w:r w:rsidRPr="00AE4912">
        <w:t>amendements audit Règlement et à toute série d</w:t>
      </w:r>
      <w:r w:rsidR="000F68E0">
        <w:t>’</w:t>
      </w:r>
      <w:r w:rsidRPr="00AE4912">
        <w:t>amendements antérieure, à condition que ces dispositifs soient destinés à servir de pièces de rechange sur des véhicules en service.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13.5</w:t>
      </w:r>
      <w:r w:rsidRPr="00AE4912">
        <w:tab/>
        <w:t>Les Parties contractantes appliquant le présent Règlement doivent continuer à autoriser le montage ou l</w:t>
      </w:r>
      <w:r w:rsidR="000F68E0">
        <w:t>’</w:t>
      </w:r>
      <w:r w:rsidRPr="00AE4912">
        <w:t>utilisation sur un véhicule en service d</w:t>
      </w:r>
      <w:r w:rsidR="000F68E0">
        <w:t>’</w:t>
      </w:r>
      <w:r w:rsidRPr="00AE4912">
        <w:t>un dispositif homologué en vertu de ce Règlement tel que modifié par toute série d</w:t>
      </w:r>
      <w:r w:rsidR="000F68E0">
        <w:t>’</w:t>
      </w:r>
      <w:r w:rsidRPr="00AE4912">
        <w:t>amendements antérieure, à condition que ce dispositif soit destiné à servir de pièce de rechange. ».</w:t>
      </w:r>
    </w:p>
    <w:p w:rsidR="001C5581" w:rsidRPr="00AE4912" w:rsidRDefault="001C5581" w:rsidP="003A00CC">
      <w:pPr>
        <w:pStyle w:val="H1G"/>
      </w:pPr>
      <w:r w:rsidRPr="00AE4912">
        <w:lastRenderedPageBreak/>
        <w:tab/>
        <w:t>P.</w:t>
      </w:r>
      <w:r w:rsidRPr="00AE4912">
        <w:tab/>
        <w:t>Proposition de série 01 d</w:t>
      </w:r>
      <w:r w:rsidR="000F68E0">
        <w:t>’</w:t>
      </w:r>
      <w:r w:rsidRPr="00AE4912">
        <w:t>amendements au Règlement n</w:t>
      </w:r>
      <w:r w:rsidRPr="00AE4912">
        <w:rPr>
          <w:vertAlign w:val="superscript"/>
        </w:rPr>
        <w:t>o</w:t>
      </w:r>
      <w:r w:rsidRPr="00AE4912">
        <w:t> 104</w:t>
      </w:r>
      <w:r w:rsidRPr="003C6471">
        <w:rPr>
          <w:rStyle w:val="FootnoteReference"/>
          <w:b w:val="0"/>
        </w:rPr>
        <w:footnoteReference w:id="18"/>
      </w:r>
    </w:p>
    <w:p w:rsidR="001C5581" w:rsidRPr="00AE4912" w:rsidRDefault="001C5581" w:rsidP="003A00CC">
      <w:pPr>
        <w:pStyle w:val="SingleTxtG"/>
        <w:keepNext/>
      </w:pPr>
      <w:r w:rsidRPr="00AE4912">
        <w:rPr>
          <w:i/>
          <w:iCs/>
        </w:rPr>
        <w:t>Ajouter un nouveau paragraphe 13</w:t>
      </w:r>
      <w:r w:rsidRPr="00AE4912">
        <w:t>, libellé comme suit</w:t>
      </w:r>
      <w:r w:rsidR="00077647">
        <w:t> :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« 13.</w:t>
      </w:r>
      <w:r w:rsidRPr="00AE4912">
        <w:tab/>
        <w:t>Dispositions transitoires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13.1</w:t>
      </w:r>
      <w:r w:rsidRPr="00AE4912">
        <w:tab/>
      </w:r>
      <w:r w:rsidRPr="003C6471">
        <w:rPr>
          <w:spacing w:val="-1"/>
        </w:rPr>
        <w:t>À compter de [24] mois après la date officielle d</w:t>
      </w:r>
      <w:r w:rsidR="000F68E0">
        <w:rPr>
          <w:spacing w:val="-1"/>
        </w:rPr>
        <w:t>’</w:t>
      </w:r>
      <w:r w:rsidRPr="003C6471">
        <w:rPr>
          <w:spacing w:val="-1"/>
        </w:rPr>
        <w:t xml:space="preserve">entrée en vigueur du Règlement </w:t>
      </w:r>
      <w:r w:rsidR="00EE4DBE" w:rsidRPr="00EE4DBE">
        <w:rPr>
          <w:rFonts w:eastAsia="MS Mincho"/>
          <w:spacing w:val="-1"/>
        </w:rPr>
        <w:t>n</w:t>
      </w:r>
      <w:r w:rsidR="00EE4DBE" w:rsidRPr="00EE4DBE">
        <w:rPr>
          <w:rFonts w:eastAsia="MS Mincho"/>
          <w:spacing w:val="-1"/>
          <w:vertAlign w:val="superscript"/>
        </w:rPr>
        <w:t>o</w:t>
      </w:r>
      <w:r w:rsidR="00EE4DBE">
        <w:rPr>
          <w:spacing w:val="-1"/>
        </w:rPr>
        <w:t> </w:t>
      </w:r>
      <w:r w:rsidRPr="003C6471">
        <w:rPr>
          <w:spacing w:val="-1"/>
        </w:rPr>
        <w:t>[RRD], les Parties contractantes appliquant le présent Règlement doivent cesser d</w:t>
      </w:r>
      <w:r w:rsidR="000F68E0">
        <w:rPr>
          <w:spacing w:val="-1"/>
        </w:rPr>
        <w:t>’</w:t>
      </w:r>
      <w:r w:rsidRPr="003C6471">
        <w:rPr>
          <w:spacing w:val="-1"/>
        </w:rPr>
        <w:t>accorder des homologations en application dudit Règlement.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13.2</w:t>
      </w:r>
      <w:r w:rsidRPr="00AE4912">
        <w:tab/>
        <w:t>Les Parties contractantes appliquant le présent Règlement ne doivent pas refuser d</w:t>
      </w:r>
      <w:r w:rsidR="000F68E0">
        <w:t>’</w:t>
      </w:r>
      <w:r w:rsidRPr="00AE4912">
        <w:t>accorder des extensions d</w:t>
      </w:r>
      <w:r w:rsidR="000F68E0">
        <w:t>’</w:t>
      </w:r>
      <w:r w:rsidRPr="00AE4912">
        <w:t>homologations délivrées en application de la présente série d</w:t>
      </w:r>
      <w:r w:rsidR="000F68E0">
        <w:t>’</w:t>
      </w:r>
      <w:r w:rsidRPr="00AE4912">
        <w:t>amendements audit Règlement ou de toute série d</w:t>
      </w:r>
      <w:r w:rsidR="000F68E0">
        <w:t>’</w:t>
      </w:r>
      <w:r w:rsidRPr="00AE4912">
        <w:t>amendements antérieure.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13.3</w:t>
      </w:r>
      <w:r w:rsidRPr="00AE4912">
        <w:tab/>
        <w:t>Les homologations et les extensions d</w:t>
      </w:r>
      <w:r w:rsidR="000F68E0">
        <w:t>’</w:t>
      </w:r>
      <w:r w:rsidRPr="00AE4912">
        <w:t>homologations accordées en vertu du présent Règlement, y compris en application d</w:t>
      </w:r>
      <w:r w:rsidR="000F68E0">
        <w:t>’</w:t>
      </w:r>
      <w:r w:rsidRPr="00AE4912">
        <w:t>une série d</w:t>
      </w:r>
      <w:r w:rsidR="000F68E0">
        <w:t>’</w:t>
      </w:r>
      <w:r w:rsidRPr="00AE4912">
        <w:t>amendements antérieure, restent valables indéfiniment.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13.4</w:t>
      </w:r>
      <w:r w:rsidRPr="00AE4912">
        <w:tab/>
        <w:t>Les Parties contractantes appliquant le présent Règlement doivent continuer à homologuer des dispositifs conformément à la présente série d</w:t>
      </w:r>
      <w:r w:rsidR="000F68E0">
        <w:t>’</w:t>
      </w:r>
      <w:r w:rsidRPr="00AE4912">
        <w:t>amendements audit Règlement et à toute série d</w:t>
      </w:r>
      <w:r w:rsidR="000F68E0">
        <w:t>’</w:t>
      </w:r>
      <w:r w:rsidRPr="00AE4912">
        <w:t>amendements antérieure, à condition que ces dispositifs soient destinés à servir de pièces de rechange sur des véhicules en service.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13.5</w:t>
      </w:r>
      <w:r w:rsidRPr="00AE4912">
        <w:tab/>
        <w:t>Les Parties contractantes appliquant le présent Règlement doivent continuer à autoriser le montage ou l</w:t>
      </w:r>
      <w:r w:rsidR="000F68E0">
        <w:t>’</w:t>
      </w:r>
      <w:r w:rsidRPr="00AE4912">
        <w:t>utilisation sur un véhicule en service d</w:t>
      </w:r>
      <w:r w:rsidR="000F68E0">
        <w:t>’</w:t>
      </w:r>
      <w:r w:rsidRPr="00AE4912">
        <w:t>un dispositif homologué en vertu de ce Règlement tel que modifié par toute série d</w:t>
      </w:r>
      <w:r w:rsidR="000F68E0">
        <w:t>’</w:t>
      </w:r>
      <w:r w:rsidRPr="00AE4912">
        <w:t>amendements antérieure, à condition que ce dispositif soit destiné à servir de pièce de rechange. ».</w:t>
      </w:r>
    </w:p>
    <w:p w:rsidR="001C5581" w:rsidRPr="00AE4912" w:rsidRDefault="001C5581" w:rsidP="003A00CC">
      <w:pPr>
        <w:pStyle w:val="H1G"/>
      </w:pPr>
      <w:r w:rsidRPr="00AE4912">
        <w:tab/>
        <w:t>Q.</w:t>
      </w:r>
      <w:r w:rsidRPr="00AE4912">
        <w:tab/>
        <w:t>Proposition de série 02 d</w:t>
      </w:r>
      <w:r w:rsidR="000F68E0">
        <w:t>’</w:t>
      </w:r>
      <w:r w:rsidRPr="00AE4912">
        <w:t>amendements au Règlement n</w:t>
      </w:r>
      <w:r w:rsidRPr="00AE4912">
        <w:rPr>
          <w:vertAlign w:val="superscript"/>
        </w:rPr>
        <w:t>o</w:t>
      </w:r>
      <w:r w:rsidRPr="00AE4912">
        <w:t> 112</w:t>
      </w:r>
      <w:r w:rsidRPr="003C6471">
        <w:rPr>
          <w:rStyle w:val="FootnoteReference"/>
          <w:b w:val="0"/>
        </w:rPr>
        <w:footnoteReference w:id="19"/>
      </w:r>
    </w:p>
    <w:p w:rsidR="001C5581" w:rsidRPr="00AE4912" w:rsidRDefault="001C5581" w:rsidP="003A00CC">
      <w:pPr>
        <w:pStyle w:val="SingleTxtG"/>
        <w:keepNext/>
        <w:rPr>
          <w:i/>
          <w:iCs/>
        </w:rPr>
      </w:pPr>
      <w:r w:rsidRPr="00AE4912">
        <w:rPr>
          <w:i/>
          <w:iCs/>
        </w:rPr>
        <w:t>Paragraphe 14</w:t>
      </w:r>
      <w:r w:rsidRPr="00AE4912">
        <w:t>, lire</w:t>
      </w:r>
      <w:r w:rsidR="00077647">
        <w:t> :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« 14.</w:t>
      </w:r>
      <w:r w:rsidRPr="00AE4912">
        <w:tab/>
        <w:t>Dispositions transitoires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14.1</w:t>
      </w:r>
      <w:r w:rsidRPr="00AE4912">
        <w:tab/>
      </w:r>
      <w:r w:rsidRPr="003C6471">
        <w:rPr>
          <w:spacing w:val="-1"/>
        </w:rPr>
        <w:t>À compter de [24] mois après la date officielle d</w:t>
      </w:r>
      <w:r w:rsidR="000F68E0">
        <w:rPr>
          <w:spacing w:val="-1"/>
        </w:rPr>
        <w:t>’</w:t>
      </w:r>
      <w:r w:rsidRPr="003C6471">
        <w:rPr>
          <w:spacing w:val="-1"/>
        </w:rPr>
        <w:t xml:space="preserve">entrée en vigueur du Règlement </w:t>
      </w:r>
      <w:r w:rsidR="00EE4DBE" w:rsidRPr="00EE4DBE">
        <w:rPr>
          <w:rFonts w:eastAsia="MS Mincho"/>
          <w:spacing w:val="-1"/>
        </w:rPr>
        <w:t>n</w:t>
      </w:r>
      <w:r w:rsidR="00EE4DBE" w:rsidRPr="00EE4DBE">
        <w:rPr>
          <w:rFonts w:eastAsia="MS Mincho"/>
          <w:spacing w:val="-1"/>
          <w:vertAlign w:val="superscript"/>
        </w:rPr>
        <w:t>o</w:t>
      </w:r>
      <w:r w:rsidR="00EE4DBE">
        <w:rPr>
          <w:spacing w:val="-1"/>
        </w:rPr>
        <w:t> </w:t>
      </w:r>
      <w:r w:rsidRPr="003C6471">
        <w:rPr>
          <w:spacing w:val="-1"/>
        </w:rPr>
        <w:t>[RID], les Parties contractantes appliquant le présent Règlement doivent cesser d</w:t>
      </w:r>
      <w:r w:rsidR="000F68E0">
        <w:rPr>
          <w:spacing w:val="-1"/>
        </w:rPr>
        <w:t>’</w:t>
      </w:r>
      <w:r w:rsidRPr="003C6471">
        <w:rPr>
          <w:spacing w:val="-1"/>
        </w:rPr>
        <w:t>accorder des homologations en application dudit Règlement.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14.2</w:t>
      </w:r>
      <w:r w:rsidRPr="00AE4912">
        <w:tab/>
        <w:t>Les Parties contractantes appliquant le présent Règlement ne doivent pas refuser d</w:t>
      </w:r>
      <w:r w:rsidR="000F68E0">
        <w:t>’</w:t>
      </w:r>
      <w:r w:rsidRPr="00AE4912">
        <w:t>accorder des extensions d</w:t>
      </w:r>
      <w:r w:rsidR="000F68E0">
        <w:t>’</w:t>
      </w:r>
      <w:r w:rsidRPr="00AE4912">
        <w:t>homologations délivrées en application de la présente série d</w:t>
      </w:r>
      <w:r w:rsidR="000F68E0">
        <w:t>’</w:t>
      </w:r>
      <w:r w:rsidRPr="00AE4912">
        <w:t>amendements audit Règlement ou de toute série d</w:t>
      </w:r>
      <w:r w:rsidR="000F68E0">
        <w:t>’</w:t>
      </w:r>
      <w:r w:rsidRPr="00AE4912">
        <w:t>amendements antérieure.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14.3</w:t>
      </w:r>
      <w:r w:rsidRPr="00AE4912">
        <w:tab/>
        <w:t>Les homologations et les extensions d</w:t>
      </w:r>
      <w:r w:rsidR="000F68E0">
        <w:t>’</w:t>
      </w:r>
      <w:r w:rsidRPr="00AE4912">
        <w:t>homologations accordées en vertu du présent Règlement, y compris en application d</w:t>
      </w:r>
      <w:r w:rsidR="000F68E0">
        <w:t>’</w:t>
      </w:r>
      <w:r w:rsidRPr="00AE4912">
        <w:t>une série d</w:t>
      </w:r>
      <w:r w:rsidR="000F68E0">
        <w:t>’</w:t>
      </w:r>
      <w:r w:rsidRPr="00AE4912">
        <w:t>amendements antérieure, restent valables indéfiniment.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14.4</w:t>
      </w:r>
      <w:r w:rsidRPr="00AE4912">
        <w:tab/>
        <w:t>Les Parties contractantes appliquant le présent Règlement doivent continuer à homologuer des dispositifs conformément à la présente série d</w:t>
      </w:r>
      <w:r w:rsidR="000F68E0">
        <w:t>’</w:t>
      </w:r>
      <w:r w:rsidRPr="00AE4912">
        <w:t>amendements audit Règlement et à toute série d</w:t>
      </w:r>
      <w:r w:rsidR="000F68E0">
        <w:t>’</w:t>
      </w:r>
      <w:r w:rsidRPr="00AE4912">
        <w:t>amendements antérieure, à condition que ces dispositifs soient destinés à servir de pièces de rechange sur des véhicules en service.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14.5</w:t>
      </w:r>
      <w:r w:rsidRPr="00AE4912">
        <w:tab/>
        <w:t>Les Parties contractantes appliquant le présent Règlement doivent continuer à autoriser le montage ou l</w:t>
      </w:r>
      <w:r w:rsidR="000F68E0">
        <w:t>’</w:t>
      </w:r>
      <w:r w:rsidRPr="00AE4912">
        <w:t>utilisation sur un véhicule en service d</w:t>
      </w:r>
      <w:r w:rsidR="000F68E0">
        <w:t>’</w:t>
      </w:r>
      <w:r w:rsidRPr="00AE4912">
        <w:t xml:space="preserve">un dispositif homologué en vertu de ce Règlement tel que modifié par toute série </w:t>
      </w:r>
      <w:r w:rsidRPr="00AE4912">
        <w:lastRenderedPageBreak/>
        <w:t>d</w:t>
      </w:r>
      <w:r w:rsidR="000F68E0">
        <w:t>’</w:t>
      </w:r>
      <w:r w:rsidRPr="00AE4912">
        <w:t>amendements antérieure, à condition que ce dispositif soit destiné à servir de pièce de rechange. ».</w:t>
      </w:r>
    </w:p>
    <w:p w:rsidR="001C5581" w:rsidRPr="00AE4912" w:rsidRDefault="001C5581" w:rsidP="003A00CC">
      <w:pPr>
        <w:pStyle w:val="H1G"/>
      </w:pPr>
      <w:r w:rsidRPr="00AE4912">
        <w:tab/>
        <w:t>R.</w:t>
      </w:r>
      <w:r w:rsidRPr="00AE4912">
        <w:tab/>
        <w:t>Proposition de série 03 d</w:t>
      </w:r>
      <w:r w:rsidR="000F68E0">
        <w:t>’</w:t>
      </w:r>
      <w:r w:rsidRPr="00AE4912">
        <w:t>amendements au Règlement n</w:t>
      </w:r>
      <w:r w:rsidRPr="00AE4912">
        <w:rPr>
          <w:vertAlign w:val="superscript"/>
        </w:rPr>
        <w:t>o</w:t>
      </w:r>
      <w:r w:rsidRPr="00AE4912">
        <w:t> 113</w:t>
      </w:r>
      <w:r w:rsidRPr="003C6471">
        <w:rPr>
          <w:rStyle w:val="FootnoteReference"/>
          <w:b w:val="0"/>
        </w:rPr>
        <w:footnoteReference w:id="20"/>
      </w:r>
    </w:p>
    <w:p w:rsidR="001C5581" w:rsidRPr="00AE4912" w:rsidRDefault="001C5581" w:rsidP="003A00CC">
      <w:pPr>
        <w:pStyle w:val="SingleTxtG"/>
        <w:keepNext/>
        <w:rPr>
          <w:i/>
          <w:iCs/>
        </w:rPr>
      </w:pPr>
      <w:r w:rsidRPr="00AE4912">
        <w:rPr>
          <w:i/>
          <w:iCs/>
        </w:rPr>
        <w:t>Paragraphe 13</w:t>
      </w:r>
      <w:r w:rsidRPr="00AE4912">
        <w:t>, lire</w:t>
      </w:r>
      <w:r w:rsidR="00077647">
        <w:t> :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« 13.</w:t>
      </w:r>
      <w:r w:rsidRPr="00AE4912">
        <w:tab/>
        <w:t>Dispositions transitoires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13.1</w:t>
      </w:r>
      <w:r w:rsidRPr="00AE4912">
        <w:tab/>
      </w:r>
      <w:r w:rsidRPr="003C6471">
        <w:rPr>
          <w:spacing w:val="-1"/>
        </w:rPr>
        <w:t>À compter de [24] mois après la date officielle d</w:t>
      </w:r>
      <w:r w:rsidR="000F68E0">
        <w:rPr>
          <w:spacing w:val="-1"/>
        </w:rPr>
        <w:t>’</w:t>
      </w:r>
      <w:r w:rsidRPr="003C6471">
        <w:rPr>
          <w:spacing w:val="-1"/>
        </w:rPr>
        <w:t xml:space="preserve">entrée en vigueur du Règlement </w:t>
      </w:r>
      <w:r w:rsidR="00EE4DBE" w:rsidRPr="00EE4DBE">
        <w:rPr>
          <w:rFonts w:eastAsia="MS Mincho"/>
          <w:spacing w:val="-1"/>
        </w:rPr>
        <w:t>n</w:t>
      </w:r>
      <w:r w:rsidR="00EE4DBE" w:rsidRPr="00EE4DBE">
        <w:rPr>
          <w:rFonts w:eastAsia="MS Mincho"/>
          <w:spacing w:val="-1"/>
          <w:vertAlign w:val="superscript"/>
        </w:rPr>
        <w:t>o</w:t>
      </w:r>
      <w:r w:rsidR="00EE4DBE">
        <w:rPr>
          <w:spacing w:val="-1"/>
        </w:rPr>
        <w:t> </w:t>
      </w:r>
      <w:r w:rsidRPr="003C6471">
        <w:rPr>
          <w:spacing w:val="-1"/>
        </w:rPr>
        <w:t>[RID], les Parties contractantes appliquant le présent Règlement doivent cesser d</w:t>
      </w:r>
      <w:r w:rsidR="000F68E0">
        <w:rPr>
          <w:spacing w:val="-1"/>
        </w:rPr>
        <w:t>’</w:t>
      </w:r>
      <w:r w:rsidRPr="003C6471">
        <w:rPr>
          <w:spacing w:val="-1"/>
        </w:rPr>
        <w:t>accorder des homologations en application dudit Règlement.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13.2</w:t>
      </w:r>
      <w:r w:rsidRPr="00AE4912">
        <w:tab/>
        <w:t>Les Parties contractantes appliquant le présent Règlement ne doivent pas refuser d</w:t>
      </w:r>
      <w:r w:rsidR="000F68E0">
        <w:t>’</w:t>
      </w:r>
      <w:r w:rsidRPr="00AE4912">
        <w:t>accorder des extensions d</w:t>
      </w:r>
      <w:r w:rsidR="000F68E0">
        <w:t>’</w:t>
      </w:r>
      <w:r w:rsidRPr="00AE4912">
        <w:t>homologations délivrées en application de la présente série d</w:t>
      </w:r>
      <w:r w:rsidR="000F68E0">
        <w:t>’</w:t>
      </w:r>
      <w:r w:rsidRPr="00AE4912">
        <w:t>amendements audit Règlement ou de toute série d</w:t>
      </w:r>
      <w:r w:rsidR="000F68E0">
        <w:t>’</w:t>
      </w:r>
      <w:r w:rsidRPr="00AE4912">
        <w:t>amendements antérieure.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13.3</w:t>
      </w:r>
      <w:r w:rsidRPr="00AE4912">
        <w:tab/>
        <w:t>Les homologations et les extensions d</w:t>
      </w:r>
      <w:r w:rsidR="000F68E0">
        <w:t>’</w:t>
      </w:r>
      <w:r w:rsidRPr="00AE4912">
        <w:t>homologations accordées en vertu du présent Règlement, y compris en application d</w:t>
      </w:r>
      <w:r w:rsidR="000F68E0">
        <w:t>’</w:t>
      </w:r>
      <w:r w:rsidRPr="00AE4912">
        <w:t>une série d</w:t>
      </w:r>
      <w:r w:rsidR="000F68E0">
        <w:t>’</w:t>
      </w:r>
      <w:r w:rsidRPr="00AE4912">
        <w:t>amendements antérieure, restent valables indéfiniment.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13.4</w:t>
      </w:r>
      <w:r w:rsidRPr="00AE4912">
        <w:tab/>
        <w:t>Les Parties contractantes appliquant le présent Règlement doivent continuer à homologuer des dispositifs conformément à la présente série d</w:t>
      </w:r>
      <w:r w:rsidR="000F68E0">
        <w:t>’</w:t>
      </w:r>
      <w:r w:rsidRPr="00AE4912">
        <w:t>amendements audit Règlement et à toute série d</w:t>
      </w:r>
      <w:r w:rsidR="000F68E0">
        <w:t>’</w:t>
      </w:r>
      <w:r w:rsidRPr="00AE4912">
        <w:t>amendements antérieure, à condition que ces dispositifs soient destinés à servir de pièces de rechange sur des véhicules en service.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13.5</w:t>
      </w:r>
      <w:r w:rsidRPr="00AE4912">
        <w:tab/>
        <w:t>Les Parties contractantes appliquant le présent Règlement doivent continuer à autoriser le montage ou l</w:t>
      </w:r>
      <w:r w:rsidR="000F68E0">
        <w:t>’</w:t>
      </w:r>
      <w:r w:rsidRPr="00AE4912">
        <w:t>utilisation sur un véhicule en service d</w:t>
      </w:r>
      <w:r w:rsidR="000F68E0">
        <w:t>’</w:t>
      </w:r>
      <w:r w:rsidRPr="00AE4912">
        <w:t>un dispositif homologué en vertu de ce Règlement tel que modifié par toute série d</w:t>
      </w:r>
      <w:r w:rsidR="000F68E0">
        <w:t>’</w:t>
      </w:r>
      <w:r w:rsidRPr="00AE4912">
        <w:t>amendements antérieure, à condition que ce dispositif soit destiné à servir de pièce de rechange. ».</w:t>
      </w:r>
    </w:p>
    <w:p w:rsidR="001C5581" w:rsidRPr="00AE4912" w:rsidRDefault="001C5581" w:rsidP="003A00CC">
      <w:pPr>
        <w:pStyle w:val="H1G"/>
      </w:pPr>
      <w:r w:rsidRPr="00AE4912">
        <w:tab/>
        <w:t>S.</w:t>
      </w:r>
      <w:r w:rsidRPr="00AE4912">
        <w:tab/>
        <w:t>Proposition de série 02 d</w:t>
      </w:r>
      <w:r w:rsidR="000F68E0">
        <w:t>’</w:t>
      </w:r>
      <w:r w:rsidRPr="00AE4912">
        <w:t>amendements au Règlement n</w:t>
      </w:r>
      <w:r w:rsidRPr="00AE4912">
        <w:rPr>
          <w:vertAlign w:val="superscript"/>
        </w:rPr>
        <w:t>o</w:t>
      </w:r>
      <w:r w:rsidRPr="00AE4912">
        <w:t> 119</w:t>
      </w:r>
      <w:r w:rsidRPr="003C6471">
        <w:rPr>
          <w:rStyle w:val="FootnoteReference"/>
          <w:b w:val="0"/>
        </w:rPr>
        <w:footnoteReference w:id="21"/>
      </w:r>
    </w:p>
    <w:p w:rsidR="001C5581" w:rsidRPr="00AE4912" w:rsidRDefault="001C5581" w:rsidP="003A00CC">
      <w:pPr>
        <w:pStyle w:val="SingleTxtG"/>
        <w:keepNext/>
        <w:rPr>
          <w:i/>
          <w:iCs/>
        </w:rPr>
      </w:pPr>
      <w:r w:rsidRPr="00AE4912">
        <w:rPr>
          <w:i/>
          <w:iCs/>
        </w:rPr>
        <w:t>Paragraphe 13</w:t>
      </w:r>
      <w:r w:rsidRPr="00AE4912">
        <w:t>, lire</w:t>
      </w:r>
      <w:r w:rsidR="00077647">
        <w:t> :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« 13.</w:t>
      </w:r>
      <w:r w:rsidRPr="00AE4912">
        <w:tab/>
        <w:t>Dispositions transitoires</w:t>
      </w:r>
    </w:p>
    <w:p w:rsidR="001C5581" w:rsidRPr="003C6471" w:rsidRDefault="001C5581" w:rsidP="00C81CD6">
      <w:pPr>
        <w:pStyle w:val="SingleTxtG"/>
        <w:ind w:left="2268" w:hanging="1134"/>
        <w:rPr>
          <w:spacing w:val="-1"/>
        </w:rPr>
      </w:pPr>
      <w:r w:rsidRPr="003C6471">
        <w:rPr>
          <w:spacing w:val="-1"/>
        </w:rPr>
        <w:t>13.1</w:t>
      </w:r>
      <w:r w:rsidRPr="003C6471">
        <w:rPr>
          <w:spacing w:val="-1"/>
        </w:rPr>
        <w:tab/>
        <w:t>À compter de [24] mois après la date officielle d</w:t>
      </w:r>
      <w:r w:rsidR="000F68E0">
        <w:rPr>
          <w:spacing w:val="-1"/>
        </w:rPr>
        <w:t>’</w:t>
      </w:r>
      <w:r w:rsidRPr="003C6471">
        <w:rPr>
          <w:spacing w:val="-1"/>
        </w:rPr>
        <w:t>entrée en vigueur du Règlement n</w:t>
      </w:r>
      <w:r w:rsidRPr="003C6471">
        <w:rPr>
          <w:spacing w:val="-1"/>
          <w:vertAlign w:val="superscript"/>
        </w:rPr>
        <w:t>o</w:t>
      </w:r>
      <w:r w:rsidRPr="003C6471">
        <w:rPr>
          <w:spacing w:val="-1"/>
        </w:rPr>
        <w:t> [RID], les Parties contractantes appliquant le présent Règlement doivent cesser d</w:t>
      </w:r>
      <w:r w:rsidR="000F68E0">
        <w:rPr>
          <w:spacing w:val="-1"/>
        </w:rPr>
        <w:t>’</w:t>
      </w:r>
      <w:r w:rsidRPr="003C6471">
        <w:rPr>
          <w:spacing w:val="-1"/>
        </w:rPr>
        <w:t>accorder des homologations en application dudit Règlement.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13.2</w:t>
      </w:r>
      <w:r w:rsidRPr="00AE4912">
        <w:tab/>
        <w:t>Les Parties contractantes appliquant le présent Règlement ne doivent pas refuser d</w:t>
      </w:r>
      <w:r w:rsidR="000F68E0">
        <w:t>’</w:t>
      </w:r>
      <w:r w:rsidRPr="00AE4912">
        <w:t>accorder des extensions d</w:t>
      </w:r>
      <w:r w:rsidR="000F68E0">
        <w:t>’</w:t>
      </w:r>
      <w:r w:rsidRPr="00AE4912">
        <w:t>homologations délivrées en application de la présente série d</w:t>
      </w:r>
      <w:r w:rsidR="000F68E0">
        <w:t>’</w:t>
      </w:r>
      <w:r w:rsidRPr="00AE4912">
        <w:t>amendements audit Règlement ou de toute série d</w:t>
      </w:r>
      <w:r w:rsidR="000F68E0">
        <w:t>’</w:t>
      </w:r>
      <w:r w:rsidRPr="00AE4912">
        <w:t>amendements antérieure.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13.3</w:t>
      </w:r>
      <w:r w:rsidRPr="00AE4912">
        <w:tab/>
        <w:t>Les homologations et les extensions d</w:t>
      </w:r>
      <w:r w:rsidR="000F68E0">
        <w:t>’</w:t>
      </w:r>
      <w:r w:rsidRPr="00AE4912">
        <w:t>homologations accordées en vertu du présent Règlement, y compris en application d</w:t>
      </w:r>
      <w:r w:rsidR="000F68E0">
        <w:t>’</w:t>
      </w:r>
      <w:r w:rsidRPr="00AE4912">
        <w:t>une série d</w:t>
      </w:r>
      <w:r w:rsidR="000F68E0">
        <w:t>’</w:t>
      </w:r>
      <w:r w:rsidRPr="00AE4912">
        <w:t>amendements antérieure, restent valables indéfiniment.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13.4</w:t>
      </w:r>
      <w:r w:rsidRPr="00AE4912">
        <w:tab/>
        <w:t>Les Parties contractantes appliquant le présent Règlement doivent continuer à homologuer des dispositifs conformément à la présente série d</w:t>
      </w:r>
      <w:r w:rsidR="000F68E0">
        <w:t>’</w:t>
      </w:r>
      <w:r w:rsidRPr="00AE4912">
        <w:t>amendements audit Règlement et à toute série d</w:t>
      </w:r>
      <w:r w:rsidR="000F68E0">
        <w:t>’</w:t>
      </w:r>
      <w:r w:rsidRPr="00AE4912">
        <w:t>amendements antérieure, à condition que ces dispositifs soient destinés à servir de pièces de rechange sur des véhicules en service.</w:t>
      </w:r>
    </w:p>
    <w:p w:rsidR="001C5581" w:rsidRPr="00AE4912" w:rsidRDefault="001C5581" w:rsidP="00EE4DBE">
      <w:pPr>
        <w:pStyle w:val="SingleTxtG"/>
        <w:keepLines/>
        <w:ind w:left="2268" w:hanging="1134"/>
      </w:pPr>
      <w:r w:rsidRPr="00AE4912">
        <w:lastRenderedPageBreak/>
        <w:t>13.5</w:t>
      </w:r>
      <w:r w:rsidRPr="00AE4912">
        <w:tab/>
        <w:t>Les Parties contractantes appliquant le présent Règlement doivent continuer à autoriser le montage ou l</w:t>
      </w:r>
      <w:r w:rsidR="000F68E0">
        <w:t>’</w:t>
      </w:r>
      <w:r w:rsidRPr="00AE4912">
        <w:t>utilisation sur un véhicule en service d</w:t>
      </w:r>
      <w:r w:rsidR="000F68E0">
        <w:t>’</w:t>
      </w:r>
      <w:r w:rsidRPr="00AE4912">
        <w:t>un dispositif homologué en vertu de ce Règlement tel que modifié par toute série d</w:t>
      </w:r>
      <w:r w:rsidR="000F68E0">
        <w:t>’</w:t>
      </w:r>
      <w:r w:rsidRPr="00AE4912">
        <w:t>amendements antérieure, à condition que ce dispositif soit destiné à servir de pièce de rechange. ».</w:t>
      </w:r>
    </w:p>
    <w:p w:rsidR="001C5581" w:rsidRPr="00AE4912" w:rsidRDefault="001C5581" w:rsidP="003A00CC">
      <w:pPr>
        <w:pStyle w:val="H1G"/>
      </w:pPr>
      <w:r w:rsidRPr="00AE4912">
        <w:tab/>
        <w:t>T.</w:t>
      </w:r>
      <w:r w:rsidRPr="00AE4912">
        <w:tab/>
        <w:t>Proposition de série 02 d</w:t>
      </w:r>
      <w:r w:rsidR="000F68E0">
        <w:t>’</w:t>
      </w:r>
      <w:r w:rsidRPr="00AE4912">
        <w:t>amendements au Règlement n</w:t>
      </w:r>
      <w:r w:rsidRPr="00AE4912">
        <w:rPr>
          <w:vertAlign w:val="superscript"/>
        </w:rPr>
        <w:t>o</w:t>
      </w:r>
      <w:r w:rsidRPr="00AE4912">
        <w:t> 123</w:t>
      </w:r>
      <w:r w:rsidRPr="003C6471">
        <w:rPr>
          <w:rStyle w:val="FootnoteReference"/>
          <w:b w:val="0"/>
        </w:rPr>
        <w:footnoteReference w:id="22"/>
      </w:r>
    </w:p>
    <w:p w:rsidR="001C5581" w:rsidRPr="00AE4912" w:rsidRDefault="001C5581" w:rsidP="003A00CC">
      <w:pPr>
        <w:pStyle w:val="SingleTxtG"/>
        <w:keepNext/>
      </w:pPr>
      <w:r w:rsidRPr="003A00CC">
        <w:rPr>
          <w:i/>
        </w:rPr>
        <w:t>Paragraphe 13</w:t>
      </w:r>
      <w:r w:rsidRPr="00AE4912">
        <w:t>, lire</w:t>
      </w:r>
      <w:r w:rsidR="00077647">
        <w:t> :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« 13.</w:t>
      </w:r>
      <w:r w:rsidRPr="00AE4912">
        <w:tab/>
        <w:t>Dispositions transitoires</w:t>
      </w:r>
    </w:p>
    <w:p w:rsidR="001C5581" w:rsidRPr="003C6471" w:rsidRDefault="001C5581" w:rsidP="00C81CD6">
      <w:pPr>
        <w:pStyle w:val="SingleTxtG"/>
        <w:ind w:left="2268" w:hanging="1134"/>
        <w:rPr>
          <w:spacing w:val="-1"/>
        </w:rPr>
      </w:pPr>
      <w:r w:rsidRPr="00AE4912">
        <w:t>13.1</w:t>
      </w:r>
      <w:r w:rsidRPr="00AE4912">
        <w:tab/>
      </w:r>
      <w:r w:rsidRPr="003C6471">
        <w:rPr>
          <w:spacing w:val="-1"/>
        </w:rPr>
        <w:t>À compter de [24] mois après la date officielle d</w:t>
      </w:r>
      <w:r w:rsidR="000F68E0">
        <w:rPr>
          <w:spacing w:val="-1"/>
        </w:rPr>
        <w:t>’</w:t>
      </w:r>
      <w:r w:rsidRPr="003C6471">
        <w:rPr>
          <w:spacing w:val="-1"/>
        </w:rPr>
        <w:t xml:space="preserve">entrée en vigueur du Règlement </w:t>
      </w:r>
      <w:r w:rsidR="002F2EC3" w:rsidRPr="002F2EC3">
        <w:rPr>
          <w:rFonts w:eastAsia="MS Mincho"/>
          <w:spacing w:val="-1"/>
        </w:rPr>
        <w:t>n</w:t>
      </w:r>
      <w:r w:rsidR="002F2EC3" w:rsidRPr="002F2EC3">
        <w:rPr>
          <w:rFonts w:eastAsia="MS Mincho"/>
          <w:spacing w:val="-1"/>
          <w:vertAlign w:val="superscript"/>
        </w:rPr>
        <w:t>o</w:t>
      </w:r>
      <w:r w:rsidR="002F2EC3">
        <w:rPr>
          <w:spacing w:val="-1"/>
        </w:rPr>
        <w:t> </w:t>
      </w:r>
      <w:r w:rsidRPr="003C6471">
        <w:rPr>
          <w:spacing w:val="-1"/>
        </w:rPr>
        <w:t>[RID], les Parties contractantes appliquant le présent Règlement doivent cesser d</w:t>
      </w:r>
      <w:r w:rsidR="000F68E0">
        <w:rPr>
          <w:spacing w:val="-1"/>
        </w:rPr>
        <w:t>’</w:t>
      </w:r>
      <w:r w:rsidRPr="003C6471">
        <w:rPr>
          <w:spacing w:val="-1"/>
        </w:rPr>
        <w:t>accorder des homologations en application dudit Règlement.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13.2</w:t>
      </w:r>
      <w:r w:rsidRPr="00AE4912">
        <w:tab/>
        <w:t>Les Parties contractantes appliquant le présent Règlement ne doivent pas refuser d</w:t>
      </w:r>
      <w:r w:rsidR="000F68E0">
        <w:t>’</w:t>
      </w:r>
      <w:r w:rsidRPr="00AE4912">
        <w:t>accorder des extensions d</w:t>
      </w:r>
      <w:r w:rsidR="000F68E0">
        <w:t>’</w:t>
      </w:r>
      <w:r w:rsidRPr="00AE4912">
        <w:t>homologations délivrées en application de la présente série d</w:t>
      </w:r>
      <w:r w:rsidR="000F68E0">
        <w:t>’</w:t>
      </w:r>
      <w:r w:rsidRPr="00AE4912">
        <w:t>amendements audit Règlement ou de toute série d</w:t>
      </w:r>
      <w:r w:rsidR="000F68E0">
        <w:t>’</w:t>
      </w:r>
      <w:r w:rsidRPr="00AE4912">
        <w:t>amendements antérieure.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13.3</w:t>
      </w:r>
      <w:r w:rsidRPr="00AE4912">
        <w:tab/>
        <w:t>Les homologations et les extensions d</w:t>
      </w:r>
      <w:r w:rsidR="000F68E0">
        <w:t>’</w:t>
      </w:r>
      <w:r w:rsidRPr="00AE4912">
        <w:t>homologations accordées en vertu du présent Règlement, y compris en application d</w:t>
      </w:r>
      <w:r w:rsidR="000F68E0">
        <w:t>’</w:t>
      </w:r>
      <w:r w:rsidRPr="00AE4912">
        <w:t>une série d</w:t>
      </w:r>
      <w:r w:rsidR="000F68E0">
        <w:t>’</w:t>
      </w:r>
      <w:r w:rsidRPr="00AE4912">
        <w:t>amendements antérieure, restent valables indéfiniment.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13.4</w:t>
      </w:r>
      <w:r w:rsidRPr="00AE4912">
        <w:tab/>
        <w:t>Les Parties contractantes appliquant le présent Règlement doivent continuer à homologuer des dispositifs conformément à la présente série d</w:t>
      </w:r>
      <w:r w:rsidR="000F68E0">
        <w:t>’</w:t>
      </w:r>
      <w:r w:rsidRPr="00AE4912">
        <w:t>amendements audit Règlement et à toute série d</w:t>
      </w:r>
      <w:r w:rsidR="000F68E0">
        <w:t>’</w:t>
      </w:r>
      <w:r w:rsidRPr="00AE4912">
        <w:t>amendements antérieure, à condition que ces dispositifs soient destinés à servir de pièces de rechange sur des véhicules en service.</w:t>
      </w:r>
    </w:p>
    <w:p w:rsidR="001C5581" w:rsidRPr="00AE4912" w:rsidRDefault="001C5581" w:rsidP="00C81CD6">
      <w:pPr>
        <w:pStyle w:val="SingleTxtG"/>
        <w:ind w:left="2268" w:hanging="1134"/>
      </w:pPr>
      <w:r w:rsidRPr="00AE4912">
        <w:t>13.5</w:t>
      </w:r>
      <w:r w:rsidRPr="00AE4912">
        <w:tab/>
        <w:t>Les Parties contractantes appliquant le présent Règlement doivent continuer à autoriser le montage ou l</w:t>
      </w:r>
      <w:r w:rsidR="000F68E0">
        <w:t>’</w:t>
      </w:r>
      <w:r w:rsidRPr="00AE4912">
        <w:t>utilisation sur un véhicule en service d</w:t>
      </w:r>
      <w:r w:rsidR="000F68E0">
        <w:t>’</w:t>
      </w:r>
      <w:r w:rsidRPr="00AE4912">
        <w:t>un dispositif homologué en vertu de ce Règlement tel que modifié par toute série d</w:t>
      </w:r>
      <w:r w:rsidR="000F68E0">
        <w:t>’</w:t>
      </w:r>
      <w:r w:rsidRPr="00AE4912">
        <w:t>amendements antérieure, à condition que ce dispositif soit destiné à servir de pièce de rechange. ».</w:t>
      </w:r>
    </w:p>
    <w:p w:rsidR="001C5581" w:rsidRPr="00AE4912" w:rsidRDefault="001C5581" w:rsidP="003A00CC">
      <w:pPr>
        <w:pStyle w:val="HChG"/>
      </w:pPr>
      <w:r w:rsidRPr="00AE4912">
        <w:tab/>
        <w:t>II.</w:t>
      </w:r>
      <w:r w:rsidRPr="00AE4912">
        <w:tab/>
        <w:t>Justification</w:t>
      </w:r>
    </w:p>
    <w:p w:rsidR="001C5581" w:rsidRPr="00AE4912" w:rsidRDefault="001C5581" w:rsidP="001C5581">
      <w:pPr>
        <w:pStyle w:val="SingleTxtG"/>
      </w:pPr>
      <w:r w:rsidRPr="00AE4912">
        <w:t>1.</w:t>
      </w:r>
      <w:r w:rsidRPr="00AE4912">
        <w:tab/>
        <w:t>La présente proposition fait partie d</w:t>
      </w:r>
      <w:r w:rsidR="000F68E0">
        <w:t>’</w:t>
      </w:r>
      <w:r w:rsidRPr="00AE4912">
        <w:t>une série de propositions d</w:t>
      </w:r>
      <w:r w:rsidR="000F68E0">
        <w:t>’</w:t>
      </w:r>
      <w:r w:rsidRPr="00AE4912">
        <w:t>amendements résultant de la mise en place de nouveaux Règlements simplifiés portant respectivement sur les dispositifs de signalisation lumineuse (LSD), les dispositifs d</w:t>
      </w:r>
      <w:r w:rsidR="000F68E0">
        <w:t>’</w:t>
      </w:r>
      <w:r w:rsidRPr="00AE4912">
        <w:t>éclairage de la route (RID) et les dispositifs rétroréfléchissants (RRD). En raison de la mise en place de ces nouveaux Règlements, il est nécessaire de « geler » les Règlements en vigueur dans un délai raisonnable. Les dispositions transitoires qui ont été adoptées pour empêcher toute modification au Règlement ONU n</w:t>
      </w:r>
      <w:r w:rsidRPr="00AE4912">
        <w:rPr>
          <w:vertAlign w:val="superscript"/>
        </w:rPr>
        <w:t>o</w:t>
      </w:r>
      <w:r w:rsidRPr="00AE4912">
        <w:t> 20 ont servi de modèle.</w:t>
      </w:r>
    </w:p>
    <w:p w:rsidR="001C5581" w:rsidRPr="00AE4912" w:rsidRDefault="001C5581" w:rsidP="001C5581">
      <w:pPr>
        <w:pStyle w:val="SingleTxtG"/>
      </w:pPr>
      <w:r w:rsidRPr="00AE4912">
        <w:t>2.</w:t>
      </w:r>
      <w:r w:rsidRPr="00AE4912">
        <w:tab/>
        <w:t>La période de transition de vingt-quatre mois proposée pour l</w:t>
      </w:r>
      <w:r w:rsidR="000F68E0">
        <w:t>’</w:t>
      </w:r>
      <w:r w:rsidRPr="00AE4912">
        <w:t>ensemble des Règlements en vigueur donnerait aux Parties contractantes et à leurs autorités compétentes, ainsi qu</w:t>
      </w:r>
      <w:r w:rsidR="000F68E0">
        <w:t>’</w:t>
      </w:r>
      <w:r w:rsidRPr="00AE4912">
        <w:t>à la branche d</w:t>
      </w:r>
      <w:r w:rsidR="000F68E0">
        <w:t>’</w:t>
      </w:r>
      <w:r w:rsidRPr="00AE4912">
        <w:t>activité concernée, suffisamment de temps pour</w:t>
      </w:r>
      <w:r w:rsidR="00077647">
        <w:t> :</w:t>
      </w:r>
    </w:p>
    <w:p w:rsidR="001C5581" w:rsidRPr="00AE4912" w:rsidRDefault="001C5581" w:rsidP="001C5581">
      <w:pPr>
        <w:pStyle w:val="SingleTxtG"/>
        <w:ind w:firstLine="567"/>
      </w:pPr>
      <w:r w:rsidRPr="00AE4912">
        <w:t>a)</w:t>
      </w:r>
      <w:r w:rsidRPr="00AE4912">
        <w:tab/>
        <w:t>Mener à bien ou réorganiser les activités actuellement menées en application des textes actuels</w:t>
      </w:r>
      <w:r w:rsidR="00077647">
        <w:t> ;</w:t>
      </w:r>
    </w:p>
    <w:p w:rsidR="001C5581" w:rsidRPr="00AE4912" w:rsidRDefault="001C5581" w:rsidP="001C5581">
      <w:pPr>
        <w:pStyle w:val="SingleTxtG"/>
        <w:ind w:firstLine="567"/>
      </w:pPr>
      <w:r w:rsidRPr="00AE4912">
        <w:t>b)</w:t>
      </w:r>
      <w:r w:rsidRPr="00AE4912">
        <w:tab/>
        <w:t>Supprimer du texte des nouveaux Règlements tous les éventuels éléments erronés ou se prêtant à une interprétation incorrecte</w:t>
      </w:r>
      <w:r w:rsidR="00077647">
        <w:t> ;</w:t>
      </w:r>
    </w:p>
    <w:p w:rsidR="001C5581" w:rsidRPr="00AE4912" w:rsidRDefault="001C5581" w:rsidP="00EE4DBE">
      <w:pPr>
        <w:pStyle w:val="SingleTxtG"/>
        <w:spacing w:after="0"/>
        <w:ind w:firstLine="567"/>
      </w:pPr>
      <w:r w:rsidRPr="00AE4912">
        <w:t>c)</w:t>
      </w:r>
      <w:r w:rsidRPr="00AE4912">
        <w:tab/>
        <w:t>Modifier les marques en application des nouveaux Règlements (par exemple, pour les projecteurs des véhicules de la catégorie L).</w:t>
      </w:r>
    </w:p>
    <w:p w:rsidR="001C5581" w:rsidRPr="001C5581" w:rsidRDefault="001C5581" w:rsidP="00EE4DBE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5581" w:rsidRPr="001C5581" w:rsidSect="00C4699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93" w:rsidRDefault="00663E93" w:rsidP="00F95C08">
      <w:pPr>
        <w:spacing w:line="240" w:lineRule="auto"/>
      </w:pPr>
    </w:p>
  </w:endnote>
  <w:endnote w:type="continuationSeparator" w:id="0">
    <w:p w:rsidR="00663E93" w:rsidRPr="00AC3823" w:rsidRDefault="00663E93" w:rsidP="00AC3823">
      <w:pPr>
        <w:pStyle w:val="Footer"/>
      </w:pPr>
    </w:p>
  </w:endnote>
  <w:endnote w:type="continuationNotice" w:id="1">
    <w:p w:rsidR="00663E93" w:rsidRDefault="00663E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99" w:rsidRPr="00C46999" w:rsidRDefault="00C46999" w:rsidP="00C46999">
    <w:pPr>
      <w:pStyle w:val="Footer"/>
      <w:tabs>
        <w:tab w:val="right" w:pos="9638"/>
      </w:tabs>
    </w:pPr>
    <w:r w:rsidRPr="00C46999">
      <w:rPr>
        <w:b/>
        <w:sz w:val="18"/>
      </w:rPr>
      <w:fldChar w:fldCharType="begin"/>
    </w:r>
    <w:r w:rsidRPr="00C46999">
      <w:rPr>
        <w:b/>
        <w:sz w:val="18"/>
      </w:rPr>
      <w:instrText xml:space="preserve"> PAGE  \* MERGEFORMAT </w:instrText>
    </w:r>
    <w:r w:rsidRPr="00C46999">
      <w:rPr>
        <w:b/>
        <w:sz w:val="18"/>
      </w:rPr>
      <w:fldChar w:fldCharType="separate"/>
    </w:r>
    <w:r w:rsidR="00931665">
      <w:rPr>
        <w:b/>
        <w:noProof/>
        <w:sz w:val="18"/>
      </w:rPr>
      <w:t>2</w:t>
    </w:r>
    <w:r w:rsidRPr="00C46999">
      <w:rPr>
        <w:b/>
        <w:sz w:val="18"/>
      </w:rPr>
      <w:fldChar w:fldCharType="end"/>
    </w:r>
    <w:r>
      <w:rPr>
        <w:b/>
        <w:sz w:val="18"/>
      </w:rPr>
      <w:tab/>
    </w:r>
    <w:r>
      <w:t>GE.18-01732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99" w:rsidRPr="00C46999" w:rsidRDefault="00C46999" w:rsidP="00C46999">
    <w:pPr>
      <w:pStyle w:val="Footer"/>
      <w:tabs>
        <w:tab w:val="right" w:pos="9638"/>
      </w:tabs>
      <w:rPr>
        <w:b/>
        <w:sz w:val="18"/>
      </w:rPr>
    </w:pPr>
    <w:r>
      <w:t>GE.18-01732</w:t>
    </w:r>
    <w:r>
      <w:tab/>
    </w:r>
    <w:r w:rsidRPr="00C46999">
      <w:rPr>
        <w:b/>
        <w:sz w:val="18"/>
      </w:rPr>
      <w:fldChar w:fldCharType="begin"/>
    </w:r>
    <w:r w:rsidRPr="00C46999">
      <w:rPr>
        <w:b/>
        <w:sz w:val="18"/>
      </w:rPr>
      <w:instrText xml:space="preserve"> PAGE  \* MERGEFORMAT </w:instrText>
    </w:r>
    <w:r w:rsidRPr="00C46999">
      <w:rPr>
        <w:b/>
        <w:sz w:val="18"/>
      </w:rPr>
      <w:fldChar w:fldCharType="separate"/>
    </w:r>
    <w:r w:rsidR="00931665">
      <w:rPr>
        <w:b/>
        <w:noProof/>
        <w:sz w:val="18"/>
      </w:rPr>
      <w:t>11</w:t>
    </w:r>
    <w:r w:rsidRPr="00C469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C46999" w:rsidRDefault="00C46999" w:rsidP="00C4699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18-01732  (F)</w:t>
    </w:r>
    <w:r w:rsidR="00C81CD6">
      <w:rPr>
        <w:sz w:val="20"/>
      </w:rPr>
      <w:t xml:space="preserve">    130218    130218</w:t>
    </w:r>
    <w:r>
      <w:rPr>
        <w:sz w:val="20"/>
      </w:rPr>
      <w:br/>
    </w:r>
    <w:r w:rsidRPr="00C46999">
      <w:rPr>
        <w:rFonts w:ascii="C39T30Lfz" w:hAnsi="C39T30Lfz"/>
        <w:sz w:val="56"/>
      </w:rPr>
      <w:t></w:t>
    </w:r>
    <w:r w:rsidRPr="00C46999">
      <w:rPr>
        <w:rFonts w:ascii="C39T30Lfz" w:hAnsi="C39T30Lfz"/>
        <w:sz w:val="56"/>
      </w:rPr>
      <w:t></w:t>
    </w:r>
    <w:r w:rsidRPr="00C46999">
      <w:rPr>
        <w:rFonts w:ascii="C39T30Lfz" w:hAnsi="C39T30Lfz"/>
        <w:sz w:val="56"/>
      </w:rPr>
      <w:t></w:t>
    </w:r>
    <w:r w:rsidRPr="00C46999">
      <w:rPr>
        <w:rFonts w:ascii="C39T30Lfz" w:hAnsi="C39T30Lfz"/>
        <w:sz w:val="56"/>
      </w:rPr>
      <w:t></w:t>
    </w:r>
    <w:r w:rsidRPr="00C46999">
      <w:rPr>
        <w:rFonts w:ascii="C39T30Lfz" w:hAnsi="C39T30Lfz"/>
        <w:sz w:val="56"/>
      </w:rPr>
      <w:t></w:t>
    </w:r>
    <w:r w:rsidRPr="00C46999">
      <w:rPr>
        <w:rFonts w:ascii="C39T30Lfz" w:hAnsi="C39T30Lfz"/>
        <w:sz w:val="56"/>
      </w:rPr>
      <w:t></w:t>
    </w:r>
    <w:r w:rsidRPr="00C46999">
      <w:rPr>
        <w:rFonts w:ascii="C39T30Lfz" w:hAnsi="C39T30Lfz"/>
        <w:sz w:val="56"/>
      </w:rPr>
      <w:t></w:t>
    </w:r>
    <w:r w:rsidRPr="00C46999">
      <w:rPr>
        <w:rFonts w:ascii="C39T30Lfz" w:hAnsi="C39T30Lfz"/>
        <w:sz w:val="56"/>
      </w:rPr>
      <w:t></w:t>
    </w:r>
    <w:r w:rsidRPr="00C4699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8/1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1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93" w:rsidRPr="00AC3823" w:rsidRDefault="00663E9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63E93" w:rsidRPr="00AC3823" w:rsidRDefault="00663E9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63E93" w:rsidRPr="00AC3823" w:rsidRDefault="00663E93">
      <w:pPr>
        <w:spacing w:line="240" w:lineRule="auto"/>
        <w:rPr>
          <w:sz w:val="2"/>
          <w:szCs w:val="2"/>
        </w:rPr>
      </w:pPr>
    </w:p>
  </w:footnote>
  <w:footnote w:id="2">
    <w:p w:rsidR="001C5581" w:rsidRPr="00FC2024" w:rsidRDefault="001C5581" w:rsidP="001C5581">
      <w:pPr>
        <w:pStyle w:val="FootnoteText"/>
        <w:rPr>
          <w:spacing w:val="-2"/>
        </w:rPr>
      </w:pPr>
      <w:r w:rsidRPr="00AE4912">
        <w:tab/>
      </w:r>
      <w:r w:rsidRPr="00AE4912">
        <w:rPr>
          <w:sz w:val="20"/>
        </w:rPr>
        <w:t>*</w:t>
      </w:r>
      <w:r w:rsidRPr="00AE4912">
        <w:rPr>
          <w:sz w:val="20"/>
        </w:rPr>
        <w:tab/>
      </w:r>
      <w:r w:rsidRPr="00FC2024">
        <w:rPr>
          <w:spacing w:val="-2"/>
        </w:rPr>
        <w:t>Conformément au programme de travail du Comité des transports intérieurs pour la période 2014-2018 (ECE/TRANS/240, par. 105, et ECE/TRANS/2014/26, activité 02.4), le Forum mondial a pour mission d</w:t>
      </w:r>
      <w:r w:rsidR="000F68E0">
        <w:rPr>
          <w:spacing w:val="-2"/>
        </w:rPr>
        <w:t>’</w:t>
      </w:r>
      <w:r w:rsidRPr="00FC2024">
        <w:rPr>
          <w:spacing w:val="-2"/>
        </w:rPr>
        <w:t>élaborer, d</w:t>
      </w:r>
      <w:r w:rsidR="000F68E0">
        <w:rPr>
          <w:spacing w:val="-2"/>
        </w:rPr>
        <w:t>’</w:t>
      </w:r>
      <w:r w:rsidRPr="00FC2024">
        <w:rPr>
          <w:spacing w:val="-2"/>
        </w:rPr>
        <w:t>harmoniser et de mettre à jour les Règlements en vue d</w:t>
      </w:r>
      <w:r w:rsidR="000F68E0">
        <w:rPr>
          <w:spacing w:val="-2"/>
        </w:rPr>
        <w:t>’</w:t>
      </w:r>
      <w:r w:rsidRPr="00FC2024">
        <w:rPr>
          <w:spacing w:val="-2"/>
        </w:rPr>
        <w:t>améliorer les caractéristiques fonctionnelles des véhicules. Le présent document est soumis en vertu de ce mandat.</w:t>
      </w:r>
    </w:p>
  </w:footnote>
  <w:footnote w:id="3">
    <w:p w:rsidR="001C5581" w:rsidRPr="00AE4912" w:rsidRDefault="001C5581" w:rsidP="001C5581">
      <w:pPr>
        <w:pStyle w:val="FootnoteText"/>
      </w:pPr>
      <w:r w:rsidRPr="00AE4912">
        <w:tab/>
      </w:r>
      <w:r w:rsidRPr="00AE4912">
        <w:rPr>
          <w:rStyle w:val="FootnoteReference"/>
        </w:rPr>
        <w:footnoteRef/>
      </w:r>
      <w:r w:rsidRPr="00AE4912">
        <w:tab/>
        <w:t>N</w:t>
      </w:r>
      <w:r w:rsidR="000F68E0">
        <w:t>’</w:t>
      </w:r>
      <w:r w:rsidRPr="00AE4912">
        <w:t>entraînant pas de changement dans le numéro d</w:t>
      </w:r>
      <w:r w:rsidR="000F68E0">
        <w:t>’</w:t>
      </w:r>
      <w:r w:rsidRPr="00AE4912">
        <w:t>homologation [(TRANS</w:t>
      </w:r>
      <w:r w:rsidR="00A17FD2">
        <w:t>/WP.29/815, par. </w:t>
      </w:r>
      <w:r w:rsidRPr="00AE4912">
        <w:t>82)].</w:t>
      </w:r>
    </w:p>
  </w:footnote>
  <w:footnote w:id="4">
    <w:p w:rsidR="001C5581" w:rsidRPr="00AE4912" w:rsidRDefault="001C5581" w:rsidP="001C5581">
      <w:pPr>
        <w:pStyle w:val="FootnoteText"/>
      </w:pPr>
      <w:r w:rsidRPr="00AE4912">
        <w:tab/>
      </w:r>
      <w:r w:rsidRPr="00AE4912">
        <w:rPr>
          <w:rStyle w:val="FootnoteReference"/>
        </w:rPr>
        <w:footnoteRef/>
      </w:r>
      <w:r w:rsidRPr="00AE4912">
        <w:tab/>
        <w:t>N</w:t>
      </w:r>
      <w:r w:rsidR="000F68E0">
        <w:t>’</w:t>
      </w:r>
      <w:r w:rsidRPr="00AE4912">
        <w:t>entraînant pas de changement dans le numéro d</w:t>
      </w:r>
      <w:r w:rsidR="000F68E0">
        <w:t>’</w:t>
      </w:r>
      <w:r w:rsidRPr="00AE4912">
        <w:t>homol</w:t>
      </w:r>
      <w:r w:rsidR="00A17FD2">
        <w:t>ogation [(TRANS/WP.29/815, par. </w:t>
      </w:r>
      <w:r w:rsidRPr="00AE4912">
        <w:t>82)].</w:t>
      </w:r>
    </w:p>
  </w:footnote>
  <w:footnote w:id="5">
    <w:p w:rsidR="001C5581" w:rsidRPr="00AE4912" w:rsidRDefault="001C5581" w:rsidP="001C5581">
      <w:pPr>
        <w:pStyle w:val="FootnoteText"/>
      </w:pPr>
      <w:r w:rsidRPr="00AE4912">
        <w:tab/>
      </w:r>
      <w:r w:rsidRPr="00AE4912">
        <w:rPr>
          <w:rStyle w:val="FootnoteReference"/>
        </w:rPr>
        <w:footnoteRef/>
      </w:r>
      <w:r w:rsidRPr="00AE4912">
        <w:tab/>
        <w:t>N</w:t>
      </w:r>
      <w:r w:rsidR="000F68E0">
        <w:t>’</w:t>
      </w:r>
      <w:r w:rsidRPr="00AE4912">
        <w:t>entraînant pas de changement dans le numéro d</w:t>
      </w:r>
      <w:r w:rsidR="000F68E0">
        <w:t>’</w:t>
      </w:r>
      <w:r w:rsidRPr="00AE4912">
        <w:t>homologation [(TRANS/WP.29/815, par. 82)].</w:t>
      </w:r>
    </w:p>
  </w:footnote>
  <w:footnote w:id="6">
    <w:p w:rsidR="001C5581" w:rsidRPr="00AE4912" w:rsidRDefault="001C5581" w:rsidP="001C5581">
      <w:pPr>
        <w:pStyle w:val="FootnoteText"/>
      </w:pPr>
      <w:r w:rsidRPr="00AE4912">
        <w:tab/>
      </w:r>
      <w:r w:rsidRPr="00AE4912">
        <w:rPr>
          <w:rStyle w:val="FootnoteReference"/>
        </w:rPr>
        <w:footnoteRef/>
      </w:r>
      <w:r w:rsidRPr="00AE4912">
        <w:tab/>
        <w:t>N</w:t>
      </w:r>
      <w:r w:rsidR="000F68E0">
        <w:t>’</w:t>
      </w:r>
      <w:r w:rsidRPr="00AE4912">
        <w:t>entraînant pas de changement dans le numéro d</w:t>
      </w:r>
      <w:r w:rsidR="000F68E0">
        <w:t>’</w:t>
      </w:r>
      <w:r w:rsidRPr="00AE4912">
        <w:t>homologation [(TRANS/WP.29/815, par. 82)].</w:t>
      </w:r>
    </w:p>
  </w:footnote>
  <w:footnote w:id="7">
    <w:p w:rsidR="001C5581" w:rsidRPr="00AE4912" w:rsidRDefault="001C5581" w:rsidP="001C5581">
      <w:pPr>
        <w:pStyle w:val="FootnoteText"/>
      </w:pPr>
      <w:r w:rsidRPr="00AE4912">
        <w:tab/>
      </w:r>
      <w:r w:rsidRPr="00AE4912">
        <w:rPr>
          <w:rStyle w:val="FootnoteReference"/>
        </w:rPr>
        <w:footnoteRef/>
      </w:r>
      <w:r w:rsidRPr="00AE4912">
        <w:tab/>
        <w:t>N</w:t>
      </w:r>
      <w:r w:rsidR="000F68E0">
        <w:t>’</w:t>
      </w:r>
      <w:r w:rsidRPr="00AE4912">
        <w:t>entraînant pas de changement dans le numéro d</w:t>
      </w:r>
      <w:r w:rsidR="000F68E0">
        <w:t>’</w:t>
      </w:r>
      <w:r w:rsidRPr="00AE4912">
        <w:t>homologation [(TRANS/WP.29/815, par. 82)].</w:t>
      </w:r>
    </w:p>
  </w:footnote>
  <w:footnote w:id="8">
    <w:p w:rsidR="001C5581" w:rsidRPr="00AE4912" w:rsidRDefault="001C5581" w:rsidP="001C5581">
      <w:pPr>
        <w:pStyle w:val="FootnoteText"/>
      </w:pPr>
      <w:r w:rsidRPr="00AE4912">
        <w:tab/>
      </w:r>
      <w:r w:rsidRPr="00AE4912">
        <w:rPr>
          <w:rStyle w:val="FootnoteReference"/>
        </w:rPr>
        <w:footnoteRef/>
      </w:r>
      <w:r w:rsidRPr="00AE4912">
        <w:tab/>
        <w:t>N</w:t>
      </w:r>
      <w:r w:rsidR="000F68E0">
        <w:t>’</w:t>
      </w:r>
      <w:r w:rsidRPr="00AE4912">
        <w:t>entraînant pas de changement dans le numéro d</w:t>
      </w:r>
      <w:r w:rsidR="000F68E0">
        <w:t>’</w:t>
      </w:r>
      <w:r w:rsidRPr="00AE4912">
        <w:t>homologation [(TRANS/WP.29/815, par. 82)].</w:t>
      </w:r>
    </w:p>
  </w:footnote>
  <w:footnote w:id="9">
    <w:p w:rsidR="001C5581" w:rsidRPr="00AE4912" w:rsidRDefault="001C5581" w:rsidP="001C5581">
      <w:pPr>
        <w:pStyle w:val="FootnoteText"/>
      </w:pPr>
      <w:r w:rsidRPr="00AE4912">
        <w:tab/>
      </w:r>
      <w:r w:rsidRPr="00AE4912">
        <w:rPr>
          <w:rStyle w:val="FootnoteReference"/>
        </w:rPr>
        <w:footnoteRef/>
      </w:r>
      <w:r w:rsidRPr="00AE4912">
        <w:tab/>
        <w:t>N</w:t>
      </w:r>
      <w:r w:rsidR="000F68E0">
        <w:t>’</w:t>
      </w:r>
      <w:r w:rsidRPr="00AE4912">
        <w:t>entraînant pas de changement dans le numéro d</w:t>
      </w:r>
      <w:r w:rsidR="000F68E0">
        <w:t>’</w:t>
      </w:r>
      <w:r w:rsidRPr="00AE4912">
        <w:t>homologation [(TRANS/WP.29/815, par. 82)].</w:t>
      </w:r>
    </w:p>
  </w:footnote>
  <w:footnote w:id="10">
    <w:p w:rsidR="001C5581" w:rsidRPr="00AE4912" w:rsidRDefault="001C5581" w:rsidP="001C5581">
      <w:pPr>
        <w:pStyle w:val="FootnoteText"/>
      </w:pPr>
      <w:r w:rsidRPr="00AE4912">
        <w:tab/>
      </w:r>
      <w:r w:rsidRPr="00AE4912">
        <w:rPr>
          <w:rStyle w:val="FootnoteReference"/>
        </w:rPr>
        <w:footnoteRef/>
      </w:r>
      <w:r w:rsidRPr="00AE4912">
        <w:tab/>
        <w:t>N</w:t>
      </w:r>
      <w:r w:rsidR="000F68E0">
        <w:t>’</w:t>
      </w:r>
      <w:r w:rsidRPr="00AE4912">
        <w:t>entraînant pas de changement dans le numéro d</w:t>
      </w:r>
      <w:r w:rsidR="000F68E0">
        <w:t>’</w:t>
      </w:r>
      <w:r w:rsidRPr="00AE4912">
        <w:t>homologation [(TRANS/WP.29/815, par. 82)].</w:t>
      </w:r>
    </w:p>
  </w:footnote>
  <w:footnote w:id="11">
    <w:p w:rsidR="001C5581" w:rsidRPr="00AE4912" w:rsidRDefault="001C5581" w:rsidP="001C5581">
      <w:pPr>
        <w:pStyle w:val="FootnoteText"/>
      </w:pPr>
      <w:r w:rsidRPr="00AE4912">
        <w:tab/>
      </w:r>
      <w:r w:rsidRPr="00AE4912">
        <w:rPr>
          <w:rStyle w:val="FootnoteReference"/>
        </w:rPr>
        <w:footnoteRef/>
      </w:r>
      <w:r w:rsidRPr="00AE4912">
        <w:tab/>
        <w:t>N</w:t>
      </w:r>
      <w:r w:rsidR="000F68E0">
        <w:t>’</w:t>
      </w:r>
      <w:r w:rsidRPr="00AE4912">
        <w:t>entraînant pas de changement dans le numéro d</w:t>
      </w:r>
      <w:r w:rsidR="000F68E0">
        <w:t>’</w:t>
      </w:r>
      <w:r w:rsidRPr="00AE4912">
        <w:t>homologation [(TRANS/WP.29/815, par. 82)].</w:t>
      </w:r>
    </w:p>
  </w:footnote>
  <w:footnote w:id="12">
    <w:p w:rsidR="001C5581" w:rsidRPr="00AE4912" w:rsidRDefault="001C5581" w:rsidP="001C5581">
      <w:pPr>
        <w:pStyle w:val="FootnoteText"/>
      </w:pPr>
      <w:r w:rsidRPr="00AE4912">
        <w:tab/>
      </w:r>
      <w:r w:rsidRPr="00AE4912">
        <w:rPr>
          <w:rStyle w:val="FootnoteReference"/>
        </w:rPr>
        <w:footnoteRef/>
      </w:r>
      <w:r w:rsidRPr="00AE4912">
        <w:tab/>
        <w:t>N</w:t>
      </w:r>
      <w:r w:rsidR="000F68E0">
        <w:t>’</w:t>
      </w:r>
      <w:r w:rsidRPr="00AE4912">
        <w:t>entraînant pas de changement dans le numéro d</w:t>
      </w:r>
      <w:r w:rsidR="000F68E0">
        <w:t>’</w:t>
      </w:r>
      <w:r w:rsidRPr="00AE4912">
        <w:t>homologation [(TRANS/WP.29/815, par. 82)].</w:t>
      </w:r>
    </w:p>
  </w:footnote>
  <w:footnote w:id="13">
    <w:p w:rsidR="001C5581" w:rsidRPr="00AE4912" w:rsidRDefault="001C5581" w:rsidP="001C5581">
      <w:pPr>
        <w:pStyle w:val="FootnoteText"/>
      </w:pPr>
      <w:r w:rsidRPr="00AE4912">
        <w:tab/>
      </w:r>
      <w:r w:rsidRPr="00AE4912">
        <w:rPr>
          <w:rStyle w:val="FootnoteReference"/>
        </w:rPr>
        <w:footnoteRef/>
      </w:r>
      <w:r w:rsidRPr="00AE4912">
        <w:tab/>
        <w:t>N</w:t>
      </w:r>
      <w:r w:rsidR="000F68E0">
        <w:t>’</w:t>
      </w:r>
      <w:r w:rsidRPr="00AE4912">
        <w:t>entraînant pas de changement dans le numéro d</w:t>
      </w:r>
      <w:r w:rsidR="000F68E0">
        <w:t>’</w:t>
      </w:r>
      <w:r w:rsidRPr="00AE4912">
        <w:t>homologation [(TRANS/WP.29/815, par. 82)].</w:t>
      </w:r>
    </w:p>
  </w:footnote>
  <w:footnote w:id="14">
    <w:p w:rsidR="001C5581" w:rsidRPr="00AE4912" w:rsidRDefault="001C5581" w:rsidP="001C5581">
      <w:pPr>
        <w:pStyle w:val="FootnoteText"/>
      </w:pPr>
      <w:r w:rsidRPr="00AE4912">
        <w:tab/>
      </w:r>
      <w:r w:rsidRPr="00AE4912">
        <w:rPr>
          <w:rStyle w:val="FootnoteReference"/>
        </w:rPr>
        <w:footnoteRef/>
      </w:r>
      <w:r w:rsidRPr="00AE4912">
        <w:t xml:space="preserve"> </w:t>
      </w:r>
      <w:r w:rsidRPr="00AE4912">
        <w:tab/>
        <w:t>N</w:t>
      </w:r>
      <w:r w:rsidR="000F68E0">
        <w:t>’</w:t>
      </w:r>
      <w:r w:rsidRPr="00AE4912">
        <w:t>entraînant pas de changement dans le numéro d</w:t>
      </w:r>
      <w:r w:rsidR="000F68E0">
        <w:t>’</w:t>
      </w:r>
      <w:r w:rsidRPr="00AE4912">
        <w:t>homologation [(TRANS/WP.29/815, par. 82)].</w:t>
      </w:r>
    </w:p>
  </w:footnote>
  <w:footnote w:id="15">
    <w:p w:rsidR="001C5581" w:rsidRPr="00AE4912" w:rsidRDefault="001C5581" w:rsidP="001C5581">
      <w:pPr>
        <w:pStyle w:val="FootnoteText"/>
      </w:pPr>
      <w:r w:rsidRPr="00AE4912">
        <w:tab/>
      </w:r>
      <w:r w:rsidRPr="00AE4912">
        <w:rPr>
          <w:rStyle w:val="FootnoteReference"/>
        </w:rPr>
        <w:footnoteRef/>
      </w:r>
      <w:r w:rsidRPr="00AE4912">
        <w:t xml:space="preserve"> </w:t>
      </w:r>
      <w:r w:rsidRPr="00AE4912">
        <w:tab/>
        <w:t>N</w:t>
      </w:r>
      <w:r w:rsidR="000F68E0">
        <w:t>’</w:t>
      </w:r>
      <w:r w:rsidRPr="00AE4912">
        <w:t>entraînant pas de changement dans le numéro d</w:t>
      </w:r>
      <w:r w:rsidR="000F68E0">
        <w:t>’</w:t>
      </w:r>
      <w:r w:rsidRPr="00AE4912">
        <w:t>homologation [(TRANS/WP.29/815, par. 82)].</w:t>
      </w:r>
    </w:p>
  </w:footnote>
  <w:footnote w:id="16">
    <w:p w:rsidR="001C5581" w:rsidRPr="00AE4912" w:rsidRDefault="001C5581" w:rsidP="001C5581">
      <w:pPr>
        <w:pStyle w:val="FootnoteText"/>
      </w:pPr>
      <w:r w:rsidRPr="00AE4912">
        <w:tab/>
      </w:r>
      <w:r w:rsidRPr="00AE4912">
        <w:rPr>
          <w:rStyle w:val="FootnoteReference"/>
        </w:rPr>
        <w:footnoteRef/>
      </w:r>
      <w:r w:rsidRPr="00AE4912">
        <w:tab/>
        <w:t>N</w:t>
      </w:r>
      <w:r w:rsidR="000F68E0">
        <w:t>’</w:t>
      </w:r>
      <w:r w:rsidRPr="00AE4912">
        <w:t>entraînant pas de changement dans le numéro d</w:t>
      </w:r>
      <w:r w:rsidR="000F68E0">
        <w:t>’</w:t>
      </w:r>
      <w:r w:rsidRPr="00AE4912">
        <w:t>homologation [(TRANS/WP.29/815, par. 82)].</w:t>
      </w:r>
    </w:p>
  </w:footnote>
  <w:footnote w:id="17">
    <w:p w:rsidR="001C5581" w:rsidRPr="00AE4912" w:rsidRDefault="001C5581" w:rsidP="001C5581">
      <w:pPr>
        <w:pStyle w:val="FootnoteText"/>
      </w:pPr>
      <w:r w:rsidRPr="00AE4912">
        <w:tab/>
      </w:r>
      <w:r w:rsidRPr="00AE4912">
        <w:rPr>
          <w:rStyle w:val="FootnoteReference"/>
        </w:rPr>
        <w:footnoteRef/>
      </w:r>
      <w:r w:rsidRPr="00AE4912">
        <w:tab/>
        <w:t>N</w:t>
      </w:r>
      <w:r w:rsidR="000F68E0">
        <w:t>’</w:t>
      </w:r>
      <w:r w:rsidRPr="00AE4912">
        <w:t>entraînant pas de changement dans le numéro d</w:t>
      </w:r>
      <w:r w:rsidR="000F68E0">
        <w:t>’</w:t>
      </w:r>
      <w:r w:rsidRPr="00AE4912">
        <w:t>homologation [(TRANS/WP.29/815, par. 82)].</w:t>
      </w:r>
    </w:p>
  </w:footnote>
  <w:footnote w:id="18">
    <w:p w:rsidR="001C5581" w:rsidRPr="00AE4912" w:rsidRDefault="001C5581" w:rsidP="001C5581">
      <w:pPr>
        <w:pStyle w:val="FootnoteText"/>
      </w:pPr>
      <w:r w:rsidRPr="00AE4912">
        <w:tab/>
      </w:r>
      <w:r w:rsidRPr="00AE4912">
        <w:rPr>
          <w:rStyle w:val="FootnoteReference"/>
        </w:rPr>
        <w:footnoteRef/>
      </w:r>
      <w:r w:rsidRPr="00AE4912">
        <w:tab/>
        <w:t>N</w:t>
      </w:r>
      <w:r w:rsidR="000F68E0">
        <w:t>’</w:t>
      </w:r>
      <w:r w:rsidRPr="00AE4912">
        <w:t>entraînant pas de changement dans le numéro d</w:t>
      </w:r>
      <w:r w:rsidR="000F68E0">
        <w:t>’</w:t>
      </w:r>
      <w:r w:rsidRPr="00AE4912">
        <w:t>homologation [(TRANS/WP.29/815, par. 82)].</w:t>
      </w:r>
    </w:p>
  </w:footnote>
  <w:footnote w:id="19">
    <w:p w:rsidR="001C5581" w:rsidRPr="00AE4912" w:rsidRDefault="001C5581" w:rsidP="001C5581">
      <w:pPr>
        <w:pStyle w:val="FootnoteText"/>
      </w:pPr>
      <w:r w:rsidRPr="00AE4912">
        <w:tab/>
      </w:r>
      <w:r w:rsidRPr="00AE4912">
        <w:rPr>
          <w:rStyle w:val="FootnoteReference"/>
        </w:rPr>
        <w:footnoteRef/>
      </w:r>
      <w:r w:rsidRPr="00AE4912">
        <w:tab/>
        <w:t>N</w:t>
      </w:r>
      <w:r w:rsidR="000F68E0">
        <w:t>’</w:t>
      </w:r>
      <w:r w:rsidRPr="00AE4912">
        <w:t>entraînant pas de changement dans le numéro d</w:t>
      </w:r>
      <w:r w:rsidR="000F68E0">
        <w:t>’</w:t>
      </w:r>
      <w:r w:rsidRPr="00AE4912">
        <w:t>homologation [(TRANS/WP.29/815, par. 82)].</w:t>
      </w:r>
    </w:p>
  </w:footnote>
  <w:footnote w:id="20">
    <w:p w:rsidR="001C5581" w:rsidRPr="00AE4912" w:rsidRDefault="001C5581" w:rsidP="001C5581">
      <w:pPr>
        <w:pStyle w:val="FootnoteText"/>
      </w:pPr>
      <w:r w:rsidRPr="00AE4912">
        <w:tab/>
      </w:r>
      <w:r w:rsidRPr="00AE4912">
        <w:rPr>
          <w:rStyle w:val="FootnoteReference"/>
        </w:rPr>
        <w:footnoteRef/>
      </w:r>
      <w:r w:rsidRPr="00AE4912">
        <w:tab/>
        <w:t>N</w:t>
      </w:r>
      <w:r w:rsidR="000F68E0">
        <w:t>’</w:t>
      </w:r>
      <w:r w:rsidRPr="00AE4912">
        <w:t>entraînant pas de changement dans le numéro d</w:t>
      </w:r>
      <w:r w:rsidR="000F68E0">
        <w:t>’</w:t>
      </w:r>
      <w:r w:rsidRPr="00AE4912">
        <w:t>homologation [(TRANS/WP.29/815, par. 82)].</w:t>
      </w:r>
    </w:p>
  </w:footnote>
  <w:footnote w:id="21">
    <w:p w:rsidR="001C5581" w:rsidRPr="00AE4912" w:rsidRDefault="001C5581" w:rsidP="001C5581">
      <w:pPr>
        <w:pStyle w:val="FootnoteText"/>
      </w:pPr>
      <w:r w:rsidRPr="00AE4912">
        <w:tab/>
      </w:r>
      <w:r w:rsidRPr="00AE4912">
        <w:rPr>
          <w:rStyle w:val="FootnoteReference"/>
        </w:rPr>
        <w:footnoteRef/>
      </w:r>
      <w:r w:rsidRPr="00AE4912">
        <w:tab/>
        <w:t>N</w:t>
      </w:r>
      <w:r w:rsidR="000F68E0">
        <w:t>’</w:t>
      </w:r>
      <w:r w:rsidRPr="00AE4912">
        <w:t>entraînant pas de changement dans le numéro d</w:t>
      </w:r>
      <w:r w:rsidR="000F68E0">
        <w:t>’</w:t>
      </w:r>
      <w:r w:rsidRPr="00AE4912">
        <w:t>homologation [(TRANS/WP.29/815, par. 82)].</w:t>
      </w:r>
    </w:p>
  </w:footnote>
  <w:footnote w:id="22">
    <w:p w:rsidR="001C5581" w:rsidRPr="00AE4912" w:rsidRDefault="001C5581" w:rsidP="001C5581">
      <w:pPr>
        <w:pStyle w:val="FootnoteText"/>
      </w:pPr>
      <w:r w:rsidRPr="00AE4912">
        <w:tab/>
      </w:r>
      <w:r w:rsidRPr="00AE4912">
        <w:rPr>
          <w:rStyle w:val="FootnoteReference"/>
        </w:rPr>
        <w:footnoteRef/>
      </w:r>
      <w:r w:rsidRPr="00AE4912">
        <w:tab/>
        <w:t>N</w:t>
      </w:r>
      <w:r w:rsidR="000F68E0">
        <w:t>’</w:t>
      </w:r>
      <w:r w:rsidRPr="00AE4912">
        <w:t>entraînant pas de changement dans le numéro d</w:t>
      </w:r>
      <w:r w:rsidR="000F68E0">
        <w:t>’</w:t>
      </w:r>
      <w:r w:rsidRPr="00AE4912">
        <w:t>homologation [(TRANS/WP.29/815, par. 82)].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99" w:rsidRPr="00C46999" w:rsidRDefault="00931665">
    <w:pPr>
      <w:pStyle w:val="Header"/>
    </w:pPr>
    <w:r>
      <w:fldChar w:fldCharType="begin"/>
    </w:r>
    <w:r>
      <w:instrText xml:space="preserve"> TITLE  \* MERGE</w:instrText>
    </w:r>
    <w:r>
      <w:instrText xml:space="preserve">FORMAT </w:instrText>
    </w:r>
    <w:r>
      <w:fldChar w:fldCharType="separate"/>
    </w:r>
    <w:r w:rsidR="000F68E0">
      <w:t>ECE/TRANS/WP.29/GRE/2018/11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99" w:rsidRPr="00C46999" w:rsidRDefault="00931665" w:rsidP="00C4699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F68E0">
      <w:t>ECE/TRANS/WP.29/GRE/2018/11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93"/>
    <w:rsid w:val="00017F94"/>
    <w:rsid w:val="00023842"/>
    <w:rsid w:val="000334F9"/>
    <w:rsid w:val="00045FEB"/>
    <w:rsid w:val="00077647"/>
    <w:rsid w:val="0007796D"/>
    <w:rsid w:val="000B7790"/>
    <w:rsid w:val="000F68E0"/>
    <w:rsid w:val="00111F2F"/>
    <w:rsid w:val="0014365E"/>
    <w:rsid w:val="00143C66"/>
    <w:rsid w:val="00176178"/>
    <w:rsid w:val="001C5581"/>
    <w:rsid w:val="001F525A"/>
    <w:rsid w:val="00223272"/>
    <w:rsid w:val="0024779E"/>
    <w:rsid w:val="00257168"/>
    <w:rsid w:val="002744B8"/>
    <w:rsid w:val="002832AC"/>
    <w:rsid w:val="002D7C93"/>
    <w:rsid w:val="002F2EC3"/>
    <w:rsid w:val="00305801"/>
    <w:rsid w:val="003916DE"/>
    <w:rsid w:val="003A00CC"/>
    <w:rsid w:val="003C6471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63E93"/>
    <w:rsid w:val="006777E9"/>
    <w:rsid w:val="0071601D"/>
    <w:rsid w:val="00757CB4"/>
    <w:rsid w:val="007A62E6"/>
    <w:rsid w:val="007F20FA"/>
    <w:rsid w:val="0080684C"/>
    <w:rsid w:val="00855A27"/>
    <w:rsid w:val="00871C75"/>
    <w:rsid w:val="008776DC"/>
    <w:rsid w:val="00931665"/>
    <w:rsid w:val="009446C0"/>
    <w:rsid w:val="009705C8"/>
    <w:rsid w:val="009C1CF4"/>
    <w:rsid w:val="009F6B74"/>
    <w:rsid w:val="00A17FD2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44026"/>
    <w:rsid w:val="00C46999"/>
    <w:rsid w:val="00C81CD6"/>
    <w:rsid w:val="00C97039"/>
    <w:rsid w:val="00CB5D4C"/>
    <w:rsid w:val="00D3439C"/>
    <w:rsid w:val="00DB1831"/>
    <w:rsid w:val="00DD3BFD"/>
    <w:rsid w:val="00DF6678"/>
    <w:rsid w:val="00E0299A"/>
    <w:rsid w:val="00E636C7"/>
    <w:rsid w:val="00E85C74"/>
    <w:rsid w:val="00EA6547"/>
    <w:rsid w:val="00EE4DBE"/>
    <w:rsid w:val="00EF2E22"/>
    <w:rsid w:val="00F35BAF"/>
    <w:rsid w:val="00F660DF"/>
    <w:rsid w:val="00F94664"/>
    <w:rsid w:val="00F9573C"/>
    <w:rsid w:val="00F95C08"/>
    <w:rsid w:val="00F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52896EE-88DF-4FCE-A357-3AE131B5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4713</Words>
  <Characters>26865</Characters>
  <Application>Microsoft Office Word</Application>
  <DocSecurity>0</DocSecurity>
  <Lines>223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ECE/TRANS/WP.29/GRE/2018/11</vt:lpstr>
      <vt:lpstr>ECE/TRANS/WP.29/GRE/2018/11</vt:lpstr>
    </vt:vector>
  </TitlesOfParts>
  <Company>DCM</Company>
  <LinksUpToDate>false</LinksUpToDate>
  <CharactersWithSpaces>31515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ECE/TRANS/WP.29/GRE/2018/11</dc:title>
  <dc:subject/>
  <dc:creator>Nicolas MORIN</dc:creator>
  <cp:keywords/>
  <cp:lastModifiedBy>Benedicte Boudol</cp:lastModifiedBy>
  <cp:revision>2</cp:revision>
  <cp:lastPrinted>2018-02-13T12:24:00Z</cp:lastPrinted>
  <dcterms:created xsi:type="dcterms:W3CDTF">2018-02-20T08:41:00Z</dcterms:created>
  <dcterms:modified xsi:type="dcterms:W3CDTF">2018-02-20T08:41:00Z</dcterms:modified>
</cp:coreProperties>
</file>