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50AA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50AAB" w:rsidP="00350AAB">
            <w:pPr>
              <w:jc w:val="right"/>
            </w:pPr>
            <w:r w:rsidRPr="00350AAB">
              <w:rPr>
                <w:sz w:val="40"/>
              </w:rPr>
              <w:t>ECE</w:t>
            </w:r>
            <w:r>
              <w:t>/TRANS/WP.29/GRB/65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50AAB" w:rsidP="00C97039">
            <w:pPr>
              <w:spacing w:before="240"/>
            </w:pPr>
            <w:r>
              <w:t>Distr. générale</w:t>
            </w:r>
          </w:p>
          <w:p w:rsidR="00350AAB" w:rsidRDefault="00350AAB" w:rsidP="00350AAB">
            <w:pPr>
              <w:spacing w:line="240" w:lineRule="exact"/>
            </w:pPr>
            <w:r>
              <w:t>7 mars 2018</w:t>
            </w:r>
          </w:p>
          <w:p w:rsidR="00350AAB" w:rsidRDefault="00350AAB" w:rsidP="00350AAB">
            <w:pPr>
              <w:spacing w:line="240" w:lineRule="exact"/>
            </w:pPr>
            <w:r>
              <w:t>Français</w:t>
            </w:r>
          </w:p>
          <w:p w:rsidR="00350AAB" w:rsidRPr="00DB58B5" w:rsidRDefault="00350AAB" w:rsidP="00350AA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50AAB" w:rsidRPr="00350AAB" w:rsidRDefault="00350AAB" w:rsidP="00350AAB">
      <w:pPr>
        <w:spacing w:before="120"/>
        <w:rPr>
          <w:b/>
          <w:sz w:val="24"/>
          <w:szCs w:val="24"/>
          <w:lang w:val="fr-FR"/>
        </w:rPr>
      </w:pPr>
      <w:r w:rsidRPr="00350AAB">
        <w:rPr>
          <w:b/>
          <w:sz w:val="24"/>
          <w:szCs w:val="24"/>
          <w:lang w:val="fr-FR"/>
        </w:rPr>
        <w:t>Forum mondial de l’harmonisation</w:t>
      </w:r>
      <w:r w:rsidRPr="00350AAB">
        <w:rPr>
          <w:b/>
          <w:sz w:val="24"/>
          <w:szCs w:val="24"/>
          <w:lang w:val="fr-FR"/>
        </w:rPr>
        <w:br/>
        <w:t>des Règlements concernant les véhicules</w:t>
      </w:r>
    </w:p>
    <w:p w:rsidR="00350AAB" w:rsidRPr="00350AAB" w:rsidRDefault="00350AAB" w:rsidP="00350AAB">
      <w:pPr>
        <w:spacing w:before="120" w:after="120"/>
        <w:rPr>
          <w:b/>
          <w:sz w:val="24"/>
          <w:szCs w:val="24"/>
          <w:lang w:val="fr-FR"/>
        </w:rPr>
      </w:pPr>
      <w:r w:rsidRPr="00350AAB">
        <w:rPr>
          <w:b/>
          <w:sz w:val="24"/>
          <w:szCs w:val="24"/>
          <w:lang w:val="fr-FR"/>
        </w:rPr>
        <w:t>Groupe de travail du bruit</w:t>
      </w:r>
    </w:p>
    <w:p w:rsidR="00350AAB" w:rsidRPr="00350AAB" w:rsidRDefault="00350AAB" w:rsidP="00350AAB">
      <w:pPr>
        <w:rPr>
          <w:b/>
          <w:lang w:val="fr-FR"/>
        </w:rPr>
      </w:pPr>
      <w:r w:rsidRPr="00350AAB">
        <w:rPr>
          <w:b/>
          <w:lang w:val="fr-FR"/>
        </w:rPr>
        <w:t>Soixante-septième session</w:t>
      </w:r>
    </w:p>
    <w:p w:rsidR="00350AAB" w:rsidRPr="00350AAB" w:rsidRDefault="00350AAB" w:rsidP="00350AAB">
      <w:pPr>
        <w:rPr>
          <w:lang w:val="fr-FR"/>
        </w:rPr>
      </w:pPr>
      <w:r w:rsidRPr="00350AAB">
        <w:rPr>
          <w:lang w:val="fr-FR"/>
        </w:rPr>
        <w:t>Genève, 24-26 janvier 2018</w:t>
      </w:r>
    </w:p>
    <w:p w:rsidR="00350AAB" w:rsidRPr="00350AAB" w:rsidRDefault="00350AAB" w:rsidP="00350AAB">
      <w:pPr>
        <w:pStyle w:val="HChG"/>
        <w:rPr>
          <w:lang w:val="fr-FR"/>
        </w:rPr>
      </w:pPr>
      <w:r w:rsidRPr="00350AAB">
        <w:rPr>
          <w:lang w:val="fr-FR"/>
        </w:rPr>
        <w:tab/>
      </w:r>
      <w:r w:rsidRPr="00350AAB">
        <w:rPr>
          <w:lang w:val="fr-FR"/>
        </w:rPr>
        <w:tab/>
        <w:t>Rappor</w:t>
      </w:r>
      <w:r w:rsidR="002F4432">
        <w:rPr>
          <w:lang w:val="fr-FR"/>
        </w:rPr>
        <w:t>t du Groupe de travail du bruit</w:t>
      </w:r>
      <w:r w:rsidR="002F4432">
        <w:rPr>
          <w:lang w:val="fr-FR"/>
        </w:rPr>
        <w:br/>
      </w:r>
      <w:r w:rsidRPr="00350AAB">
        <w:rPr>
          <w:lang w:val="fr-FR"/>
        </w:rPr>
        <w:t>sur sa soixante</w:t>
      </w:r>
      <w:r>
        <w:rPr>
          <w:lang w:val="fr-FR"/>
        </w:rPr>
        <w:noBreakHyphen/>
      </w:r>
      <w:r w:rsidRPr="00350AAB">
        <w:rPr>
          <w:lang w:val="fr-FR"/>
        </w:rPr>
        <w:t>septième session</w:t>
      </w:r>
    </w:p>
    <w:p w:rsidR="00350AAB" w:rsidRPr="00350AAB" w:rsidRDefault="00350AAB" w:rsidP="00350AAB">
      <w:pPr>
        <w:spacing w:after="120"/>
        <w:rPr>
          <w:sz w:val="28"/>
        </w:rPr>
      </w:pPr>
      <w:r w:rsidRPr="00350AAB">
        <w:rPr>
          <w:sz w:val="28"/>
        </w:rPr>
        <w:t>Table des matières</w:t>
      </w:r>
    </w:p>
    <w:p w:rsidR="00350AAB" w:rsidRPr="00350AAB" w:rsidRDefault="00350AAB" w:rsidP="00350AAB">
      <w:pPr>
        <w:tabs>
          <w:tab w:val="right" w:pos="8929"/>
          <w:tab w:val="right" w:pos="9638"/>
        </w:tabs>
        <w:spacing w:after="120"/>
        <w:ind w:left="283"/>
        <w:rPr>
          <w:i/>
          <w:sz w:val="18"/>
        </w:rPr>
      </w:pPr>
      <w:r w:rsidRPr="00350AAB">
        <w:rPr>
          <w:i/>
          <w:sz w:val="18"/>
        </w:rPr>
        <w:tab/>
        <w:t>Paragraphes</w:t>
      </w:r>
      <w:r w:rsidRPr="00350AAB">
        <w:rPr>
          <w:i/>
          <w:sz w:val="18"/>
        </w:rPr>
        <w:tab/>
        <w:t>Page</w:t>
      </w:r>
    </w:p>
    <w:p w:rsidR="00350AAB" w:rsidRDefault="00350AAB" w:rsidP="00350AAB">
      <w:pPr>
        <w:tabs>
          <w:tab w:val="right" w:pos="850"/>
          <w:tab w:val="right" w:leader="dot" w:pos="7654"/>
          <w:tab w:val="right" w:pos="8929"/>
          <w:tab w:val="right" w:pos="9638"/>
        </w:tabs>
        <w:spacing w:after="120"/>
        <w:ind w:left="1134" w:hanging="1134"/>
      </w:pPr>
      <w:r>
        <w:tab/>
        <w:t>I.</w:t>
      </w:r>
      <w:r>
        <w:tab/>
      </w:r>
      <w:r w:rsidR="00DD7F69" w:rsidRPr="00350AAB">
        <w:rPr>
          <w:lang w:val="fr-FR"/>
        </w:rPr>
        <w:t>Participation</w:t>
      </w:r>
      <w:r>
        <w:tab/>
      </w:r>
      <w:r>
        <w:tab/>
      </w:r>
      <w:r w:rsidR="00DD7F69">
        <w:t>1</w:t>
      </w:r>
      <w:r>
        <w:tab/>
      </w:r>
      <w:r w:rsidR="00D60E72">
        <w:t>3</w:t>
      </w:r>
    </w:p>
    <w:p w:rsidR="00DD7F69" w:rsidRDefault="00DD7F69" w:rsidP="00350AAB">
      <w:pPr>
        <w:tabs>
          <w:tab w:val="right" w:pos="850"/>
          <w:tab w:val="right" w:leader="dot" w:pos="7654"/>
          <w:tab w:val="right" w:pos="8929"/>
          <w:tab w:val="right" w:pos="9638"/>
        </w:tabs>
        <w:spacing w:after="120"/>
        <w:ind w:left="1134" w:hanging="1134"/>
        <w:rPr>
          <w:lang w:val="fr-FR"/>
        </w:rPr>
      </w:pPr>
      <w:r>
        <w:tab/>
        <w:t>II.</w:t>
      </w:r>
      <w:r>
        <w:tab/>
      </w:r>
      <w:r w:rsidRPr="00350AAB">
        <w:rPr>
          <w:lang w:val="fr-FR"/>
        </w:rPr>
        <w:t>Adoption de l’ordre du jour (point 1 de l’ordre du jour)</w:t>
      </w:r>
      <w:r>
        <w:rPr>
          <w:lang w:val="fr-FR"/>
        </w:rPr>
        <w:tab/>
      </w:r>
      <w:r>
        <w:rPr>
          <w:lang w:val="fr-FR"/>
        </w:rPr>
        <w:tab/>
      </w:r>
      <w:r w:rsidR="00E243D7">
        <w:rPr>
          <w:lang w:val="fr-FR"/>
        </w:rPr>
        <w:t>2</w:t>
      </w:r>
      <w:r w:rsidR="00E243D7">
        <w:rPr>
          <w:lang w:val="fr-FR"/>
        </w:rPr>
        <w:tab/>
      </w:r>
      <w:r w:rsidR="00D60E72">
        <w:rPr>
          <w:lang w:val="fr-FR"/>
        </w:rPr>
        <w:t>3</w:t>
      </w:r>
    </w:p>
    <w:p w:rsidR="00E243D7" w:rsidRDefault="00E243D7" w:rsidP="00350AAB">
      <w:pPr>
        <w:tabs>
          <w:tab w:val="right" w:pos="850"/>
          <w:tab w:val="right" w:leader="dot" w:pos="7654"/>
          <w:tab w:val="right" w:pos="8929"/>
          <w:tab w:val="right" w:pos="9638"/>
        </w:tabs>
        <w:spacing w:after="120"/>
        <w:ind w:left="1134" w:hanging="1134"/>
        <w:rPr>
          <w:lang w:val="fr-FR"/>
        </w:rPr>
      </w:pPr>
      <w:r>
        <w:rPr>
          <w:lang w:val="fr-FR"/>
        </w:rPr>
        <w:tab/>
        <w:t>III.</w:t>
      </w:r>
      <w:r>
        <w:rPr>
          <w:lang w:val="fr-FR"/>
        </w:rPr>
        <w:tab/>
      </w:r>
      <w:r w:rsidRPr="00350AAB">
        <w:rPr>
          <w:lang w:val="fr-FR"/>
        </w:rPr>
        <w:t xml:space="preserve">Règlement </w:t>
      </w:r>
      <w:r w:rsidRPr="00350AAB">
        <w:rPr>
          <w:rFonts w:eastAsia="MS Mincho"/>
          <w:lang w:val="fr-FR"/>
        </w:rPr>
        <w:t>n</w:t>
      </w:r>
      <w:r w:rsidRPr="00350AAB">
        <w:rPr>
          <w:rFonts w:eastAsia="MS Mincho"/>
          <w:vertAlign w:val="superscript"/>
          <w:lang w:val="fr-FR"/>
        </w:rPr>
        <w:t>o</w:t>
      </w:r>
      <w:r w:rsidRPr="00350AAB">
        <w:rPr>
          <w:lang w:val="fr-FR"/>
        </w:rPr>
        <w:t> 28 (Avertisseurs sonores) (point 2 de l’ordre du jour)</w:t>
      </w:r>
      <w:r>
        <w:rPr>
          <w:lang w:val="fr-FR"/>
        </w:rPr>
        <w:tab/>
      </w:r>
      <w:r>
        <w:rPr>
          <w:lang w:val="fr-FR"/>
        </w:rPr>
        <w:tab/>
        <w:t>3</w:t>
      </w:r>
      <w:r>
        <w:rPr>
          <w:lang w:val="fr-FR"/>
        </w:rPr>
        <w:tab/>
      </w:r>
      <w:r w:rsidR="00D60E72">
        <w:rPr>
          <w:lang w:val="fr-FR"/>
        </w:rPr>
        <w:t>3</w:t>
      </w:r>
    </w:p>
    <w:p w:rsidR="00E243D7" w:rsidRDefault="00E243D7" w:rsidP="00350AAB">
      <w:pPr>
        <w:tabs>
          <w:tab w:val="right" w:pos="850"/>
          <w:tab w:val="right" w:leader="dot" w:pos="7654"/>
          <w:tab w:val="right" w:pos="8929"/>
          <w:tab w:val="right" w:pos="9638"/>
        </w:tabs>
        <w:spacing w:after="120"/>
        <w:ind w:left="1134" w:hanging="1134"/>
        <w:rPr>
          <w:lang w:val="fr-FR"/>
        </w:rPr>
      </w:pPr>
      <w:r>
        <w:rPr>
          <w:lang w:val="fr-FR"/>
        </w:rPr>
        <w:tab/>
        <w:t>IV.</w:t>
      </w:r>
      <w:r>
        <w:rPr>
          <w:lang w:val="fr-FR"/>
        </w:rPr>
        <w:tab/>
      </w:r>
      <w:r w:rsidRPr="00350AAB">
        <w:rPr>
          <w:lang w:val="fr-FR"/>
        </w:rPr>
        <w:t xml:space="preserve">Règlement </w:t>
      </w:r>
      <w:r w:rsidRPr="00350AAB">
        <w:rPr>
          <w:rFonts w:eastAsia="MS Mincho"/>
          <w:lang w:val="fr-FR"/>
        </w:rPr>
        <w:t>n</w:t>
      </w:r>
      <w:r w:rsidRPr="00350AAB">
        <w:rPr>
          <w:rFonts w:eastAsia="MS Mincho"/>
          <w:vertAlign w:val="superscript"/>
          <w:lang w:val="fr-FR"/>
        </w:rPr>
        <w:t>o</w:t>
      </w:r>
      <w:r w:rsidRPr="00350AAB">
        <w:rPr>
          <w:lang w:val="fr-FR"/>
        </w:rPr>
        <w:t xml:space="preserve"> 41 (Bruit émis </w:t>
      </w:r>
      <w:r>
        <w:rPr>
          <w:lang w:val="fr-FR"/>
        </w:rPr>
        <w:t>par les motocycles) : Extension</w:t>
      </w:r>
      <w:r>
        <w:rPr>
          <w:lang w:val="fr-FR"/>
        </w:rPr>
        <w:br/>
      </w:r>
      <w:r w:rsidRPr="00350AAB">
        <w:rPr>
          <w:lang w:val="fr-FR"/>
        </w:rPr>
        <w:t>(point 3 de l’ordre du jour)</w:t>
      </w:r>
      <w:r>
        <w:rPr>
          <w:lang w:val="fr-FR"/>
        </w:rPr>
        <w:tab/>
      </w:r>
      <w:r>
        <w:rPr>
          <w:lang w:val="fr-FR"/>
        </w:rPr>
        <w:tab/>
        <w:t>4−7</w:t>
      </w:r>
      <w:r>
        <w:rPr>
          <w:lang w:val="fr-FR"/>
        </w:rPr>
        <w:tab/>
      </w:r>
      <w:r w:rsidR="00D60E72">
        <w:rPr>
          <w:lang w:val="fr-FR"/>
        </w:rPr>
        <w:t>3</w:t>
      </w:r>
    </w:p>
    <w:p w:rsidR="00E243D7" w:rsidRDefault="00E243D7" w:rsidP="00350AAB">
      <w:pPr>
        <w:tabs>
          <w:tab w:val="right" w:pos="850"/>
          <w:tab w:val="right" w:leader="dot" w:pos="7654"/>
          <w:tab w:val="right" w:pos="8929"/>
          <w:tab w:val="right" w:pos="9638"/>
        </w:tabs>
        <w:spacing w:after="120"/>
        <w:ind w:left="1134" w:hanging="1134"/>
      </w:pPr>
      <w:r>
        <w:rPr>
          <w:lang w:val="fr-FR"/>
        </w:rPr>
        <w:tab/>
        <w:t>V.</w:t>
      </w:r>
      <w:r>
        <w:rPr>
          <w:lang w:val="fr-FR"/>
        </w:rPr>
        <w:tab/>
      </w:r>
      <w:r w:rsidRPr="00350AAB">
        <w:rPr>
          <w:lang w:val="fr-FR"/>
        </w:rPr>
        <w:t xml:space="preserve">Règlement </w:t>
      </w:r>
      <w:r w:rsidRPr="00350AAB">
        <w:rPr>
          <w:rFonts w:eastAsia="MS Mincho"/>
          <w:lang w:val="fr-FR"/>
        </w:rPr>
        <w:t>n</w:t>
      </w:r>
      <w:r w:rsidRPr="00350AAB">
        <w:rPr>
          <w:rFonts w:eastAsia="MS Mincho"/>
          <w:vertAlign w:val="superscript"/>
          <w:lang w:val="fr-FR"/>
        </w:rPr>
        <w:t>o</w:t>
      </w:r>
      <w:r>
        <w:rPr>
          <w:lang w:val="fr-FR"/>
        </w:rPr>
        <w:t> </w:t>
      </w:r>
      <w:r w:rsidRPr="00350AAB">
        <w:rPr>
          <w:lang w:val="fr-FR"/>
        </w:rPr>
        <w:t>51 (Bruit émis par les véhicule</w:t>
      </w:r>
      <w:r>
        <w:rPr>
          <w:lang w:val="fr-FR"/>
        </w:rPr>
        <w:t>s des catégories M et N)</w:t>
      </w:r>
      <w:r>
        <w:rPr>
          <w:lang w:val="fr-FR"/>
        </w:rPr>
        <w:br/>
        <w:t>(point </w:t>
      </w:r>
      <w:r w:rsidRPr="00350AAB">
        <w:rPr>
          <w:lang w:val="fr-FR"/>
        </w:rPr>
        <w:t>4 de l’ordre du jour)</w:t>
      </w:r>
      <w:r>
        <w:rPr>
          <w:lang w:val="fr-FR"/>
        </w:rPr>
        <w:tab/>
      </w:r>
      <w:r>
        <w:rPr>
          <w:lang w:val="fr-FR"/>
        </w:rPr>
        <w:tab/>
        <w:t>8−13</w:t>
      </w:r>
      <w:r>
        <w:rPr>
          <w:lang w:val="fr-FR"/>
        </w:rPr>
        <w:tab/>
      </w:r>
      <w:r w:rsidR="00D60E72">
        <w:rPr>
          <w:lang w:val="fr-FR"/>
        </w:rPr>
        <w:t>4</w:t>
      </w:r>
    </w:p>
    <w:p w:rsidR="00350AAB" w:rsidRDefault="00350AAB" w:rsidP="00350AAB">
      <w:pPr>
        <w:tabs>
          <w:tab w:val="right" w:leader="dot" w:pos="7654"/>
          <w:tab w:val="right" w:pos="8929"/>
          <w:tab w:val="right" w:pos="9638"/>
        </w:tabs>
        <w:spacing w:after="120"/>
        <w:ind w:left="1559" w:hanging="425"/>
      </w:pPr>
      <w:r>
        <w:t>A.</w:t>
      </w:r>
      <w:r>
        <w:tab/>
      </w:r>
      <w:r w:rsidR="00E243D7" w:rsidRPr="00350AAB">
        <w:rPr>
          <w:lang w:val="fr-FR"/>
        </w:rPr>
        <w:t>Extension</w:t>
      </w:r>
      <w:r>
        <w:tab/>
      </w:r>
      <w:r>
        <w:tab/>
      </w:r>
      <w:r w:rsidR="00E243D7">
        <w:t>8−12</w:t>
      </w:r>
      <w:r>
        <w:tab/>
      </w:r>
      <w:r w:rsidR="00D60E72">
        <w:t>4</w:t>
      </w:r>
    </w:p>
    <w:p w:rsidR="00E243D7" w:rsidRDefault="00E243D7" w:rsidP="00350AAB">
      <w:pPr>
        <w:tabs>
          <w:tab w:val="right" w:leader="dot" w:pos="7654"/>
          <w:tab w:val="right" w:pos="8929"/>
          <w:tab w:val="right" w:pos="9638"/>
        </w:tabs>
        <w:spacing w:after="120"/>
        <w:ind w:left="1559" w:hanging="425"/>
        <w:rPr>
          <w:lang w:val="fr-FR"/>
        </w:rPr>
      </w:pPr>
      <w:r>
        <w:t>B.</w:t>
      </w:r>
      <w:r>
        <w:tab/>
      </w:r>
      <w:r w:rsidRPr="00350AAB">
        <w:rPr>
          <w:lang w:val="fr-FR"/>
        </w:rPr>
        <w:t>Prescriptions supplémentaires concernant les émissions sonores</w:t>
      </w:r>
      <w:r>
        <w:rPr>
          <w:lang w:val="fr-FR"/>
        </w:rPr>
        <w:tab/>
      </w:r>
      <w:r>
        <w:rPr>
          <w:lang w:val="fr-FR"/>
        </w:rPr>
        <w:tab/>
        <w:t>13</w:t>
      </w:r>
      <w:r>
        <w:rPr>
          <w:lang w:val="fr-FR"/>
        </w:rPr>
        <w:tab/>
      </w:r>
      <w:r w:rsidR="00D60E72">
        <w:rPr>
          <w:lang w:val="fr-FR"/>
        </w:rPr>
        <w:t>5</w:t>
      </w:r>
    </w:p>
    <w:p w:rsidR="00E243D7" w:rsidRDefault="00E243D7" w:rsidP="00E243D7">
      <w:pPr>
        <w:tabs>
          <w:tab w:val="right" w:pos="850"/>
          <w:tab w:val="right" w:leader="dot" w:pos="7654"/>
          <w:tab w:val="right" w:pos="8929"/>
          <w:tab w:val="right" w:pos="9638"/>
        </w:tabs>
        <w:spacing w:after="120"/>
        <w:ind w:left="1134" w:hanging="1134"/>
        <w:rPr>
          <w:lang w:val="fr-FR"/>
        </w:rPr>
      </w:pPr>
      <w:r>
        <w:tab/>
        <w:t>VI.</w:t>
      </w:r>
      <w:r>
        <w:tab/>
      </w:r>
      <w:r w:rsidRPr="00350AAB">
        <w:rPr>
          <w:lang w:val="fr-FR"/>
        </w:rPr>
        <w:t xml:space="preserve">Règlement </w:t>
      </w:r>
      <w:r w:rsidRPr="00267BF7">
        <w:rPr>
          <w:rFonts w:eastAsia="MS Mincho"/>
          <w:lang w:val="fr-FR"/>
        </w:rPr>
        <w:t>n</w:t>
      </w:r>
      <w:r w:rsidRPr="00267BF7">
        <w:rPr>
          <w:rFonts w:eastAsia="MS Mincho"/>
          <w:vertAlign w:val="superscript"/>
          <w:lang w:val="fr-FR"/>
        </w:rPr>
        <w:t>o</w:t>
      </w:r>
      <w:r>
        <w:rPr>
          <w:lang w:val="fr-FR"/>
        </w:rPr>
        <w:t> </w:t>
      </w:r>
      <w:r w:rsidRPr="00350AAB">
        <w:rPr>
          <w:lang w:val="fr-FR"/>
        </w:rPr>
        <w:t>63 (B</w:t>
      </w:r>
      <w:r>
        <w:rPr>
          <w:lang w:val="fr-FR"/>
        </w:rPr>
        <w:t>ruit émis par les cyclomoteurs)</w:t>
      </w:r>
      <w:r>
        <w:rPr>
          <w:lang w:val="fr-FR"/>
        </w:rPr>
        <w:br/>
      </w:r>
      <w:r w:rsidRPr="00350AAB">
        <w:rPr>
          <w:lang w:val="fr-FR"/>
        </w:rPr>
        <w:t>(point</w:t>
      </w:r>
      <w:r>
        <w:rPr>
          <w:lang w:val="fr-FR"/>
        </w:rPr>
        <w:t> </w:t>
      </w:r>
      <w:r w:rsidRPr="00350AAB">
        <w:rPr>
          <w:lang w:val="fr-FR"/>
        </w:rPr>
        <w:t>5 de l’ordre du jour)</w:t>
      </w:r>
      <w:r>
        <w:rPr>
          <w:lang w:val="fr-FR"/>
        </w:rPr>
        <w:tab/>
      </w:r>
      <w:r>
        <w:rPr>
          <w:lang w:val="fr-FR"/>
        </w:rPr>
        <w:tab/>
        <w:t>14</w:t>
      </w:r>
      <w:r>
        <w:rPr>
          <w:lang w:val="fr-FR"/>
        </w:rPr>
        <w:tab/>
      </w:r>
      <w:r w:rsidR="00D60E72">
        <w:rPr>
          <w:lang w:val="fr-FR"/>
        </w:rPr>
        <w:t>5</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VII.</w:t>
      </w:r>
      <w:r>
        <w:rPr>
          <w:lang w:val="fr-FR"/>
        </w:rPr>
        <w:tab/>
      </w:r>
      <w:r w:rsidRPr="00350AAB">
        <w:rPr>
          <w:lang w:val="fr-FR"/>
        </w:rPr>
        <w:t xml:space="preserve">Règlement </w:t>
      </w:r>
      <w:r w:rsidRPr="00267BF7">
        <w:rPr>
          <w:rFonts w:eastAsia="MS Mincho"/>
          <w:lang w:val="fr-FR"/>
        </w:rPr>
        <w:t>n</w:t>
      </w:r>
      <w:r w:rsidRPr="00267BF7">
        <w:rPr>
          <w:rFonts w:eastAsia="MS Mincho"/>
          <w:vertAlign w:val="superscript"/>
          <w:lang w:val="fr-FR"/>
        </w:rPr>
        <w:t>o</w:t>
      </w:r>
      <w:r>
        <w:rPr>
          <w:lang w:val="fr-FR"/>
        </w:rPr>
        <w:t> 117 (Pneumatiques − </w:t>
      </w:r>
      <w:r w:rsidRPr="00350AAB">
        <w:rPr>
          <w:lang w:val="fr-FR"/>
        </w:rPr>
        <w:t>résistance a</w:t>
      </w:r>
      <w:r>
        <w:rPr>
          <w:lang w:val="fr-FR"/>
        </w:rPr>
        <w:t>u roulement, bruit de roulement</w:t>
      </w:r>
      <w:r>
        <w:rPr>
          <w:lang w:val="fr-FR"/>
        </w:rPr>
        <w:br/>
      </w:r>
      <w:r w:rsidRPr="00350AAB">
        <w:rPr>
          <w:lang w:val="fr-FR"/>
        </w:rPr>
        <w:t xml:space="preserve">et adhérence </w:t>
      </w:r>
      <w:r>
        <w:rPr>
          <w:lang w:val="fr-FR"/>
        </w:rPr>
        <w:t xml:space="preserve">sur sol mouillé) </w:t>
      </w:r>
      <w:r w:rsidRPr="00350AAB">
        <w:rPr>
          <w:lang w:val="fr-FR"/>
        </w:rPr>
        <w:t>(point 6 de l’ordre du jour)</w:t>
      </w:r>
      <w:r>
        <w:rPr>
          <w:lang w:val="fr-FR"/>
        </w:rPr>
        <w:tab/>
      </w:r>
      <w:r>
        <w:rPr>
          <w:lang w:val="fr-FR"/>
        </w:rPr>
        <w:tab/>
        <w:t>15−17</w:t>
      </w:r>
      <w:r>
        <w:rPr>
          <w:lang w:val="fr-FR"/>
        </w:rPr>
        <w:tab/>
      </w:r>
      <w:r w:rsidR="00D60E72">
        <w:rPr>
          <w:lang w:val="fr-FR"/>
        </w:rPr>
        <w:t>5</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VIII.</w:t>
      </w:r>
      <w:r>
        <w:rPr>
          <w:lang w:val="fr-FR"/>
        </w:rPr>
        <w:tab/>
      </w:r>
      <w:r w:rsidRPr="00350AAB">
        <w:rPr>
          <w:lang w:val="fr-FR"/>
        </w:rPr>
        <w:t xml:space="preserve">Règlement </w:t>
      </w:r>
      <w:r>
        <w:rPr>
          <w:lang w:val="fr-FR"/>
        </w:rPr>
        <w:t>n</w:t>
      </w:r>
      <w:r w:rsidRPr="00267BF7">
        <w:rPr>
          <w:vertAlign w:val="superscript"/>
          <w:lang w:val="fr-FR"/>
        </w:rPr>
        <w:t>o</w:t>
      </w:r>
      <w:r>
        <w:rPr>
          <w:lang w:val="fr-FR"/>
        </w:rPr>
        <w:t> </w:t>
      </w:r>
      <w:r w:rsidRPr="00350AAB">
        <w:rPr>
          <w:lang w:val="fr-FR"/>
        </w:rPr>
        <w:t xml:space="preserve">138 </w:t>
      </w:r>
      <w:r>
        <w:rPr>
          <w:lang w:val="fr-FR"/>
        </w:rPr>
        <w:t>(Véhicules à moteur silencieux)</w:t>
      </w:r>
      <w:r>
        <w:rPr>
          <w:lang w:val="fr-FR"/>
        </w:rPr>
        <w:br/>
      </w:r>
      <w:r w:rsidRPr="00350AAB">
        <w:rPr>
          <w:lang w:val="fr-FR"/>
        </w:rPr>
        <w:t>(point 7 de l’ordre du jour)</w:t>
      </w:r>
      <w:r>
        <w:rPr>
          <w:lang w:val="fr-FR"/>
        </w:rPr>
        <w:tab/>
      </w:r>
      <w:r>
        <w:rPr>
          <w:lang w:val="fr-FR"/>
        </w:rPr>
        <w:tab/>
        <w:t>18</w:t>
      </w:r>
      <w:r>
        <w:rPr>
          <w:lang w:val="fr-FR"/>
        </w:rPr>
        <w:tab/>
      </w:r>
      <w:r w:rsidR="00D60E72">
        <w:rPr>
          <w:lang w:val="fr-FR"/>
        </w:rPr>
        <w:t>6</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IX.</w:t>
      </w:r>
      <w:r>
        <w:rPr>
          <w:lang w:val="fr-FR"/>
        </w:rPr>
        <w:tab/>
      </w:r>
      <w:r w:rsidRPr="00350AAB">
        <w:rPr>
          <w:lang w:val="fr-FR"/>
        </w:rPr>
        <w:t>Projet de Règlement sur les</w:t>
      </w:r>
      <w:r>
        <w:rPr>
          <w:lang w:val="fr-FR"/>
        </w:rPr>
        <w:t xml:space="preserve"> avertisseurs de marche arrière</w:t>
      </w:r>
      <w:r>
        <w:rPr>
          <w:lang w:val="fr-FR"/>
        </w:rPr>
        <w:br/>
      </w:r>
      <w:r w:rsidRPr="00350AAB">
        <w:rPr>
          <w:lang w:val="fr-FR"/>
        </w:rPr>
        <w:t>(point 8 de l’ordre du jour)</w:t>
      </w:r>
      <w:r>
        <w:rPr>
          <w:lang w:val="fr-FR"/>
        </w:rPr>
        <w:tab/>
      </w:r>
      <w:r>
        <w:rPr>
          <w:lang w:val="fr-FR"/>
        </w:rPr>
        <w:tab/>
        <w:t>19</w:t>
      </w:r>
      <w:r>
        <w:rPr>
          <w:lang w:val="fr-FR"/>
        </w:rPr>
        <w:tab/>
      </w:r>
      <w:r w:rsidR="00D60E72">
        <w:rPr>
          <w:lang w:val="fr-FR"/>
        </w:rPr>
        <w:t>6</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X.</w:t>
      </w:r>
      <w:r>
        <w:rPr>
          <w:lang w:val="fr-FR"/>
        </w:rPr>
        <w:tab/>
      </w:r>
      <w:r w:rsidRPr="00350AAB">
        <w:rPr>
          <w:lang w:val="fr-FR"/>
        </w:rPr>
        <w:t>Amendements collectifs (point</w:t>
      </w:r>
      <w:r>
        <w:rPr>
          <w:lang w:val="fr-FR"/>
        </w:rPr>
        <w:t> </w:t>
      </w:r>
      <w:r w:rsidRPr="00350AAB">
        <w:rPr>
          <w:lang w:val="fr-FR"/>
        </w:rPr>
        <w:t>9 de l’ordre du jour)</w:t>
      </w:r>
      <w:r>
        <w:rPr>
          <w:lang w:val="fr-FR"/>
        </w:rPr>
        <w:tab/>
      </w:r>
      <w:r>
        <w:rPr>
          <w:lang w:val="fr-FR"/>
        </w:rPr>
        <w:tab/>
        <w:t>20</w:t>
      </w:r>
      <w:r>
        <w:rPr>
          <w:lang w:val="fr-FR"/>
        </w:rPr>
        <w:tab/>
      </w:r>
      <w:r w:rsidR="00D60E72">
        <w:rPr>
          <w:lang w:val="fr-FR"/>
        </w:rPr>
        <w:t>6</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XI.</w:t>
      </w:r>
      <w:r>
        <w:rPr>
          <w:lang w:val="fr-FR"/>
        </w:rPr>
        <w:tab/>
      </w:r>
      <w:r w:rsidRPr="00350AAB">
        <w:rPr>
          <w:lang w:val="fr-FR"/>
        </w:rPr>
        <w:t>Échange de renseignements s</w:t>
      </w:r>
      <w:r>
        <w:rPr>
          <w:lang w:val="fr-FR"/>
        </w:rPr>
        <w:t>ur les prescriptions nationales et internationales</w:t>
      </w:r>
      <w:r>
        <w:rPr>
          <w:lang w:val="fr-FR"/>
        </w:rPr>
        <w:br/>
      </w:r>
      <w:r w:rsidRPr="00350AAB">
        <w:rPr>
          <w:lang w:val="fr-FR"/>
        </w:rPr>
        <w:t>en matière de niveau sonore</w:t>
      </w:r>
      <w:r>
        <w:rPr>
          <w:lang w:val="fr-FR"/>
        </w:rPr>
        <w:t xml:space="preserve"> </w:t>
      </w:r>
      <w:r w:rsidRPr="00350AAB">
        <w:rPr>
          <w:lang w:val="fr-FR"/>
        </w:rPr>
        <w:t>(point</w:t>
      </w:r>
      <w:r>
        <w:rPr>
          <w:lang w:val="fr-FR"/>
        </w:rPr>
        <w:t> </w:t>
      </w:r>
      <w:r w:rsidRPr="00350AAB">
        <w:rPr>
          <w:lang w:val="fr-FR"/>
        </w:rPr>
        <w:t>10 de l’ordre du jour)</w:t>
      </w:r>
      <w:r>
        <w:rPr>
          <w:lang w:val="fr-FR"/>
        </w:rPr>
        <w:tab/>
      </w:r>
      <w:r>
        <w:rPr>
          <w:lang w:val="fr-FR"/>
        </w:rPr>
        <w:tab/>
        <w:t>21</w:t>
      </w:r>
      <w:r>
        <w:rPr>
          <w:lang w:val="fr-FR"/>
        </w:rPr>
        <w:tab/>
      </w:r>
      <w:r w:rsidR="00D60E72">
        <w:rPr>
          <w:lang w:val="fr-FR"/>
        </w:rPr>
        <w:t>6</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lastRenderedPageBreak/>
        <w:tab/>
        <w:t>XII.</w:t>
      </w:r>
      <w:r>
        <w:rPr>
          <w:lang w:val="fr-FR"/>
        </w:rPr>
        <w:tab/>
      </w:r>
      <w:r w:rsidRPr="00350AAB">
        <w:rPr>
          <w:lang w:val="fr-FR"/>
        </w:rPr>
        <w:t>Incidence du revêtement de la route sur le brui</w:t>
      </w:r>
      <w:r>
        <w:rPr>
          <w:lang w:val="fr-FR"/>
        </w:rPr>
        <w:t>t de roulement des pneumatiques</w:t>
      </w:r>
      <w:r>
        <w:rPr>
          <w:lang w:val="fr-FR"/>
        </w:rPr>
        <w:br/>
      </w:r>
      <w:r w:rsidRPr="00350AAB">
        <w:rPr>
          <w:lang w:val="fr-FR"/>
        </w:rPr>
        <w:t>(point 11 de l’ordre du jour)</w:t>
      </w:r>
      <w:r>
        <w:rPr>
          <w:lang w:val="fr-FR"/>
        </w:rPr>
        <w:tab/>
      </w:r>
      <w:r>
        <w:rPr>
          <w:lang w:val="fr-FR"/>
        </w:rPr>
        <w:tab/>
        <w:t>22</w:t>
      </w:r>
      <w:r>
        <w:rPr>
          <w:lang w:val="fr-FR"/>
        </w:rPr>
        <w:tab/>
      </w:r>
      <w:r w:rsidR="00D60E72">
        <w:rPr>
          <w:lang w:val="fr-FR"/>
        </w:rPr>
        <w:t>6</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XIII.</w:t>
      </w:r>
      <w:r>
        <w:rPr>
          <w:lang w:val="fr-FR"/>
        </w:rPr>
        <w:tab/>
      </w:r>
      <w:r w:rsidRPr="00350AAB">
        <w:rPr>
          <w:lang w:val="fr-FR"/>
        </w:rPr>
        <w:t>Sigles et abréviations figurant dans les Règlements relevant de la responsabilit</w:t>
      </w:r>
      <w:r>
        <w:rPr>
          <w:lang w:val="fr-FR"/>
        </w:rPr>
        <w:t>é</w:t>
      </w:r>
      <w:r>
        <w:rPr>
          <w:lang w:val="fr-FR"/>
        </w:rPr>
        <w:br/>
        <w:t xml:space="preserve">du Groupe de travail du bruit </w:t>
      </w:r>
      <w:r w:rsidRPr="00350AAB">
        <w:rPr>
          <w:lang w:val="fr-FR"/>
        </w:rPr>
        <w:t>(point</w:t>
      </w:r>
      <w:r>
        <w:rPr>
          <w:lang w:val="fr-FR"/>
        </w:rPr>
        <w:t> </w:t>
      </w:r>
      <w:r w:rsidRPr="00350AAB">
        <w:rPr>
          <w:lang w:val="fr-FR"/>
        </w:rPr>
        <w:t>12 de l’ordre du jour)</w:t>
      </w:r>
      <w:r>
        <w:rPr>
          <w:lang w:val="fr-FR"/>
        </w:rPr>
        <w:tab/>
      </w:r>
      <w:r>
        <w:rPr>
          <w:lang w:val="fr-FR"/>
        </w:rPr>
        <w:tab/>
        <w:t>23</w:t>
      </w:r>
      <w:r>
        <w:rPr>
          <w:lang w:val="fr-FR"/>
        </w:rPr>
        <w:tab/>
      </w:r>
      <w:r w:rsidR="00D60E72">
        <w:rPr>
          <w:lang w:val="fr-FR"/>
        </w:rPr>
        <w:t>7</w:t>
      </w:r>
    </w:p>
    <w:p w:rsidR="00E243D7" w:rsidRDefault="00E243D7" w:rsidP="00E243D7">
      <w:pPr>
        <w:tabs>
          <w:tab w:val="right" w:pos="850"/>
          <w:tab w:val="right" w:leader="dot" w:pos="7654"/>
          <w:tab w:val="right" w:pos="8929"/>
          <w:tab w:val="right" w:pos="9638"/>
        </w:tabs>
        <w:spacing w:after="120"/>
        <w:ind w:left="1134" w:hanging="1134"/>
        <w:rPr>
          <w:lang w:val="fr-FR"/>
        </w:rPr>
      </w:pPr>
      <w:r>
        <w:rPr>
          <w:lang w:val="fr-FR"/>
        </w:rPr>
        <w:tab/>
        <w:t>XIV.</w:t>
      </w:r>
      <w:r>
        <w:rPr>
          <w:lang w:val="fr-FR"/>
        </w:rPr>
        <w:tab/>
      </w:r>
      <w:r w:rsidRPr="00350AAB">
        <w:rPr>
          <w:lang w:val="fr-FR"/>
        </w:rPr>
        <w:t>Propositions d’amendements à la résolution d’ensemble sur la construct</w:t>
      </w:r>
      <w:r w:rsidR="0040656C">
        <w:rPr>
          <w:lang w:val="fr-FR"/>
        </w:rPr>
        <w:t>ion</w:t>
      </w:r>
      <w:r w:rsidR="0040656C">
        <w:rPr>
          <w:lang w:val="fr-FR"/>
        </w:rPr>
        <w:br/>
      </w:r>
      <w:r w:rsidRPr="00350AAB">
        <w:rPr>
          <w:lang w:val="fr-FR"/>
        </w:rPr>
        <w:t>des véhicules (point 13 de l’ordre du jour)</w:t>
      </w:r>
      <w:r w:rsidR="0040656C">
        <w:rPr>
          <w:lang w:val="fr-FR"/>
        </w:rPr>
        <w:tab/>
      </w:r>
      <w:r w:rsidR="0040656C">
        <w:rPr>
          <w:lang w:val="fr-FR"/>
        </w:rPr>
        <w:tab/>
        <w:t>24</w:t>
      </w:r>
      <w:r w:rsidR="0040656C">
        <w:rPr>
          <w:lang w:val="fr-FR"/>
        </w:rPr>
        <w:tab/>
      </w:r>
      <w:r w:rsidR="00D60E72">
        <w:rPr>
          <w:lang w:val="fr-FR"/>
        </w:rPr>
        <w:t>7</w:t>
      </w:r>
    </w:p>
    <w:p w:rsidR="0040656C" w:rsidRDefault="0040656C" w:rsidP="00E243D7">
      <w:pPr>
        <w:tabs>
          <w:tab w:val="right" w:pos="850"/>
          <w:tab w:val="right" w:leader="dot" w:pos="7654"/>
          <w:tab w:val="right" w:pos="8929"/>
          <w:tab w:val="right" w:pos="9638"/>
        </w:tabs>
        <w:spacing w:after="120"/>
        <w:ind w:left="1134" w:hanging="1134"/>
        <w:rPr>
          <w:lang w:val="fr-FR"/>
        </w:rPr>
      </w:pPr>
      <w:r>
        <w:rPr>
          <w:lang w:val="fr-FR"/>
        </w:rPr>
        <w:tab/>
        <w:t>XV.</w:t>
      </w:r>
      <w:r>
        <w:rPr>
          <w:lang w:val="fr-FR"/>
        </w:rPr>
        <w:tab/>
      </w:r>
      <w:r w:rsidRPr="00350AAB">
        <w:rPr>
          <w:lang w:val="fr-FR"/>
        </w:rPr>
        <w:t>Mise au point d’une homo</w:t>
      </w:r>
      <w:r>
        <w:rPr>
          <w:lang w:val="fr-FR"/>
        </w:rPr>
        <w:t>logation de type internationale de l’ensemble</w:t>
      </w:r>
      <w:r>
        <w:rPr>
          <w:lang w:val="fr-FR"/>
        </w:rPr>
        <w:br/>
      </w:r>
      <w:r w:rsidRPr="00350AAB">
        <w:rPr>
          <w:lang w:val="fr-FR"/>
        </w:rPr>
        <w:t>du véhicu</w:t>
      </w:r>
      <w:r>
        <w:rPr>
          <w:lang w:val="fr-FR"/>
        </w:rPr>
        <w:t xml:space="preserve">le et participation des Groupes </w:t>
      </w:r>
      <w:r w:rsidRPr="00350AAB">
        <w:rPr>
          <w:lang w:val="fr-FR"/>
        </w:rPr>
        <w:t>d</w:t>
      </w:r>
      <w:r>
        <w:rPr>
          <w:lang w:val="fr-FR"/>
        </w:rPr>
        <w:t>e travail à cette mise au point</w:t>
      </w:r>
      <w:r>
        <w:rPr>
          <w:lang w:val="fr-FR"/>
        </w:rPr>
        <w:br/>
      </w:r>
      <w:r w:rsidRPr="00350AAB">
        <w:rPr>
          <w:lang w:val="fr-FR"/>
        </w:rPr>
        <w:t>(point 14 de l’ordre du jour)</w:t>
      </w:r>
      <w:r>
        <w:rPr>
          <w:lang w:val="fr-FR"/>
        </w:rPr>
        <w:tab/>
      </w:r>
      <w:r>
        <w:rPr>
          <w:lang w:val="fr-FR"/>
        </w:rPr>
        <w:tab/>
        <w:t>25</w:t>
      </w:r>
      <w:r>
        <w:rPr>
          <w:lang w:val="fr-FR"/>
        </w:rPr>
        <w:tab/>
      </w:r>
      <w:r w:rsidR="00D60E72">
        <w:rPr>
          <w:lang w:val="fr-FR"/>
        </w:rPr>
        <w:t>7</w:t>
      </w:r>
    </w:p>
    <w:p w:rsidR="0040656C" w:rsidRDefault="0040656C" w:rsidP="00E243D7">
      <w:pPr>
        <w:tabs>
          <w:tab w:val="right" w:pos="850"/>
          <w:tab w:val="right" w:leader="dot" w:pos="7654"/>
          <w:tab w:val="right" w:pos="8929"/>
          <w:tab w:val="right" w:pos="9638"/>
        </w:tabs>
        <w:spacing w:after="120"/>
        <w:ind w:left="1134" w:hanging="1134"/>
        <w:rPr>
          <w:lang w:val="fr-FR"/>
        </w:rPr>
      </w:pPr>
      <w:r>
        <w:rPr>
          <w:lang w:val="fr-FR"/>
        </w:rPr>
        <w:tab/>
        <w:t>XVI.</w:t>
      </w:r>
      <w:r>
        <w:rPr>
          <w:lang w:val="fr-FR"/>
        </w:rPr>
        <w:tab/>
      </w:r>
      <w:r w:rsidRPr="00350AAB">
        <w:rPr>
          <w:lang w:val="fr-FR"/>
        </w:rPr>
        <w:t xml:space="preserve">Points saillants de la session de novembre 2017 du WP.29 </w:t>
      </w:r>
      <w:r w:rsidRPr="00350AAB">
        <w:rPr>
          <w:lang w:val="fr-FR"/>
        </w:rPr>
        <w:br/>
        <w:t>(point 15 de l’ordre du jour)</w:t>
      </w:r>
      <w:r>
        <w:rPr>
          <w:lang w:val="fr-FR"/>
        </w:rPr>
        <w:tab/>
      </w:r>
      <w:r>
        <w:rPr>
          <w:lang w:val="fr-FR"/>
        </w:rPr>
        <w:tab/>
        <w:t>26</w:t>
      </w:r>
      <w:r>
        <w:rPr>
          <w:lang w:val="fr-FR"/>
        </w:rPr>
        <w:tab/>
      </w:r>
      <w:r w:rsidR="00D60E72">
        <w:rPr>
          <w:lang w:val="fr-FR"/>
        </w:rPr>
        <w:t>7</w:t>
      </w:r>
    </w:p>
    <w:p w:rsidR="0040656C" w:rsidRDefault="0040656C" w:rsidP="00E243D7">
      <w:pPr>
        <w:tabs>
          <w:tab w:val="right" w:pos="850"/>
          <w:tab w:val="right" w:leader="dot" w:pos="7654"/>
          <w:tab w:val="right" w:pos="8929"/>
          <w:tab w:val="right" w:pos="9638"/>
        </w:tabs>
        <w:spacing w:after="120"/>
        <w:ind w:left="1134" w:hanging="1134"/>
        <w:rPr>
          <w:lang w:val="fr-FR"/>
        </w:rPr>
      </w:pPr>
      <w:r>
        <w:rPr>
          <w:lang w:val="fr-FR"/>
        </w:rPr>
        <w:tab/>
        <w:t>XVII.</w:t>
      </w:r>
      <w:r>
        <w:rPr>
          <w:lang w:val="fr-FR"/>
        </w:rPr>
        <w:tab/>
        <w:t>É</w:t>
      </w:r>
      <w:r w:rsidRPr="00350AAB">
        <w:rPr>
          <w:lang w:val="fr-FR"/>
        </w:rPr>
        <w:t>change de vue sur les trav</w:t>
      </w:r>
      <w:r>
        <w:rPr>
          <w:lang w:val="fr-FR"/>
        </w:rPr>
        <w:t>aux futurs du Groupe de travail</w:t>
      </w:r>
      <w:r>
        <w:rPr>
          <w:lang w:val="fr-FR"/>
        </w:rPr>
        <w:br/>
      </w:r>
      <w:r w:rsidRPr="00350AAB">
        <w:rPr>
          <w:lang w:val="fr-FR"/>
        </w:rPr>
        <w:t>(point 16 de l’ordre du jour)</w:t>
      </w:r>
      <w:r>
        <w:rPr>
          <w:lang w:val="fr-FR"/>
        </w:rPr>
        <w:tab/>
      </w:r>
      <w:r>
        <w:rPr>
          <w:lang w:val="fr-FR"/>
        </w:rPr>
        <w:tab/>
        <w:t>27</w:t>
      </w:r>
      <w:r>
        <w:rPr>
          <w:lang w:val="fr-FR"/>
        </w:rPr>
        <w:tab/>
      </w:r>
      <w:r w:rsidR="00D60E72">
        <w:rPr>
          <w:lang w:val="fr-FR"/>
        </w:rPr>
        <w:t>7</w:t>
      </w:r>
    </w:p>
    <w:p w:rsidR="0040656C" w:rsidRDefault="0040656C" w:rsidP="00E243D7">
      <w:pPr>
        <w:tabs>
          <w:tab w:val="right" w:pos="850"/>
          <w:tab w:val="right" w:leader="dot" w:pos="7654"/>
          <w:tab w:val="right" w:pos="8929"/>
          <w:tab w:val="right" w:pos="9638"/>
        </w:tabs>
        <w:spacing w:after="120"/>
        <w:ind w:left="1134" w:hanging="1134"/>
        <w:rPr>
          <w:lang w:val="fr-FR"/>
        </w:rPr>
      </w:pPr>
      <w:r>
        <w:rPr>
          <w:lang w:val="fr-FR"/>
        </w:rPr>
        <w:tab/>
        <w:t>XVIII.</w:t>
      </w:r>
      <w:r>
        <w:rPr>
          <w:lang w:val="fr-FR"/>
        </w:rPr>
        <w:tab/>
      </w:r>
      <w:r w:rsidRPr="00350AAB">
        <w:rPr>
          <w:lang w:val="fr-FR"/>
        </w:rPr>
        <w:t>Questions diverses (point 17 de l’ordre du jour)</w:t>
      </w:r>
      <w:r>
        <w:rPr>
          <w:lang w:val="fr-FR"/>
        </w:rPr>
        <w:tab/>
      </w:r>
      <w:r>
        <w:rPr>
          <w:lang w:val="fr-FR"/>
        </w:rPr>
        <w:tab/>
        <w:t>28−30</w:t>
      </w:r>
      <w:r>
        <w:rPr>
          <w:lang w:val="fr-FR"/>
        </w:rPr>
        <w:tab/>
      </w:r>
      <w:r w:rsidR="00D60E72">
        <w:rPr>
          <w:lang w:val="fr-FR"/>
        </w:rPr>
        <w:t>8</w:t>
      </w:r>
    </w:p>
    <w:p w:rsidR="0040656C" w:rsidRDefault="0040656C" w:rsidP="00E243D7">
      <w:pPr>
        <w:tabs>
          <w:tab w:val="right" w:pos="850"/>
          <w:tab w:val="right" w:leader="dot" w:pos="7654"/>
          <w:tab w:val="right" w:pos="8929"/>
          <w:tab w:val="right" w:pos="9638"/>
        </w:tabs>
        <w:spacing w:after="120"/>
        <w:ind w:left="1134" w:hanging="1134"/>
      </w:pPr>
      <w:r>
        <w:rPr>
          <w:lang w:val="fr-FR"/>
        </w:rPr>
        <w:tab/>
        <w:t>XIX.</w:t>
      </w:r>
      <w:r>
        <w:rPr>
          <w:lang w:val="fr-FR"/>
        </w:rPr>
        <w:tab/>
      </w:r>
      <w:r w:rsidRPr="00350AAB">
        <w:rPr>
          <w:lang w:val="fr-FR"/>
        </w:rPr>
        <w:t xml:space="preserve">Ordre du jour provisoire de la soixante-huitième session </w:t>
      </w:r>
      <w:r w:rsidRPr="00350AAB">
        <w:rPr>
          <w:lang w:val="fr-FR"/>
        </w:rPr>
        <w:br/>
        <w:t>(point 18 de l’ordre du jour)</w:t>
      </w:r>
      <w:r>
        <w:rPr>
          <w:lang w:val="fr-FR"/>
        </w:rPr>
        <w:tab/>
      </w:r>
      <w:r>
        <w:rPr>
          <w:lang w:val="fr-FR"/>
        </w:rPr>
        <w:tab/>
        <w:t>31</w:t>
      </w:r>
      <w:r>
        <w:rPr>
          <w:lang w:val="fr-FR"/>
        </w:rPr>
        <w:tab/>
      </w:r>
      <w:r w:rsidR="00D60E72">
        <w:rPr>
          <w:lang w:val="fr-FR"/>
        </w:rPr>
        <w:t>8</w:t>
      </w:r>
    </w:p>
    <w:p w:rsidR="00350AAB" w:rsidRPr="00350AAB" w:rsidRDefault="00350AAB" w:rsidP="00350AAB">
      <w:pPr>
        <w:tabs>
          <w:tab w:val="right" w:pos="850"/>
        </w:tabs>
        <w:spacing w:after="120"/>
      </w:pPr>
      <w:r>
        <w:tab/>
        <w:t>Annexes</w:t>
      </w:r>
    </w:p>
    <w:p w:rsidR="00350AAB" w:rsidRDefault="00350AAB" w:rsidP="00350AAB">
      <w:pPr>
        <w:tabs>
          <w:tab w:val="right" w:pos="850"/>
          <w:tab w:val="right" w:leader="dot" w:pos="8929"/>
          <w:tab w:val="right" w:pos="9638"/>
        </w:tabs>
        <w:spacing w:after="120"/>
        <w:ind w:left="1134" w:hanging="1134"/>
      </w:pPr>
      <w:r>
        <w:tab/>
        <w:t>I.</w:t>
      </w:r>
      <w:r>
        <w:tab/>
      </w:r>
      <w:r w:rsidR="0040656C" w:rsidRPr="008938E4">
        <w:rPr>
          <w:lang w:val="fr-FR"/>
        </w:rPr>
        <w:t>Liste des documents informel</w:t>
      </w:r>
      <w:r w:rsidR="0040656C">
        <w:rPr>
          <w:lang w:val="fr-FR"/>
        </w:rPr>
        <w:t>s (GRB-67-…) distribués pendant</w:t>
      </w:r>
      <w:r w:rsidR="00D60E72">
        <w:rPr>
          <w:lang w:val="fr-FR"/>
        </w:rPr>
        <w:t xml:space="preserve"> </w:t>
      </w:r>
      <w:r w:rsidR="0040656C" w:rsidRPr="008938E4">
        <w:rPr>
          <w:lang w:val="fr-FR"/>
        </w:rPr>
        <w:t>la session</w:t>
      </w:r>
      <w:r>
        <w:tab/>
      </w:r>
      <w:r>
        <w:tab/>
      </w:r>
      <w:r w:rsidR="00D60E72">
        <w:t>9</w:t>
      </w:r>
    </w:p>
    <w:p w:rsidR="0040656C" w:rsidRDefault="0040656C" w:rsidP="00350AAB">
      <w:pPr>
        <w:tabs>
          <w:tab w:val="right" w:pos="850"/>
          <w:tab w:val="right" w:leader="dot" w:pos="8929"/>
          <w:tab w:val="right" w:pos="9638"/>
        </w:tabs>
        <w:spacing w:after="120"/>
        <w:ind w:left="1134" w:hanging="1134"/>
        <w:rPr>
          <w:lang w:val="fr-FR"/>
        </w:rPr>
      </w:pPr>
      <w:r>
        <w:tab/>
        <w:t>II.</w:t>
      </w:r>
      <w:r>
        <w:tab/>
      </w:r>
      <w:r w:rsidRPr="00350AAB">
        <w:rPr>
          <w:lang w:val="fr-FR"/>
        </w:rPr>
        <w:t xml:space="preserve">Amendements au Règlement </w:t>
      </w:r>
      <w:r w:rsidRPr="009C37F5">
        <w:rPr>
          <w:rFonts w:eastAsia="MS Mincho"/>
          <w:lang w:val="fr-FR"/>
        </w:rPr>
        <w:t>n</w:t>
      </w:r>
      <w:r w:rsidRPr="009C37F5">
        <w:rPr>
          <w:rFonts w:eastAsia="MS Mincho"/>
          <w:vertAlign w:val="superscript"/>
          <w:lang w:val="fr-FR"/>
        </w:rPr>
        <w:t>o</w:t>
      </w:r>
      <w:r>
        <w:rPr>
          <w:lang w:val="fr-FR"/>
        </w:rPr>
        <w:t> </w:t>
      </w:r>
      <w:r w:rsidRPr="00350AAB">
        <w:rPr>
          <w:lang w:val="fr-FR"/>
        </w:rPr>
        <w:t xml:space="preserve">51 </w:t>
      </w:r>
      <w:r>
        <w:rPr>
          <w:lang w:val="fr-FR"/>
        </w:rPr>
        <w:t>qui ont été adoptés</w:t>
      </w:r>
      <w:r>
        <w:rPr>
          <w:lang w:val="fr-FR"/>
        </w:rPr>
        <w:br/>
      </w:r>
      <w:r w:rsidRPr="00350AAB">
        <w:rPr>
          <w:lang w:val="fr-FR"/>
        </w:rPr>
        <w:t>(ECE/TRANS/WP.29/GRB/2018/3)</w:t>
      </w:r>
      <w:r>
        <w:rPr>
          <w:lang w:val="fr-FR"/>
        </w:rPr>
        <w:tab/>
      </w:r>
      <w:r>
        <w:rPr>
          <w:lang w:val="fr-FR"/>
        </w:rPr>
        <w:tab/>
      </w:r>
      <w:r w:rsidR="00D60E72">
        <w:rPr>
          <w:lang w:val="fr-FR"/>
        </w:rPr>
        <w:t>11</w:t>
      </w:r>
    </w:p>
    <w:p w:rsidR="0040656C" w:rsidRDefault="0040656C" w:rsidP="00350AAB">
      <w:pPr>
        <w:tabs>
          <w:tab w:val="right" w:pos="850"/>
          <w:tab w:val="right" w:leader="dot" w:pos="8929"/>
          <w:tab w:val="right" w:pos="9638"/>
        </w:tabs>
        <w:spacing w:after="120"/>
        <w:ind w:left="1134" w:hanging="1134"/>
        <w:rPr>
          <w:lang w:val="fr-FR"/>
        </w:rPr>
      </w:pPr>
      <w:r>
        <w:rPr>
          <w:lang w:val="fr-FR"/>
        </w:rPr>
        <w:tab/>
        <w:t>III.</w:t>
      </w:r>
      <w:r>
        <w:rPr>
          <w:lang w:val="fr-FR"/>
        </w:rPr>
        <w:tab/>
      </w:r>
      <w:r w:rsidRPr="00350AAB">
        <w:rPr>
          <w:lang w:val="fr-FR"/>
        </w:rPr>
        <w:t xml:space="preserve">Amendements au Règlement </w:t>
      </w:r>
      <w:r w:rsidRPr="00246BD4">
        <w:rPr>
          <w:rFonts w:eastAsia="MS Mincho"/>
          <w:lang w:val="fr-FR"/>
        </w:rPr>
        <w:t>n</w:t>
      </w:r>
      <w:r w:rsidRPr="00246BD4">
        <w:rPr>
          <w:rFonts w:eastAsia="MS Mincho"/>
          <w:vertAlign w:val="superscript"/>
          <w:lang w:val="fr-FR"/>
        </w:rPr>
        <w:t>o</w:t>
      </w:r>
      <w:r>
        <w:rPr>
          <w:lang w:val="fr-FR"/>
        </w:rPr>
        <w:t> 51 qui ont été adoptés</w:t>
      </w:r>
      <w:r>
        <w:rPr>
          <w:lang w:val="fr-FR"/>
        </w:rPr>
        <w:br/>
      </w:r>
      <w:r w:rsidRPr="00350AAB">
        <w:rPr>
          <w:lang w:val="fr-FR"/>
        </w:rPr>
        <w:t>(ECE/TRANS/WP.29/GRB/2018/2)</w:t>
      </w:r>
      <w:r>
        <w:rPr>
          <w:lang w:val="fr-FR"/>
        </w:rPr>
        <w:tab/>
      </w:r>
      <w:r>
        <w:rPr>
          <w:lang w:val="fr-FR"/>
        </w:rPr>
        <w:tab/>
      </w:r>
      <w:r w:rsidR="00D60E72">
        <w:rPr>
          <w:lang w:val="fr-FR"/>
        </w:rPr>
        <w:t>17</w:t>
      </w:r>
    </w:p>
    <w:p w:rsidR="0040656C" w:rsidRDefault="0040656C" w:rsidP="00350AAB">
      <w:pPr>
        <w:tabs>
          <w:tab w:val="right" w:pos="850"/>
          <w:tab w:val="right" w:leader="dot" w:pos="8929"/>
          <w:tab w:val="right" w:pos="9638"/>
        </w:tabs>
        <w:spacing w:after="120"/>
        <w:ind w:left="1134" w:hanging="1134"/>
      </w:pPr>
      <w:r>
        <w:rPr>
          <w:lang w:val="fr-FR"/>
        </w:rPr>
        <w:tab/>
        <w:t>IV.</w:t>
      </w:r>
      <w:r>
        <w:rPr>
          <w:lang w:val="fr-FR"/>
        </w:rPr>
        <w:tab/>
      </w:r>
      <w:r w:rsidRPr="00350AAB">
        <w:rPr>
          <w:lang w:val="fr-FR"/>
        </w:rPr>
        <w:t>Groupes de travail informels relevant du GRB</w:t>
      </w:r>
      <w:r>
        <w:rPr>
          <w:lang w:val="fr-FR"/>
        </w:rPr>
        <w:tab/>
      </w:r>
      <w:r>
        <w:rPr>
          <w:lang w:val="fr-FR"/>
        </w:rPr>
        <w:tab/>
      </w:r>
      <w:r w:rsidR="00D60E72">
        <w:rPr>
          <w:lang w:val="fr-FR"/>
        </w:rPr>
        <w:t>20</w:t>
      </w:r>
    </w:p>
    <w:p w:rsidR="00350AAB" w:rsidRPr="00350AAB" w:rsidRDefault="00350AAB" w:rsidP="00350AAB">
      <w:pPr>
        <w:pStyle w:val="HChG"/>
        <w:rPr>
          <w:lang w:val="fr-FR"/>
        </w:rPr>
      </w:pPr>
      <w:r>
        <w:br w:type="page"/>
      </w:r>
      <w:r w:rsidR="00903F96">
        <w:rPr>
          <w:lang w:val="fr-FR"/>
        </w:rPr>
        <w:lastRenderedPageBreak/>
        <w:tab/>
      </w:r>
      <w:r w:rsidRPr="00350AAB">
        <w:rPr>
          <w:lang w:val="fr-FR"/>
        </w:rPr>
        <w:t>I.</w:t>
      </w:r>
      <w:r w:rsidRPr="00350AAB">
        <w:rPr>
          <w:lang w:val="fr-FR"/>
        </w:rPr>
        <w:tab/>
        <w:t>Participation</w:t>
      </w:r>
    </w:p>
    <w:p w:rsidR="00350AAB" w:rsidRPr="00350AAB" w:rsidRDefault="00350AAB" w:rsidP="00350AAB">
      <w:pPr>
        <w:pStyle w:val="SingleTxtG"/>
        <w:rPr>
          <w:lang w:val="fr-FR"/>
        </w:rPr>
      </w:pPr>
      <w:bookmarkStart w:id="1" w:name="bookmark_14"/>
      <w:r w:rsidRPr="00350AAB">
        <w:rPr>
          <w:lang w:val="fr-FR"/>
        </w:rPr>
        <w:t>1.</w:t>
      </w:r>
      <w:r w:rsidRPr="00350AAB">
        <w:rPr>
          <w:lang w:val="fr-FR"/>
        </w:rPr>
        <w:tab/>
        <w:t>Le Groupe de travail du bruit (GRB) a tenu sa soixante-septième session du 24 au 26 janvier 2018, à Genève. La session était présidée par M. S. Ficheux (France). Y ont participé, conformément à l’article 1 a) du Règlement intérieur du Forum mondial de l’harmonisation des Règlements concernant les véhicules (WP.29) (TRANS/WP.29/690), des représentants des pays suivants : Allemagne, Chine, Espagne, Fédération de Russie, France, Hongrie, Inde, Italie, Japon, Norvège, Pays-Bas, Pologne, République de Corée, Suède, Suisse et Turquie. Des experts de la Commission européenne (CE) étaient également présents. Des experts des organisations non gouvernementales suivantes ont aussi participé à la session : Association européenne des fournisseurs de l’automobile (CLEPA), Organisation technique européenne du pneumatique et de la jante (ETRTO), Association internationale des constructeurs de motocycles (IMMA), Organisation internationale de normalisation (ISO), Organisation internationale des constructeurs d’automobiles (OICA) et Union mondiale des aveugles (UMA).</w:t>
      </w:r>
      <w:bookmarkEnd w:id="1"/>
    </w:p>
    <w:p w:rsidR="00350AAB" w:rsidRPr="00350AAB" w:rsidRDefault="00350AAB" w:rsidP="00350AAB">
      <w:pPr>
        <w:pStyle w:val="HChG"/>
        <w:rPr>
          <w:lang w:val="fr-FR"/>
        </w:rPr>
      </w:pPr>
      <w:bookmarkStart w:id="2" w:name="bookmark_15"/>
      <w:r w:rsidRPr="00350AAB">
        <w:rPr>
          <w:lang w:val="fr-FR"/>
        </w:rPr>
        <w:tab/>
        <w:t>II.</w:t>
      </w:r>
      <w:r w:rsidRPr="00350AAB">
        <w:rPr>
          <w:lang w:val="fr-FR"/>
        </w:rPr>
        <w:tab/>
        <w:t>Adoption de l’ordre du jour (point 1 de l’ordre du jour)</w:t>
      </w:r>
      <w:bookmarkEnd w:id="2"/>
    </w:p>
    <w:p w:rsidR="00350AAB" w:rsidRDefault="00350AAB" w:rsidP="00350AAB">
      <w:pPr>
        <w:pStyle w:val="SingleTxtG"/>
        <w:rPr>
          <w:lang w:val="fr-FR"/>
        </w:rPr>
      </w:pPr>
      <w:bookmarkStart w:id="3" w:name="bookmark_16"/>
      <w:r w:rsidRPr="00350AAB">
        <w:rPr>
          <w:b/>
          <w:lang w:val="fr-FR"/>
        </w:rPr>
        <w:t>Document </w:t>
      </w:r>
      <w:r>
        <w:rPr>
          <w:b/>
          <w:lang w:val="fr-FR"/>
        </w:rPr>
        <w:t>(s)</w:t>
      </w:r>
      <w:r w:rsidRPr="00350AAB">
        <w:rPr>
          <w:b/>
          <w:lang w:val="fr-FR"/>
        </w:rPr>
        <w:t>:</w:t>
      </w:r>
    </w:p>
    <w:p w:rsidR="00350AAB" w:rsidRPr="00350AAB" w:rsidRDefault="00350AAB" w:rsidP="00350AAB">
      <w:pPr>
        <w:pStyle w:val="SingleTxtG"/>
        <w:rPr>
          <w:lang w:val="fr-FR"/>
        </w:rPr>
      </w:pPr>
      <w:r w:rsidRPr="00350AAB">
        <w:rPr>
          <w:lang w:val="fr-FR"/>
        </w:rPr>
        <w:t>ECE/TRANS/WP.29/GRB/2018/</w:t>
      </w:r>
      <w:bookmarkEnd w:id="3"/>
      <w:r w:rsidR="00D02708">
        <w:rPr>
          <w:lang w:val="fr-FR"/>
        </w:rPr>
        <w:t>1</w:t>
      </w:r>
    </w:p>
    <w:p w:rsidR="00350AAB" w:rsidRPr="00350AAB" w:rsidRDefault="00350AAB" w:rsidP="00350AAB">
      <w:pPr>
        <w:pStyle w:val="SingleTxtG"/>
        <w:rPr>
          <w:lang w:val="fr-FR"/>
        </w:rPr>
      </w:pPr>
      <w:bookmarkStart w:id="4" w:name="bookmark_17"/>
      <w:r w:rsidRPr="00350AAB">
        <w:rPr>
          <w:lang w:val="fr-FR"/>
        </w:rPr>
        <w:t>2.</w:t>
      </w:r>
      <w:r w:rsidRPr="00350AAB">
        <w:rPr>
          <w:lang w:val="fr-FR"/>
        </w:rPr>
        <w:tab/>
        <w:t>Le Groupe de travail a examiné et adopté l’ordre du jour. La liste des documents informels figure à l’annexe I du rapport. La liste des groupes informels du GRB est reproduite à l’annexe IV.</w:t>
      </w:r>
      <w:bookmarkEnd w:id="4"/>
    </w:p>
    <w:p w:rsidR="00350AAB" w:rsidRPr="00350AAB" w:rsidRDefault="00350AAB" w:rsidP="00350AAB">
      <w:pPr>
        <w:pStyle w:val="HChG"/>
        <w:rPr>
          <w:lang w:val="fr-FR"/>
        </w:rPr>
      </w:pPr>
      <w:bookmarkStart w:id="5" w:name="bookmark_18"/>
      <w:r w:rsidRPr="00350AAB">
        <w:rPr>
          <w:lang w:val="fr-FR"/>
        </w:rPr>
        <w:tab/>
        <w:t>III.</w:t>
      </w:r>
      <w:r w:rsidRPr="00350AAB">
        <w:rPr>
          <w:lang w:val="fr-FR"/>
        </w:rPr>
        <w:tab/>
        <w:t xml:space="preserve">Règlement </w:t>
      </w:r>
      <w:r w:rsidRPr="00350AAB">
        <w:rPr>
          <w:rFonts w:eastAsia="MS Mincho"/>
          <w:lang w:val="fr-FR"/>
        </w:rPr>
        <w:t>n</w:t>
      </w:r>
      <w:r w:rsidRPr="00350AAB">
        <w:rPr>
          <w:rFonts w:eastAsia="MS Mincho"/>
          <w:vertAlign w:val="superscript"/>
          <w:lang w:val="fr-FR"/>
        </w:rPr>
        <w:t>o</w:t>
      </w:r>
      <w:r w:rsidRPr="00350AAB">
        <w:rPr>
          <w:lang w:val="fr-FR"/>
        </w:rPr>
        <w:t xml:space="preserve"> 28 (Avertisseurs sonores) </w:t>
      </w:r>
      <w:r w:rsidRPr="00350AAB">
        <w:rPr>
          <w:lang w:val="fr-FR"/>
        </w:rPr>
        <w:br/>
        <w:t>(point 2 de l’ordre du jour)</w:t>
      </w:r>
      <w:bookmarkEnd w:id="5"/>
    </w:p>
    <w:p w:rsidR="00350AAB" w:rsidRPr="00350AAB" w:rsidRDefault="00350AAB" w:rsidP="00350AAB">
      <w:pPr>
        <w:pStyle w:val="SingleTxtG"/>
        <w:rPr>
          <w:lang w:val="fr-FR"/>
        </w:rPr>
      </w:pPr>
      <w:bookmarkStart w:id="6" w:name="bookmark_19"/>
      <w:r w:rsidRPr="00350AAB">
        <w:rPr>
          <w:lang w:val="fr-FR"/>
        </w:rPr>
        <w:t>3.</w:t>
      </w:r>
      <w:r w:rsidRPr="00350AAB">
        <w:rPr>
          <w:lang w:val="fr-FR"/>
        </w:rPr>
        <w:tab/>
        <w:t xml:space="preserve">Aucune question n’a été examinée au titre de ce point de l’ordre du jour. </w:t>
      </w:r>
      <w:bookmarkEnd w:id="6"/>
    </w:p>
    <w:p w:rsidR="00350AAB" w:rsidRPr="00350AAB" w:rsidRDefault="00350AAB" w:rsidP="00350AAB">
      <w:pPr>
        <w:pStyle w:val="HChG"/>
        <w:rPr>
          <w:lang w:val="fr-FR"/>
        </w:rPr>
      </w:pPr>
      <w:bookmarkStart w:id="7" w:name="bookmark_20"/>
      <w:r w:rsidRPr="00350AAB">
        <w:rPr>
          <w:lang w:val="fr-FR"/>
        </w:rPr>
        <w:tab/>
        <w:t>IV.</w:t>
      </w:r>
      <w:r w:rsidRPr="00350AAB">
        <w:rPr>
          <w:lang w:val="fr-FR"/>
        </w:rPr>
        <w:tab/>
        <w:t xml:space="preserve">Règlement </w:t>
      </w:r>
      <w:r w:rsidRPr="00350AAB">
        <w:rPr>
          <w:rFonts w:eastAsia="MS Mincho"/>
          <w:lang w:val="fr-FR"/>
        </w:rPr>
        <w:t>n</w:t>
      </w:r>
      <w:r w:rsidRPr="00350AAB">
        <w:rPr>
          <w:rFonts w:eastAsia="MS Mincho"/>
          <w:vertAlign w:val="superscript"/>
          <w:lang w:val="fr-FR"/>
        </w:rPr>
        <w:t>o</w:t>
      </w:r>
      <w:r w:rsidRPr="00350AAB">
        <w:rPr>
          <w:lang w:val="fr-FR"/>
        </w:rPr>
        <w:t> 41 (Bruit émis par les motocycles) : Extension (point 3 de l’ordre du jour)</w:t>
      </w:r>
      <w:bookmarkEnd w:id="7"/>
    </w:p>
    <w:p w:rsidR="00350AAB" w:rsidRDefault="00350AAB" w:rsidP="00350AAB">
      <w:pPr>
        <w:pStyle w:val="SingleTxtG"/>
        <w:jc w:val="left"/>
        <w:rPr>
          <w:b/>
          <w:lang w:val="fr-FR"/>
        </w:rPr>
      </w:pPr>
      <w:bookmarkStart w:id="8" w:name="bookmark_21"/>
      <w:r w:rsidRPr="00350AAB">
        <w:rPr>
          <w:b/>
          <w:lang w:val="fr-FR"/>
        </w:rPr>
        <w:t>Document</w:t>
      </w:r>
      <w:r>
        <w:rPr>
          <w:b/>
          <w:lang w:val="fr-FR"/>
        </w:rPr>
        <w:t>(s)</w:t>
      </w:r>
      <w:r w:rsidR="008938E4">
        <w:rPr>
          <w:b/>
          <w:lang w:val="fr-FR"/>
        </w:rPr>
        <w:t> :</w:t>
      </w:r>
    </w:p>
    <w:p w:rsidR="00350AAB" w:rsidRPr="00350AAB" w:rsidRDefault="00C50D35" w:rsidP="00350AAB">
      <w:pPr>
        <w:pStyle w:val="SingleTxtG"/>
        <w:jc w:val="left"/>
        <w:rPr>
          <w:lang w:val="fr-FR"/>
        </w:rPr>
      </w:pPr>
      <w:r>
        <w:rPr>
          <w:lang w:val="fr-FR"/>
        </w:rPr>
        <w:t xml:space="preserve">Documents informels </w:t>
      </w:r>
      <w:r w:rsidR="00350AAB" w:rsidRPr="00350AAB">
        <w:rPr>
          <w:lang w:val="fr-FR"/>
        </w:rPr>
        <w:t>GRB-67-12, GRB-67-13 et GRB-67-16-Rev.1</w:t>
      </w:r>
      <w:bookmarkEnd w:id="8"/>
    </w:p>
    <w:p w:rsidR="00350AAB" w:rsidRPr="00350AAB" w:rsidRDefault="00350AAB" w:rsidP="00350AAB">
      <w:pPr>
        <w:pStyle w:val="SingleTxtG"/>
        <w:rPr>
          <w:lang w:val="fr-FR"/>
        </w:rPr>
      </w:pPr>
      <w:bookmarkStart w:id="9" w:name="bookmark_22"/>
      <w:r w:rsidRPr="00350AAB">
        <w:rPr>
          <w:lang w:val="fr-FR"/>
        </w:rPr>
        <w:t>4.</w:t>
      </w:r>
      <w:r w:rsidRPr="00350AAB">
        <w:rPr>
          <w:lang w:val="fr-FR"/>
        </w:rPr>
        <w:tab/>
        <w:t>L’expert de la Commission européenne a rendu compte des progrès réalisés dans l’étude sur les limites sonores Euro 5 applicables aux véhicules de la catégorie L (GRB-67-13) et notamment des résultats d’une analyse coûts/avantages. Selon lui, cette étude donne à penser qu’il devrait être possible d’abaisser les limites sonore</w:t>
      </w:r>
      <w:r w:rsidR="00D02708">
        <w:rPr>
          <w:lang w:val="fr-FR"/>
        </w:rPr>
        <w:t>s des véhicules de la catégorie </w:t>
      </w:r>
      <w:r w:rsidRPr="00350AAB">
        <w:rPr>
          <w:lang w:val="fr-FR"/>
        </w:rPr>
        <w:t xml:space="preserve">L. L’expert de l’IMMA a estimé pour sa part que l’étude ne prenait pas suffisamment en considération de nombreux types de véhicules et que l’abaissement des limites sonores pour l’homologation de type ne résoudrait pas le principal problème qui est celui que posent les véhicules isolés trop bruyants (GRB-67-16-Rev.1). </w:t>
      </w:r>
      <w:bookmarkEnd w:id="9"/>
    </w:p>
    <w:p w:rsidR="00350AAB" w:rsidRPr="00350AAB" w:rsidRDefault="00350AAB" w:rsidP="00350AAB">
      <w:pPr>
        <w:pStyle w:val="SingleTxtG"/>
        <w:rPr>
          <w:lang w:val="fr-FR"/>
        </w:rPr>
      </w:pPr>
      <w:bookmarkStart w:id="10" w:name="bookmark_23"/>
      <w:r w:rsidRPr="00350AAB">
        <w:rPr>
          <w:lang w:val="fr-FR"/>
        </w:rPr>
        <w:t>5.</w:t>
      </w:r>
      <w:r w:rsidRPr="00350AAB">
        <w:rPr>
          <w:lang w:val="fr-FR"/>
        </w:rPr>
        <w:tab/>
        <w:t xml:space="preserve">Les experts de l’Allemagne, de l’Espagne et des Pays-Bas se sont interrogés sur le bien-fondé des hypothèses formulées dans l’étude et ils ont fait remarquer que les mesures proposées n’empêcheraient pas le montage, après coup, de dispositifs non autorisés, notamment des silencieux, qui étaient au cœur du problème. </w:t>
      </w:r>
      <w:bookmarkEnd w:id="10"/>
      <w:r w:rsidRPr="00350AAB">
        <w:rPr>
          <w:lang w:val="fr-FR"/>
        </w:rPr>
        <w:t>Le Président a invité la Commission européenne à prendre en considération les observations formulées et à travailler étroitement avec les Parties contractantes, l’IMMA et les autres parties prenantes à l’élaboration de solutions concrètes.</w:t>
      </w:r>
    </w:p>
    <w:p w:rsidR="00350AAB" w:rsidRPr="00350AAB" w:rsidRDefault="00350AAB" w:rsidP="00350AAB">
      <w:pPr>
        <w:pStyle w:val="SingleTxtG"/>
        <w:rPr>
          <w:lang w:val="fr-FR"/>
        </w:rPr>
      </w:pPr>
      <w:bookmarkStart w:id="11" w:name="bookmark_24"/>
      <w:r w:rsidRPr="00350AAB">
        <w:rPr>
          <w:lang w:val="fr-FR"/>
        </w:rPr>
        <w:t>6.</w:t>
      </w:r>
      <w:r w:rsidRPr="00350AAB">
        <w:rPr>
          <w:lang w:val="fr-FR"/>
        </w:rPr>
        <w:tab/>
        <w:t xml:space="preserve">L’expert du Japon a rendu compte au Groupe de travail des discussions internes en cours sur les valeurs limites prescrites dans la série 04 d’amendements au Règlement </w:t>
      </w:r>
      <w:r w:rsidR="00D02708" w:rsidRPr="00D02708">
        <w:rPr>
          <w:rFonts w:eastAsia="MS Mincho"/>
          <w:lang w:val="fr-FR"/>
        </w:rPr>
        <w:t>n</w:t>
      </w:r>
      <w:r w:rsidR="00D02708" w:rsidRPr="00D02708">
        <w:rPr>
          <w:rFonts w:eastAsia="MS Mincho"/>
          <w:vertAlign w:val="superscript"/>
          <w:lang w:val="fr-FR"/>
        </w:rPr>
        <w:t>o</w:t>
      </w:r>
      <w:r w:rsidR="00D02708">
        <w:rPr>
          <w:lang w:val="fr-FR"/>
        </w:rPr>
        <w:t> </w:t>
      </w:r>
      <w:r w:rsidRPr="00350AAB">
        <w:rPr>
          <w:lang w:val="fr-FR"/>
        </w:rPr>
        <w:t xml:space="preserve">41, dont les résultats seront bien sûr communiqués. </w:t>
      </w:r>
      <w:bookmarkEnd w:id="11"/>
    </w:p>
    <w:p w:rsidR="00350AAB" w:rsidRPr="00350AAB" w:rsidRDefault="00350AAB" w:rsidP="00350AAB">
      <w:pPr>
        <w:pStyle w:val="SingleTxtG"/>
        <w:rPr>
          <w:lang w:val="fr-FR"/>
        </w:rPr>
      </w:pPr>
      <w:bookmarkStart w:id="12" w:name="bookmark_25"/>
      <w:r w:rsidRPr="00350AAB">
        <w:rPr>
          <w:lang w:val="fr-FR"/>
        </w:rPr>
        <w:lastRenderedPageBreak/>
        <w:t>7.</w:t>
      </w:r>
      <w:r w:rsidRPr="00350AAB">
        <w:rPr>
          <w:lang w:val="fr-FR"/>
        </w:rPr>
        <w:tab/>
        <w:t xml:space="preserve">L’expert de l’IMMA a retiré le document GRB-67-12. </w:t>
      </w:r>
      <w:bookmarkEnd w:id="12"/>
    </w:p>
    <w:p w:rsidR="00350AAB" w:rsidRPr="00350AAB" w:rsidRDefault="00350AAB" w:rsidP="00350AAB">
      <w:pPr>
        <w:pStyle w:val="HChG"/>
        <w:rPr>
          <w:lang w:val="fr-FR"/>
        </w:rPr>
      </w:pPr>
      <w:r w:rsidRPr="00350AAB">
        <w:rPr>
          <w:lang w:val="fr-FR"/>
        </w:rPr>
        <w:tab/>
        <w:t>V.</w:t>
      </w:r>
      <w:r w:rsidRPr="00350AAB">
        <w:rPr>
          <w:lang w:val="fr-FR"/>
        </w:rPr>
        <w:tab/>
        <w:t xml:space="preserve">Règlement </w:t>
      </w:r>
      <w:r w:rsidRPr="00350AAB">
        <w:rPr>
          <w:rFonts w:eastAsia="MS Mincho"/>
          <w:lang w:val="fr-FR"/>
        </w:rPr>
        <w:t>n</w:t>
      </w:r>
      <w:r w:rsidRPr="00350AAB">
        <w:rPr>
          <w:rFonts w:eastAsia="MS Mincho"/>
          <w:vertAlign w:val="superscript"/>
          <w:lang w:val="fr-FR"/>
        </w:rPr>
        <w:t>o</w:t>
      </w:r>
      <w:r>
        <w:rPr>
          <w:lang w:val="fr-FR"/>
        </w:rPr>
        <w:t> </w:t>
      </w:r>
      <w:r w:rsidRPr="00350AAB">
        <w:rPr>
          <w:lang w:val="fr-FR"/>
        </w:rPr>
        <w:t>51 (Bruit émis par les véhicule</w:t>
      </w:r>
      <w:r w:rsidR="00267BF7">
        <w:rPr>
          <w:lang w:val="fr-FR"/>
        </w:rPr>
        <w:t>s des catégories M et N) (point </w:t>
      </w:r>
      <w:r w:rsidRPr="00350AAB">
        <w:rPr>
          <w:lang w:val="fr-FR"/>
        </w:rPr>
        <w:t>4 de l’ordre du jour)</w:t>
      </w:r>
    </w:p>
    <w:p w:rsidR="00350AAB" w:rsidRPr="00350AAB" w:rsidRDefault="00350AAB" w:rsidP="00350AAB">
      <w:pPr>
        <w:pStyle w:val="H1G"/>
        <w:rPr>
          <w:lang w:val="fr-FR"/>
        </w:rPr>
      </w:pPr>
      <w:r w:rsidRPr="00350AAB">
        <w:rPr>
          <w:lang w:val="fr-FR"/>
        </w:rPr>
        <w:tab/>
        <w:t>A.</w:t>
      </w:r>
      <w:r w:rsidRPr="00350AAB">
        <w:rPr>
          <w:lang w:val="fr-FR"/>
        </w:rPr>
        <w:tab/>
        <w:t>Extension</w:t>
      </w:r>
    </w:p>
    <w:p w:rsidR="00350AAB" w:rsidRPr="008938E4" w:rsidRDefault="00350AAB" w:rsidP="00350AAB">
      <w:pPr>
        <w:pStyle w:val="SingleTxtG"/>
        <w:rPr>
          <w:lang w:val="fr-FR"/>
        </w:rPr>
      </w:pPr>
      <w:r w:rsidRPr="00350AAB">
        <w:rPr>
          <w:b/>
          <w:lang w:val="fr-FR"/>
        </w:rPr>
        <w:t>Document</w:t>
      </w:r>
      <w:r>
        <w:rPr>
          <w:b/>
          <w:lang w:val="fr-FR"/>
        </w:rPr>
        <w:t>(</w:t>
      </w:r>
      <w:r w:rsidRPr="00350AAB">
        <w:rPr>
          <w:b/>
          <w:lang w:val="fr-FR"/>
        </w:rPr>
        <w:t>s</w:t>
      </w:r>
      <w:r>
        <w:rPr>
          <w:b/>
          <w:lang w:val="fr-FR"/>
        </w:rPr>
        <w:t>) </w:t>
      </w:r>
      <w:r w:rsidRPr="00350AAB">
        <w:rPr>
          <w:b/>
          <w:lang w:val="fr-FR"/>
        </w:rPr>
        <w:t>:</w:t>
      </w:r>
    </w:p>
    <w:p w:rsidR="00350AAB" w:rsidRPr="00350AAB" w:rsidRDefault="00350AAB" w:rsidP="00267BF7">
      <w:pPr>
        <w:pStyle w:val="SingleTxtG"/>
        <w:jc w:val="left"/>
        <w:rPr>
          <w:lang w:val="fr-FR"/>
        </w:rPr>
      </w:pPr>
      <w:r w:rsidRPr="002F4432">
        <w:t>EC</w:t>
      </w:r>
      <w:r w:rsidR="002E4E52" w:rsidRPr="002F4432">
        <w:t xml:space="preserve">E/TRANS/WP.29/GRB/2018/2, </w:t>
      </w:r>
      <w:r w:rsidRPr="002F4432">
        <w:t xml:space="preserve">ECE/TRANS/WP.29/GRB/2018/3 </w:t>
      </w:r>
      <w:r w:rsidR="002E4E52" w:rsidRPr="002F4432">
        <w:br/>
      </w:r>
      <w:r w:rsidR="002F4432">
        <w:rPr>
          <w:lang w:val="fr-FR"/>
        </w:rPr>
        <w:t xml:space="preserve">Documents informels </w:t>
      </w:r>
      <w:r w:rsidRPr="00350AAB">
        <w:rPr>
          <w:lang w:val="fr-FR"/>
        </w:rPr>
        <w:t>GRB-67-01, GRB-67-06, GRB-67-07, GRB-67-11, GRB-67-14 et GRB-67-17</w:t>
      </w:r>
    </w:p>
    <w:p w:rsidR="00350AAB" w:rsidRPr="00350AAB" w:rsidRDefault="00350AAB" w:rsidP="00350AAB">
      <w:pPr>
        <w:pStyle w:val="SingleTxtG"/>
        <w:rPr>
          <w:lang w:val="fr-FR"/>
        </w:rPr>
      </w:pPr>
      <w:r w:rsidRPr="00350AAB">
        <w:rPr>
          <w:lang w:val="fr-FR"/>
        </w:rPr>
        <w:t>8.</w:t>
      </w:r>
      <w:r w:rsidRPr="00350AAB">
        <w:rPr>
          <w:lang w:val="fr-FR"/>
        </w:rPr>
        <w:tab/>
        <w:t xml:space="preserve">L’expert de l’ISO a présenté une version révisée des propositions qui visaient à introduire dans le Règlement </w:t>
      </w:r>
      <w:r w:rsidR="00267BF7" w:rsidRPr="00267BF7">
        <w:rPr>
          <w:rFonts w:eastAsia="MS Mincho"/>
          <w:lang w:val="fr-FR"/>
        </w:rPr>
        <w:t>n</w:t>
      </w:r>
      <w:r w:rsidR="00267BF7" w:rsidRPr="00267BF7">
        <w:rPr>
          <w:rFonts w:eastAsia="MS Mincho"/>
          <w:vertAlign w:val="superscript"/>
          <w:lang w:val="fr-FR"/>
        </w:rPr>
        <w:t>o</w:t>
      </w:r>
      <w:r w:rsidRPr="00350AAB">
        <w:rPr>
          <w:lang w:val="fr-FR"/>
        </w:rPr>
        <w:t> 51 la possibilité d’effectuer les essais à l’intérieur, conformément à la norme ISO 362-3 (ECE/TRANS/WP.29/GRB/2018/3). Cette nouvelle version a suscité des observations de</w:t>
      </w:r>
      <w:r w:rsidR="00FF6D90">
        <w:rPr>
          <w:lang w:val="fr-FR"/>
        </w:rPr>
        <w:t>s</w:t>
      </w:r>
      <w:r w:rsidRPr="00350AAB">
        <w:rPr>
          <w:lang w:val="fr-FR"/>
        </w:rPr>
        <w:t xml:space="preserve"> experts de la Chine et de la France (GRB-67-11), de l’Allemagne, de la Fédération de Russie et des Pays-Bas (GRB-67-01), ainsi que de la Suède et de l’OICA. </w:t>
      </w:r>
      <w:r w:rsidR="00267BF7">
        <w:rPr>
          <w:lang w:val="fr-FR"/>
        </w:rPr>
        <w:t>À</w:t>
      </w:r>
      <w:r w:rsidRPr="00350AAB">
        <w:rPr>
          <w:lang w:val="fr-FR"/>
        </w:rPr>
        <w:t xml:space="preserve"> la suite d’un long débat, le Groupe de travail a adopté la version révisée des propositions, telle qu’amendée (Annexe II) et a chargé le secrétariat de la soumettre au Forum mondial pour l’harmonisation des Règlements concernant les véhicules (WP.29) et au Comité d’administration (AC.1) aux fins d’examen et de mise aux voix, à leurs sessions de juin 2018, en tant que projet de complément</w:t>
      </w:r>
      <w:r w:rsidR="00267BF7">
        <w:rPr>
          <w:lang w:val="fr-FR"/>
        </w:rPr>
        <w:t> </w:t>
      </w:r>
      <w:r w:rsidRPr="00350AAB">
        <w:rPr>
          <w:lang w:val="fr-FR"/>
        </w:rPr>
        <w:t>4 à la série</w:t>
      </w:r>
      <w:r w:rsidR="00267BF7">
        <w:rPr>
          <w:lang w:val="fr-FR"/>
        </w:rPr>
        <w:t> </w:t>
      </w:r>
      <w:r w:rsidRPr="00350AAB">
        <w:rPr>
          <w:lang w:val="fr-FR"/>
        </w:rPr>
        <w:t xml:space="preserve">03 d’amendements 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51. </w:t>
      </w:r>
    </w:p>
    <w:p w:rsidR="00350AAB" w:rsidRPr="00350AAB" w:rsidRDefault="00350AAB" w:rsidP="00350AAB">
      <w:pPr>
        <w:pStyle w:val="SingleTxtG"/>
        <w:rPr>
          <w:lang w:val="fr-FR"/>
        </w:rPr>
      </w:pPr>
      <w:r w:rsidRPr="00350AAB">
        <w:rPr>
          <w:lang w:val="fr-FR"/>
        </w:rPr>
        <w:t>9.</w:t>
      </w:r>
      <w:r w:rsidRPr="00350AAB">
        <w:rPr>
          <w:lang w:val="fr-FR"/>
        </w:rPr>
        <w:tab/>
        <w:t xml:space="preserve">Le Groupe de travail a rappelé les propositions d’amendements 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51 qu’il avait adoptées à sa précédente session (ECE/TRANS/WP.29/2018/7) et a examiné la question laissée en suspens de savoir si les propositions adoptées nécessiteraient une nouvelle série d’amendements et/ou des dispositions transitoires. Les experts du groupe de travail informel sur les prescriptions supplémentaires concernant les émissions sonores (ASEP) et de l’OICA ont exposé leurs points de vue (GRB-67-14 </w:t>
      </w:r>
      <w:r w:rsidR="00267BF7">
        <w:rPr>
          <w:lang w:val="fr-FR"/>
        </w:rPr>
        <w:t>et</w:t>
      </w:r>
      <w:r w:rsidRPr="00350AAB">
        <w:rPr>
          <w:lang w:val="fr-FR"/>
        </w:rPr>
        <w:t xml:space="preserve"> GRB-67-06). Le Groupe de travail a décidé que les propositions adoptées devraient faire l’objet d’un complément (complément 3) à la série 03 d’amendements 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51 et devraient être accompagnées de la disposition transitoire ci-dessous (nouveau paragraphe) : </w:t>
      </w:r>
    </w:p>
    <w:p w:rsidR="00350AAB" w:rsidRPr="00350AAB" w:rsidRDefault="00350AAB" w:rsidP="00350AAB">
      <w:pPr>
        <w:pStyle w:val="SingleTxtG"/>
        <w:ind w:left="2268" w:hanging="1134"/>
        <w:rPr>
          <w:lang w:val="fr-FR"/>
        </w:rPr>
      </w:pPr>
      <w:r>
        <w:rPr>
          <w:lang w:val="fr-FR"/>
        </w:rPr>
        <w:t>« 11.9</w:t>
      </w:r>
      <w:r>
        <w:rPr>
          <w:lang w:val="fr-FR"/>
        </w:rPr>
        <w:tab/>
      </w:r>
      <w:r w:rsidRPr="00350AAB">
        <w:rPr>
          <w:lang w:val="fr-FR"/>
        </w:rPr>
        <w:tab/>
        <w:t>Dans les 18 mois suivant la date de son e</w:t>
      </w:r>
      <w:r w:rsidR="00267BF7">
        <w:rPr>
          <w:lang w:val="fr-FR"/>
        </w:rPr>
        <w:t>ntrée en vigueur, le complément </w:t>
      </w:r>
      <w:r w:rsidRPr="00350AAB">
        <w:rPr>
          <w:lang w:val="fr-FR"/>
        </w:rPr>
        <w:t>3 ne s’appliquera pas aux extensions d’homologation en vigueur, initialement accordées avant la date d’entrée en vigueur dudit complément.</w:t>
      </w:r>
      <w:r w:rsidR="00267BF7">
        <w:rPr>
          <w:lang w:val="fr-FR"/>
        </w:rPr>
        <w:t> »</w:t>
      </w:r>
      <w:r w:rsidRPr="00350AAB">
        <w:rPr>
          <w:lang w:val="fr-FR"/>
        </w:rPr>
        <w:t>.</w:t>
      </w:r>
    </w:p>
    <w:p w:rsidR="00350AAB" w:rsidRPr="00350AAB" w:rsidRDefault="00350AAB" w:rsidP="00350AAB">
      <w:pPr>
        <w:pStyle w:val="SingleTxtG"/>
        <w:rPr>
          <w:lang w:val="fr-FR"/>
        </w:rPr>
      </w:pPr>
      <w:r w:rsidRPr="00350AAB">
        <w:rPr>
          <w:lang w:val="fr-FR"/>
        </w:rPr>
        <w:t>10.</w:t>
      </w:r>
      <w:r w:rsidRPr="00350AAB">
        <w:rPr>
          <w:lang w:val="fr-FR"/>
        </w:rPr>
        <w:tab/>
        <w:t>Le Groupe de travail a demandé au secrétariat de faire paraître, dès que possible, un additif au document ECE/TRANS/WP.29/2018/7, qui reprendrait le texte ci-dessus, ce qui permettrait aux Parties contractantes de se préparer à l’examine</w:t>
      </w:r>
      <w:r w:rsidR="008938E4">
        <w:rPr>
          <w:lang w:val="fr-FR"/>
        </w:rPr>
        <w:t>r à la prochaine session du WP.</w:t>
      </w:r>
      <w:r w:rsidRPr="00350AAB">
        <w:rPr>
          <w:lang w:val="fr-FR"/>
        </w:rPr>
        <w:t>29 en mars 2018.</w:t>
      </w:r>
    </w:p>
    <w:p w:rsidR="00350AAB" w:rsidRPr="00350AAB" w:rsidRDefault="00350AAB" w:rsidP="00350AAB">
      <w:pPr>
        <w:pStyle w:val="SingleTxtG"/>
        <w:rPr>
          <w:lang w:val="fr-FR"/>
        </w:rPr>
      </w:pPr>
      <w:r w:rsidRPr="00350AAB">
        <w:rPr>
          <w:lang w:val="fr-FR"/>
        </w:rPr>
        <w:t>11.</w:t>
      </w:r>
      <w:r w:rsidRPr="00350AAB">
        <w:rPr>
          <w:lang w:val="fr-FR"/>
        </w:rPr>
        <w:tab/>
        <w:t xml:space="preserve">L’expert de l’OICA a proposé des amendements au Règlement </w:t>
      </w:r>
      <w:r w:rsidR="00B47A03" w:rsidRPr="00B47A03">
        <w:rPr>
          <w:rFonts w:eastAsia="MS Mincho"/>
          <w:lang w:val="fr-FR"/>
        </w:rPr>
        <w:t>n</w:t>
      </w:r>
      <w:r w:rsidR="00B47A03" w:rsidRPr="00B47A03">
        <w:rPr>
          <w:rFonts w:eastAsia="MS Mincho"/>
          <w:vertAlign w:val="superscript"/>
          <w:lang w:val="fr-FR"/>
        </w:rPr>
        <w:t>o</w:t>
      </w:r>
      <w:r w:rsidR="00B47A03">
        <w:rPr>
          <w:lang w:val="fr-FR"/>
        </w:rPr>
        <w:t> </w:t>
      </w:r>
      <w:r w:rsidRPr="00350AAB">
        <w:rPr>
          <w:lang w:val="fr-FR"/>
        </w:rPr>
        <w:t>51, qui visent à garantir la transparence du processus d’homologation dans les cas où le constructeur recourt à des dispositifs mécaniques ou électroniques pour le passage des vitesses ou prend des mesures pour éviter les accélérations supérieures à 2,0 m/s² (ECE/TRANS/WP.29/</w:t>
      </w:r>
      <w:r w:rsidR="008938E4">
        <w:rPr>
          <w:lang w:val="fr-FR"/>
        </w:rPr>
        <w:t xml:space="preserve"> </w:t>
      </w:r>
      <w:r w:rsidRPr="00350AAB">
        <w:rPr>
          <w:lang w:val="fr-FR"/>
        </w:rPr>
        <w:t>GRB/2018/2 et GRB-67-17). Les experts de l’Allemagne, de la Chine, de la France, du Japon et de l’ISO ont formulé un certain nombre de questions et/ou d’observations. Le Groupe de travail a adopté les propositions, telles qu’elles sont reproduites à l’annexe III et a chargé le secrétariat de les soumettre au WP.29 et à l’AC.1 aux fins d’examen et de mise aux voix à leurs sessions de juin 2018, en tant que projet de complément</w:t>
      </w:r>
      <w:r w:rsidR="00267BF7">
        <w:rPr>
          <w:lang w:val="fr-FR"/>
        </w:rPr>
        <w:t> </w:t>
      </w:r>
      <w:r w:rsidRPr="00350AAB">
        <w:rPr>
          <w:lang w:val="fr-FR"/>
        </w:rPr>
        <w:t>4 à la série</w:t>
      </w:r>
      <w:r w:rsidR="008938E4">
        <w:rPr>
          <w:lang w:val="fr-FR"/>
        </w:rPr>
        <w:t> </w:t>
      </w:r>
      <w:r w:rsidRPr="00350AAB">
        <w:rPr>
          <w:lang w:val="fr-FR"/>
        </w:rPr>
        <w:t xml:space="preserve">03 d’amendements 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51. </w:t>
      </w:r>
    </w:p>
    <w:p w:rsidR="00350AAB" w:rsidRPr="00350AAB" w:rsidRDefault="00350AAB" w:rsidP="00350AAB">
      <w:pPr>
        <w:pStyle w:val="SingleTxtG"/>
        <w:rPr>
          <w:lang w:val="fr-FR"/>
        </w:rPr>
      </w:pPr>
      <w:r w:rsidRPr="00350AAB">
        <w:rPr>
          <w:lang w:val="fr-FR"/>
        </w:rPr>
        <w:t>12.</w:t>
      </w:r>
      <w:r w:rsidRPr="00350AAB">
        <w:rPr>
          <w:lang w:val="fr-FR"/>
        </w:rPr>
        <w:tab/>
        <w:t xml:space="preserve">L’expert de la Chine a présenté des propositions visant à étendre encore le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51 (GRB-67-07). L’expert de la France, qui préside le groupe de travail informel ASEP, a déclaré que son groupe s’efforcerait de tenir compte de ces propositions. </w:t>
      </w:r>
    </w:p>
    <w:p w:rsidR="00350AAB" w:rsidRPr="00350AAB" w:rsidRDefault="00350AAB" w:rsidP="00267BF7">
      <w:pPr>
        <w:pStyle w:val="H1G"/>
        <w:rPr>
          <w:lang w:val="fr-FR"/>
        </w:rPr>
      </w:pPr>
      <w:r w:rsidRPr="00350AAB">
        <w:rPr>
          <w:lang w:val="fr-FR"/>
        </w:rPr>
        <w:lastRenderedPageBreak/>
        <w:tab/>
        <w:t>B.</w:t>
      </w:r>
      <w:r w:rsidRPr="00350AAB">
        <w:rPr>
          <w:lang w:val="fr-FR"/>
        </w:rPr>
        <w:tab/>
        <w:t>Prescriptions supplémentaires concernant les émissions sonores</w:t>
      </w:r>
    </w:p>
    <w:p w:rsidR="00267BF7" w:rsidRDefault="00350AAB" w:rsidP="00267BF7">
      <w:pPr>
        <w:pStyle w:val="SingleTxtG"/>
        <w:rPr>
          <w:lang w:val="fr-FR"/>
        </w:rPr>
      </w:pPr>
      <w:r w:rsidRPr="00267BF7">
        <w:rPr>
          <w:b/>
          <w:lang w:val="fr-FR"/>
        </w:rPr>
        <w:t>Document</w:t>
      </w:r>
      <w:r w:rsidR="00267BF7">
        <w:rPr>
          <w:b/>
          <w:lang w:val="fr-FR"/>
        </w:rPr>
        <w:t>(s) </w:t>
      </w:r>
      <w:r w:rsidRPr="00267BF7">
        <w:rPr>
          <w:b/>
          <w:lang w:val="fr-FR"/>
        </w:rPr>
        <w:t>:</w:t>
      </w:r>
    </w:p>
    <w:p w:rsidR="00350AAB" w:rsidRPr="00350AAB" w:rsidRDefault="007A231C" w:rsidP="00267BF7">
      <w:pPr>
        <w:pStyle w:val="SingleTxtG"/>
        <w:rPr>
          <w:lang w:val="fr-FR"/>
        </w:rPr>
      </w:pPr>
      <w:r>
        <w:rPr>
          <w:lang w:val="fr-FR"/>
        </w:rPr>
        <w:t xml:space="preserve">Document informel </w:t>
      </w:r>
      <w:r w:rsidR="00350AAB" w:rsidRPr="00350AAB">
        <w:rPr>
          <w:lang w:val="fr-FR"/>
        </w:rPr>
        <w:t>GRB-67-15-Rev.1</w:t>
      </w:r>
    </w:p>
    <w:p w:rsidR="00350AAB" w:rsidRPr="00350AAB" w:rsidRDefault="00350AAB" w:rsidP="00350AAB">
      <w:pPr>
        <w:pStyle w:val="SingleTxtG"/>
        <w:rPr>
          <w:lang w:val="fr-FR"/>
        </w:rPr>
      </w:pPr>
      <w:r w:rsidRPr="00350AAB">
        <w:rPr>
          <w:lang w:val="fr-FR"/>
        </w:rPr>
        <w:t>13.</w:t>
      </w:r>
      <w:r w:rsidRPr="00350AAB">
        <w:rPr>
          <w:lang w:val="fr-FR"/>
        </w:rPr>
        <w:tab/>
        <w:t xml:space="preserve">Au nom du groupe de travail informel ASEP, l’expert de la France a présenté le rapport de situation de son groupe (GRB-67-15-Rev.1) et a invité tous les experts du Groupe de travail à participer à ses travaux. </w:t>
      </w:r>
    </w:p>
    <w:p w:rsidR="00350AAB" w:rsidRPr="00350AAB" w:rsidRDefault="00350AAB" w:rsidP="00267BF7">
      <w:pPr>
        <w:pStyle w:val="HChG"/>
        <w:rPr>
          <w:lang w:val="fr-FR"/>
        </w:rPr>
      </w:pPr>
      <w:r w:rsidRPr="00350AAB">
        <w:rPr>
          <w:lang w:val="fr-FR"/>
        </w:rPr>
        <w:tab/>
        <w:t>VI.</w:t>
      </w:r>
      <w:r w:rsidRPr="00350AAB">
        <w:rPr>
          <w:lang w:val="fr-FR"/>
        </w:rPr>
        <w:tab/>
        <w:t xml:space="preserve">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63 (B</w:t>
      </w:r>
      <w:r w:rsidR="00267BF7">
        <w:rPr>
          <w:lang w:val="fr-FR"/>
        </w:rPr>
        <w:t>ruit émis par les cyclomoteurs)</w:t>
      </w:r>
      <w:r w:rsidR="00267BF7">
        <w:rPr>
          <w:lang w:val="fr-FR"/>
        </w:rPr>
        <w:br/>
      </w:r>
      <w:r w:rsidRPr="00350AAB">
        <w:rPr>
          <w:lang w:val="fr-FR"/>
        </w:rPr>
        <w:t>(point</w:t>
      </w:r>
      <w:r w:rsidR="00267BF7">
        <w:rPr>
          <w:lang w:val="fr-FR"/>
        </w:rPr>
        <w:t> </w:t>
      </w:r>
      <w:r w:rsidRPr="00350AAB">
        <w:rPr>
          <w:lang w:val="fr-FR"/>
        </w:rPr>
        <w:t>5 de l’ordre du jour)</w:t>
      </w:r>
    </w:p>
    <w:p w:rsidR="00267BF7" w:rsidRDefault="00350AAB" w:rsidP="00267BF7">
      <w:pPr>
        <w:pStyle w:val="SingleTxtG"/>
        <w:rPr>
          <w:lang w:val="fr-FR"/>
        </w:rPr>
      </w:pPr>
      <w:r w:rsidRPr="00267BF7">
        <w:rPr>
          <w:b/>
          <w:lang w:val="fr-FR"/>
        </w:rPr>
        <w:t>Document</w:t>
      </w:r>
      <w:r w:rsidR="00267BF7">
        <w:rPr>
          <w:b/>
          <w:lang w:val="fr-FR"/>
        </w:rPr>
        <w:t>(s) </w:t>
      </w:r>
      <w:r w:rsidRPr="00267BF7">
        <w:rPr>
          <w:b/>
          <w:lang w:val="fr-FR"/>
        </w:rPr>
        <w:t>:</w:t>
      </w:r>
    </w:p>
    <w:p w:rsidR="00350AAB" w:rsidRPr="00350AAB" w:rsidRDefault="00350AAB" w:rsidP="00267BF7">
      <w:pPr>
        <w:pStyle w:val="SingleTxtG"/>
        <w:rPr>
          <w:lang w:val="fr-FR"/>
        </w:rPr>
      </w:pPr>
      <w:r w:rsidRPr="00350AAB">
        <w:rPr>
          <w:lang w:val="fr-FR"/>
        </w:rPr>
        <w:t xml:space="preserve">ECE/TRANS/WP.29/GRB/2018/4 </w:t>
      </w:r>
    </w:p>
    <w:p w:rsidR="00350AAB" w:rsidRPr="00350AAB" w:rsidRDefault="00350AAB" w:rsidP="00350AAB">
      <w:pPr>
        <w:pStyle w:val="SingleTxtG"/>
        <w:rPr>
          <w:lang w:val="fr-FR"/>
        </w:rPr>
      </w:pPr>
      <w:r w:rsidRPr="00350AAB">
        <w:rPr>
          <w:lang w:val="fr-FR"/>
        </w:rPr>
        <w:t>14.</w:t>
      </w:r>
      <w:r w:rsidRPr="00350AAB">
        <w:rPr>
          <w:lang w:val="fr-FR"/>
        </w:rPr>
        <w:tab/>
        <w:t>L’expert de la Commission européenne a présenté une version révisée de ses propositions d’amendements concernant les cycles motorisés (ECE/TRANS/WP.29/</w:t>
      </w:r>
      <w:r w:rsidR="00267BF7">
        <w:rPr>
          <w:lang w:val="fr-FR"/>
        </w:rPr>
        <w:t xml:space="preserve"> </w:t>
      </w:r>
      <w:r w:rsidRPr="00350AAB">
        <w:rPr>
          <w:lang w:val="fr-FR"/>
        </w:rPr>
        <w:t>GRB/2018/4). Le Groupe de travail a adopté cette version révisée et a chargé le secrétariat de la soumettre au WP.29 et à l’AC.1 aux fins d’examen et de mise aux voix à leurs sessions de juin 2018, en tant que projet de complément</w:t>
      </w:r>
      <w:r w:rsidR="00AA3F17">
        <w:rPr>
          <w:lang w:val="fr-FR"/>
        </w:rPr>
        <w:t> </w:t>
      </w:r>
      <w:r w:rsidRPr="00350AAB">
        <w:rPr>
          <w:lang w:val="fr-FR"/>
        </w:rPr>
        <w:t xml:space="preserve">4 à la série 02 d’amendements 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63.</w:t>
      </w:r>
    </w:p>
    <w:p w:rsidR="00350AAB" w:rsidRPr="00350AAB" w:rsidRDefault="00267BF7" w:rsidP="00267BF7">
      <w:pPr>
        <w:pStyle w:val="HChG"/>
        <w:rPr>
          <w:lang w:val="fr-FR"/>
        </w:rPr>
      </w:pPr>
      <w:r>
        <w:rPr>
          <w:lang w:val="fr-FR"/>
        </w:rPr>
        <w:tab/>
      </w:r>
      <w:r w:rsidR="00350AAB" w:rsidRPr="00350AAB">
        <w:rPr>
          <w:lang w:val="fr-FR"/>
        </w:rPr>
        <w:t>VII.</w:t>
      </w:r>
      <w:r w:rsidR="00350AAB" w:rsidRPr="00350AAB">
        <w:rPr>
          <w:lang w:val="fr-FR"/>
        </w:rPr>
        <w:tab/>
        <w:t xml:space="preserve">Règlement </w:t>
      </w:r>
      <w:r w:rsidRPr="00267BF7">
        <w:rPr>
          <w:rFonts w:eastAsia="MS Mincho"/>
          <w:lang w:val="fr-FR"/>
        </w:rPr>
        <w:t>n</w:t>
      </w:r>
      <w:r w:rsidRPr="00267BF7">
        <w:rPr>
          <w:rFonts w:eastAsia="MS Mincho"/>
          <w:vertAlign w:val="superscript"/>
          <w:lang w:val="fr-FR"/>
        </w:rPr>
        <w:t>o</w:t>
      </w:r>
      <w:r>
        <w:rPr>
          <w:lang w:val="fr-FR"/>
        </w:rPr>
        <w:t> 117 (Pneumatiques − </w:t>
      </w:r>
      <w:r w:rsidR="00350AAB" w:rsidRPr="00350AAB">
        <w:rPr>
          <w:lang w:val="fr-FR"/>
        </w:rPr>
        <w:t xml:space="preserve">résistance au roulement, bruit de roulement et adhérence </w:t>
      </w:r>
      <w:r>
        <w:rPr>
          <w:lang w:val="fr-FR"/>
        </w:rPr>
        <w:t>sur sol mouillé)</w:t>
      </w:r>
      <w:r>
        <w:rPr>
          <w:lang w:val="fr-FR"/>
        </w:rPr>
        <w:br/>
      </w:r>
      <w:r w:rsidR="00350AAB" w:rsidRPr="00350AAB">
        <w:rPr>
          <w:lang w:val="fr-FR"/>
        </w:rPr>
        <w:t>(point 6 de l’ordre du jour)</w:t>
      </w:r>
    </w:p>
    <w:p w:rsidR="00267BF7" w:rsidRDefault="00350AAB" w:rsidP="00267BF7">
      <w:pPr>
        <w:pStyle w:val="SingleTxtG"/>
        <w:rPr>
          <w:lang w:val="fr-FR"/>
        </w:rPr>
      </w:pPr>
      <w:r w:rsidRPr="00267BF7">
        <w:rPr>
          <w:b/>
          <w:lang w:val="fr-FR"/>
        </w:rPr>
        <w:t>Document</w:t>
      </w:r>
      <w:r w:rsidR="00267BF7">
        <w:rPr>
          <w:b/>
          <w:lang w:val="fr-FR"/>
        </w:rPr>
        <w:t>(s) </w:t>
      </w:r>
      <w:r w:rsidRPr="00267BF7">
        <w:rPr>
          <w:b/>
          <w:lang w:val="fr-FR"/>
        </w:rPr>
        <w:t>:</w:t>
      </w:r>
    </w:p>
    <w:p w:rsidR="00350AAB" w:rsidRPr="00350AAB" w:rsidRDefault="007A231C" w:rsidP="00267BF7">
      <w:pPr>
        <w:pStyle w:val="SingleTxtG"/>
        <w:rPr>
          <w:lang w:val="fr-FR"/>
        </w:rPr>
      </w:pPr>
      <w:r>
        <w:rPr>
          <w:lang w:val="fr-FR"/>
        </w:rPr>
        <w:t xml:space="preserve">Documents informels </w:t>
      </w:r>
      <w:r w:rsidR="00350AAB" w:rsidRPr="00350AAB">
        <w:rPr>
          <w:lang w:val="fr-FR"/>
        </w:rPr>
        <w:t xml:space="preserve">GRB-67-08 et GRB-67-18 </w:t>
      </w:r>
    </w:p>
    <w:p w:rsidR="00350AAB" w:rsidRPr="00350AAB" w:rsidRDefault="00350AAB" w:rsidP="00350AAB">
      <w:pPr>
        <w:pStyle w:val="SingleTxtG"/>
        <w:rPr>
          <w:lang w:val="fr-FR"/>
        </w:rPr>
      </w:pPr>
      <w:r w:rsidRPr="00350AAB">
        <w:rPr>
          <w:lang w:val="fr-FR"/>
        </w:rPr>
        <w:t>15.</w:t>
      </w:r>
      <w:r w:rsidRPr="00350AAB">
        <w:rPr>
          <w:lang w:val="fr-FR"/>
        </w:rPr>
        <w:tab/>
        <w:t>L’expert de l’ETRTO a évalué les dernières propositions des Pays-Bas concernant un abaissement du bruit de roulement, telles qu’elles avaient été présentées à la soixante</w:t>
      </w:r>
      <w:r w:rsidR="00FF6D90">
        <w:rPr>
          <w:lang w:val="fr-FR"/>
        </w:rPr>
        <w:noBreakHyphen/>
      </w:r>
      <w:r w:rsidRPr="00350AAB">
        <w:rPr>
          <w:lang w:val="fr-FR"/>
        </w:rPr>
        <w:t>sixième session (GRB-67-08). Il a relevé certaines insuffisances de la base de données utilisée dans l’étude réalisée par les Pays-Bas et contesté la méthode employée pour tirer de nouvelles limites de la base de données. L’expert des Pays-Bas a répondu aux observations formulées par l’expert de l’ETRTO (GRB-67-18).</w:t>
      </w:r>
    </w:p>
    <w:p w:rsidR="00350AAB" w:rsidRPr="00350AAB" w:rsidRDefault="00350AAB" w:rsidP="00350AAB">
      <w:pPr>
        <w:pStyle w:val="SingleTxtG"/>
        <w:rPr>
          <w:lang w:val="fr-FR"/>
        </w:rPr>
      </w:pPr>
      <w:r w:rsidRPr="00350AAB">
        <w:rPr>
          <w:lang w:val="fr-FR"/>
        </w:rPr>
        <w:t>16.</w:t>
      </w:r>
      <w:r w:rsidRPr="00350AAB">
        <w:rPr>
          <w:lang w:val="fr-FR"/>
        </w:rPr>
        <w:tab/>
        <w:t>Les experts de l’Allemagne et de l’OICA ont fait remarquer que l’étude des Pays</w:t>
      </w:r>
      <w:r w:rsidR="00FF6D90">
        <w:rPr>
          <w:lang w:val="fr-FR"/>
        </w:rPr>
        <w:noBreakHyphen/>
      </w:r>
      <w:r w:rsidRPr="00350AAB">
        <w:rPr>
          <w:lang w:val="fr-FR"/>
        </w:rPr>
        <w:t>Bas avait été réalisée à partir de marquages qui étaient peut-être incorrects. L’expert de la Fédération de Russie a attiré l’attention du Groupe de travail sur la nécessité d’une approche globale de la question du bruit de roulement émis au contact du revêtement. Le Président a constaté que les Pays-Bas et l’ETRTO avaient tra</w:t>
      </w:r>
      <w:r w:rsidR="00267BF7">
        <w:rPr>
          <w:lang w:val="fr-FR"/>
        </w:rPr>
        <w:t>vaillé sur des pneus différents </w:t>
      </w:r>
      <w:r w:rsidRPr="00350AAB">
        <w:rPr>
          <w:lang w:val="fr-FR"/>
        </w:rPr>
        <w:t>: les Pays-Bas avaient travaillé sur des modèles de pneumatiques courants de plusieurs m</w:t>
      </w:r>
      <w:r w:rsidR="00267BF7">
        <w:rPr>
          <w:lang w:val="fr-FR"/>
        </w:rPr>
        <w:t xml:space="preserve">arques, représentant environ 90 % </w:t>
      </w:r>
      <w:r w:rsidRPr="00350AAB">
        <w:rPr>
          <w:lang w:val="fr-FR"/>
        </w:rPr>
        <w:t xml:space="preserve">de leur marché intérieur, alors que l’ETRTO avait travaillé sur un beaucoup plus grand nombre de marques, dans un souci de représentativité. </w:t>
      </w:r>
    </w:p>
    <w:p w:rsidR="00350AAB" w:rsidRPr="00350AAB" w:rsidRDefault="00350AAB" w:rsidP="00350AAB">
      <w:pPr>
        <w:pStyle w:val="SingleTxtG"/>
        <w:rPr>
          <w:lang w:val="fr-FR"/>
        </w:rPr>
      </w:pPr>
      <w:r w:rsidRPr="00350AAB">
        <w:rPr>
          <w:lang w:val="fr-FR"/>
        </w:rPr>
        <w:t>17.</w:t>
      </w:r>
      <w:r w:rsidRPr="00350AAB">
        <w:rPr>
          <w:lang w:val="fr-FR"/>
        </w:rPr>
        <w:tab/>
        <w:t>Le Groupe de travail a invité les Pays-Bas, l’ETRTO et les autres parties prenantes à collaborer à la préparation d’une étude qui prenne en considération toutes les marques commercialisées. En conclusion, le Groupe de travail a décidé de reprendre l’examen de la q</w:t>
      </w:r>
      <w:r w:rsidR="00267BF7">
        <w:rPr>
          <w:lang w:val="fr-FR"/>
        </w:rPr>
        <w:t>uestion à sa prochaine session.</w:t>
      </w:r>
    </w:p>
    <w:p w:rsidR="00350AAB" w:rsidRPr="00350AAB" w:rsidRDefault="00350AAB" w:rsidP="002E4E52">
      <w:pPr>
        <w:pStyle w:val="HChG"/>
        <w:rPr>
          <w:lang w:val="fr-FR"/>
        </w:rPr>
      </w:pPr>
      <w:r w:rsidRPr="00350AAB">
        <w:rPr>
          <w:lang w:val="fr-FR"/>
        </w:rPr>
        <w:lastRenderedPageBreak/>
        <w:tab/>
      </w:r>
      <w:r w:rsidRPr="00350AAB">
        <w:t>VIII.</w:t>
      </w:r>
      <w:r w:rsidRPr="00350AAB">
        <w:tab/>
      </w:r>
      <w:r w:rsidRPr="00350AAB">
        <w:rPr>
          <w:lang w:val="fr-FR"/>
        </w:rPr>
        <w:t xml:space="preserve">Règlement </w:t>
      </w:r>
      <w:r w:rsidR="00267BF7">
        <w:rPr>
          <w:lang w:val="fr-FR"/>
        </w:rPr>
        <w:t>n</w:t>
      </w:r>
      <w:r w:rsidR="00267BF7" w:rsidRPr="00267BF7">
        <w:rPr>
          <w:vertAlign w:val="superscript"/>
          <w:lang w:val="fr-FR"/>
        </w:rPr>
        <w:t>o</w:t>
      </w:r>
      <w:r w:rsidR="00267BF7">
        <w:rPr>
          <w:lang w:val="fr-FR"/>
        </w:rPr>
        <w:t> </w:t>
      </w:r>
      <w:r w:rsidRPr="00350AAB">
        <w:rPr>
          <w:lang w:val="fr-FR"/>
        </w:rPr>
        <w:t xml:space="preserve">138 </w:t>
      </w:r>
      <w:r w:rsidR="00267BF7">
        <w:rPr>
          <w:lang w:val="fr-FR"/>
        </w:rPr>
        <w:t>(Véhicules à moteur silencieux)</w:t>
      </w:r>
      <w:r w:rsidR="00267BF7">
        <w:rPr>
          <w:lang w:val="fr-FR"/>
        </w:rPr>
        <w:br/>
      </w:r>
      <w:r w:rsidRPr="00350AAB">
        <w:rPr>
          <w:lang w:val="fr-FR"/>
        </w:rPr>
        <w:t>(point 7 de l’ordre du jour)</w:t>
      </w:r>
    </w:p>
    <w:p w:rsidR="00267BF7" w:rsidRDefault="00267BF7" w:rsidP="002E4E52">
      <w:pPr>
        <w:pStyle w:val="SingleTxtG"/>
        <w:keepNext/>
        <w:keepLines/>
        <w:rPr>
          <w:b/>
        </w:rPr>
      </w:pPr>
      <w:r>
        <w:rPr>
          <w:b/>
        </w:rPr>
        <w:t>Document(s) </w:t>
      </w:r>
      <w:r w:rsidR="00350AAB" w:rsidRPr="00267BF7">
        <w:rPr>
          <w:b/>
        </w:rPr>
        <w:t>:</w:t>
      </w:r>
    </w:p>
    <w:p w:rsidR="00350AAB" w:rsidRPr="00350AAB" w:rsidRDefault="007A231C" w:rsidP="002E4E52">
      <w:pPr>
        <w:pStyle w:val="SingleTxtG"/>
        <w:keepNext/>
        <w:keepLines/>
      </w:pPr>
      <w:r>
        <w:t xml:space="preserve">Document informel </w:t>
      </w:r>
      <w:r w:rsidR="00267BF7">
        <w:t>GRB-67-09</w:t>
      </w:r>
    </w:p>
    <w:p w:rsidR="00350AAB" w:rsidRPr="00350AAB" w:rsidRDefault="00350AAB" w:rsidP="00350AAB">
      <w:pPr>
        <w:pStyle w:val="SingleTxtG"/>
        <w:rPr>
          <w:lang w:val="fr-FR"/>
        </w:rPr>
      </w:pPr>
      <w:r w:rsidRPr="00350AAB">
        <w:rPr>
          <w:lang w:val="fr-FR"/>
        </w:rPr>
        <w:t>18.</w:t>
      </w:r>
      <w:r w:rsidRPr="00350AAB">
        <w:rPr>
          <w:lang w:val="fr-FR"/>
        </w:rPr>
        <w:tab/>
        <w:t>L’expert de l’OICA a proposé de préciser comment s’applique la série</w:t>
      </w:r>
      <w:r w:rsidR="002E4E52">
        <w:rPr>
          <w:lang w:val="fr-FR"/>
        </w:rPr>
        <w:t> </w:t>
      </w:r>
      <w:r w:rsidRPr="00350AAB">
        <w:rPr>
          <w:lang w:val="fr-FR"/>
        </w:rPr>
        <w:t xml:space="preserve">01 d’amendements au Règlement </w:t>
      </w:r>
      <w:r w:rsidR="008938E4" w:rsidRPr="008938E4">
        <w:rPr>
          <w:rFonts w:eastAsia="MS Mincho"/>
          <w:lang w:val="fr-FR"/>
        </w:rPr>
        <w:t>n</w:t>
      </w:r>
      <w:r w:rsidR="008938E4" w:rsidRPr="008938E4">
        <w:rPr>
          <w:rFonts w:eastAsia="MS Mincho"/>
          <w:vertAlign w:val="superscript"/>
          <w:lang w:val="fr-FR"/>
        </w:rPr>
        <w:t>o</w:t>
      </w:r>
      <w:r w:rsidR="008938E4">
        <w:rPr>
          <w:lang w:val="fr-FR"/>
        </w:rPr>
        <w:t> </w:t>
      </w:r>
      <w:r w:rsidRPr="00350AAB">
        <w:rPr>
          <w:lang w:val="fr-FR"/>
        </w:rPr>
        <w:t>138 (GRB-67-09). Les experts de l’Allemagne, de la Chine, de la France, de l’OICA et de l’UMA ont donné leur avis sur cette proposition. Le secrétariat a fait remarquer qu’il avait déjà rectifié le texte du paragraphe</w:t>
      </w:r>
      <w:r w:rsidR="00AA3F17">
        <w:rPr>
          <w:lang w:val="fr-FR"/>
        </w:rPr>
        <w:t> </w:t>
      </w:r>
      <w:r w:rsidRPr="00350AAB">
        <w:rPr>
          <w:lang w:val="fr-FR"/>
        </w:rPr>
        <w:t xml:space="preserve">6.2.6. qui avait été reproduit par erreur dans une version révisée et mise à jour, publiée sur le site </w:t>
      </w:r>
      <w:r w:rsidR="00267BF7">
        <w:rPr>
          <w:lang w:val="fr-FR"/>
        </w:rPr>
        <w:t>W</w:t>
      </w:r>
      <w:r w:rsidRPr="00350AAB">
        <w:rPr>
          <w:lang w:val="fr-FR"/>
        </w:rPr>
        <w:t>eb du WP.29 (E/ECE/324/Rev.2/Add.137/Rev.1</w:t>
      </w:r>
      <w:r w:rsidR="00FF6D90">
        <w:rPr>
          <w:lang w:val="fr-FR"/>
        </w:rPr>
        <w:noBreakHyphen/>
      </w:r>
      <w:r w:rsidRPr="00350AAB">
        <w:rPr>
          <w:lang w:val="fr-FR"/>
        </w:rPr>
        <w:t xml:space="preserve"> E/ECE/TRANS/505/Rev.2/Add.137/Rev.1). Le Groupe de travail a invité l’OICA à tenir compte des observations formulées et à élaborer un document official pour examen à la prochaine session. Le Groupe de travail a en outre demandé que les précédentes propositions de l’OICA concernant des dispositions transitoires (ECE/TRANS/WP.29/GRB/2017/7) figurent dans ce nouveau document. </w:t>
      </w:r>
    </w:p>
    <w:p w:rsidR="00350AAB" w:rsidRPr="00350AAB" w:rsidRDefault="00350AAB" w:rsidP="00350AAB">
      <w:pPr>
        <w:pStyle w:val="HChG"/>
        <w:rPr>
          <w:lang w:val="fr-FR"/>
        </w:rPr>
      </w:pPr>
      <w:r w:rsidRPr="00350AAB">
        <w:rPr>
          <w:lang w:val="fr-FR"/>
        </w:rPr>
        <w:tab/>
        <w:t>IX.</w:t>
      </w:r>
      <w:r w:rsidRPr="00350AAB">
        <w:rPr>
          <w:lang w:val="fr-FR"/>
        </w:rPr>
        <w:tab/>
        <w:t>Projet de Règlement sur les averti</w:t>
      </w:r>
      <w:r w:rsidR="002E4E52">
        <w:rPr>
          <w:lang w:val="fr-FR"/>
        </w:rPr>
        <w:t>sseurs de marche arrière (point </w:t>
      </w:r>
      <w:r w:rsidRPr="00350AAB">
        <w:rPr>
          <w:lang w:val="fr-FR"/>
        </w:rPr>
        <w:t>8 de l’ordre du jour)</w:t>
      </w:r>
    </w:p>
    <w:p w:rsidR="00350AAB" w:rsidRDefault="00350AAB" w:rsidP="00350AAB">
      <w:pPr>
        <w:pStyle w:val="SingleTxtG"/>
        <w:rPr>
          <w:lang w:val="fr-FR"/>
        </w:rPr>
      </w:pPr>
      <w:r w:rsidRPr="00350AAB">
        <w:rPr>
          <w:b/>
          <w:lang w:val="fr-FR"/>
        </w:rPr>
        <w:t>Document</w:t>
      </w:r>
      <w:r>
        <w:rPr>
          <w:b/>
          <w:lang w:val="fr-FR"/>
        </w:rPr>
        <w:t>(s) </w:t>
      </w:r>
      <w:r w:rsidRPr="00350AAB">
        <w:rPr>
          <w:b/>
          <w:lang w:val="fr-FR"/>
        </w:rPr>
        <w:t>:</w:t>
      </w:r>
    </w:p>
    <w:p w:rsidR="00350AAB" w:rsidRPr="00350AAB" w:rsidRDefault="007A231C" w:rsidP="00350AAB">
      <w:pPr>
        <w:pStyle w:val="SingleTxtG"/>
        <w:rPr>
          <w:lang w:val="fr-FR"/>
        </w:rPr>
      </w:pPr>
      <w:r>
        <w:rPr>
          <w:lang w:val="fr-FR"/>
        </w:rPr>
        <w:t xml:space="preserve">Document informel </w:t>
      </w:r>
      <w:r w:rsidR="00350AAB" w:rsidRPr="00350AAB">
        <w:rPr>
          <w:lang w:val="fr-FR"/>
        </w:rPr>
        <w:t>GRB-67-10</w:t>
      </w:r>
    </w:p>
    <w:p w:rsidR="00350AAB" w:rsidRPr="00350AAB" w:rsidRDefault="00350AAB" w:rsidP="00350AAB">
      <w:pPr>
        <w:pStyle w:val="SingleTxtG"/>
        <w:rPr>
          <w:lang w:val="fr-FR"/>
        </w:rPr>
      </w:pPr>
      <w:r w:rsidRPr="00350AAB">
        <w:rPr>
          <w:lang w:val="fr-FR"/>
        </w:rPr>
        <w:t>19.</w:t>
      </w:r>
      <w:r w:rsidRPr="00350AAB">
        <w:rPr>
          <w:lang w:val="fr-FR"/>
        </w:rPr>
        <w:tab/>
        <w:t xml:space="preserve">Parlant au nom de l’Équipe spéciale sur les avertisseurs de marche arrière, l’expert du Japon a rendu compte de ses activités. Il a notamment indiqué que l’Équipe spéciale distribuerait bientôt aux experts du Groupe de travail un questionnaire simple afin de recueillir des informations sur les pratiques des pays en ce qui concerne les avertisseurs de marche arrière. </w:t>
      </w:r>
      <w:r>
        <w:rPr>
          <w:lang w:val="fr-FR"/>
        </w:rPr>
        <w:t>À</w:t>
      </w:r>
      <w:r w:rsidRPr="00350AAB">
        <w:rPr>
          <w:lang w:val="fr-FR"/>
        </w:rPr>
        <w:t xml:space="preserve"> partir des réponses obtenues, l’Équipe spéciale élaborera un nouveau Règlement. L’expert de la Suisse a proposé que le terme </w:t>
      </w:r>
      <w:r>
        <w:rPr>
          <w:lang w:val="fr-FR"/>
        </w:rPr>
        <w:t>« </w:t>
      </w:r>
      <w:r w:rsidRPr="00350AAB">
        <w:rPr>
          <w:lang w:val="fr-FR"/>
        </w:rPr>
        <w:t>avertisseur de marche arrière</w:t>
      </w:r>
      <w:r>
        <w:rPr>
          <w:lang w:val="fr-FR"/>
        </w:rPr>
        <w:t> »</w:t>
      </w:r>
      <w:r w:rsidRPr="00350AAB">
        <w:rPr>
          <w:lang w:val="fr-FR"/>
        </w:rPr>
        <w:t xml:space="preserve"> soit remplacé par le terme </w:t>
      </w:r>
      <w:r w:rsidR="00267BF7">
        <w:rPr>
          <w:lang w:val="fr-FR"/>
        </w:rPr>
        <w:t>« </w:t>
      </w:r>
      <w:r w:rsidRPr="00350AAB">
        <w:rPr>
          <w:lang w:val="fr-FR"/>
        </w:rPr>
        <w:t>avertisseur acoustique</w:t>
      </w:r>
      <w:r w:rsidR="00267BF7">
        <w:rPr>
          <w:lang w:val="fr-FR"/>
        </w:rPr>
        <w:t> »</w:t>
      </w:r>
      <w:r w:rsidRPr="00350AAB">
        <w:rPr>
          <w:lang w:val="fr-FR"/>
        </w:rPr>
        <w:t xml:space="preserve"> dans le titre du nouveau Règlement. </w:t>
      </w:r>
    </w:p>
    <w:p w:rsidR="00350AAB" w:rsidRPr="00350AAB" w:rsidRDefault="00350AAB" w:rsidP="00350AAB">
      <w:pPr>
        <w:pStyle w:val="HChG"/>
        <w:rPr>
          <w:lang w:val="fr-FR"/>
        </w:rPr>
      </w:pPr>
      <w:r w:rsidRPr="00350AAB">
        <w:rPr>
          <w:lang w:val="fr-FR"/>
        </w:rPr>
        <w:tab/>
        <w:t>X.</w:t>
      </w:r>
      <w:r w:rsidRPr="00350AAB">
        <w:rPr>
          <w:lang w:val="fr-FR"/>
        </w:rPr>
        <w:tab/>
        <w:t>Amendements collectifs (point</w:t>
      </w:r>
      <w:r>
        <w:rPr>
          <w:lang w:val="fr-FR"/>
        </w:rPr>
        <w:t> </w:t>
      </w:r>
      <w:r w:rsidRPr="00350AAB">
        <w:rPr>
          <w:lang w:val="fr-FR"/>
        </w:rPr>
        <w:t>9 de l’ordre du jour)</w:t>
      </w:r>
    </w:p>
    <w:p w:rsidR="00350AAB" w:rsidRPr="00350AAB" w:rsidRDefault="00350AAB" w:rsidP="00350AAB">
      <w:pPr>
        <w:pStyle w:val="SingleTxtG"/>
        <w:rPr>
          <w:lang w:val="fr-FR"/>
        </w:rPr>
      </w:pPr>
      <w:r w:rsidRPr="00350AAB">
        <w:rPr>
          <w:lang w:val="fr-FR"/>
        </w:rPr>
        <w:t>20.</w:t>
      </w:r>
      <w:r w:rsidRPr="00350AAB">
        <w:rPr>
          <w:lang w:val="fr-FR"/>
        </w:rPr>
        <w:tab/>
        <w:t xml:space="preserve">Aucune proposition n’a été examinée au titre de ce point de l’ordre du jour. </w:t>
      </w:r>
    </w:p>
    <w:p w:rsidR="00350AAB" w:rsidRPr="00350AAB" w:rsidRDefault="00350AAB" w:rsidP="00350AAB">
      <w:pPr>
        <w:pStyle w:val="HChG"/>
        <w:rPr>
          <w:lang w:val="fr-FR"/>
        </w:rPr>
      </w:pPr>
      <w:r w:rsidRPr="00350AAB">
        <w:rPr>
          <w:lang w:val="fr-FR"/>
        </w:rPr>
        <w:tab/>
        <w:t>XI.</w:t>
      </w:r>
      <w:r w:rsidRPr="00350AAB">
        <w:rPr>
          <w:lang w:val="fr-FR"/>
        </w:rPr>
        <w:tab/>
        <w:t>Échange de renseignements s</w:t>
      </w:r>
      <w:r>
        <w:rPr>
          <w:lang w:val="fr-FR"/>
        </w:rPr>
        <w:t>ur les prescriptions nationales</w:t>
      </w:r>
      <w:r>
        <w:rPr>
          <w:lang w:val="fr-FR"/>
        </w:rPr>
        <w:br/>
      </w:r>
      <w:r w:rsidRPr="00350AAB">
        <w:rPr>
          <w:lang w:val="fr-FR"/>
        </w:rPr>
        <w:t>et internationales en matière de niveau sonore</w:t>
      </w:r>
      <w:r>
        <w:rPr>
          <w:lang w:val="fr-FR"/>
        </w:rPr>
        <w:br/>
      </w:r>
      <w:r w:rsidRPr="00350AAB">
        <w:rPr>
          <w:lang w:val="fr-FR"/>
        </w:rPr>
        <w:t>(point</w:t>
      </w:r>
      <w:r>
        <w:rPr>
          <w:lang w:val="fr-FR"/>
        </w:rPr>
        <w:t> </w:t>
      </w:r>
      <w:r w:rsidRPr="00350AAB">
        <w:rPr>
          <w:lang w:val="fr-FR"/>
        </w:rPr>
        <w:t>10 de l’ordre du jour)</w:t>
      </w:r>
    </w:p>
    <w:p w:rsidR="00350AAB" w:rsidRDefault="00350AAB" w:rsidP="00350AAB">
      <w:pPr>
        <w:pStyle w:val="SingleTxtG"/>
        <w:rPr>
          <w:b/>
          <w:lang w:val="fr-FR"/>
        </w:rPr>
      </w:pPr>
      <w:r w:rsidRPr="00350AAB">
        <w:rPr>
          <w:b/>
          <w:lang w:val="fr-FR"/>
        </w:rPr>
        <w:t>Document</w:t>
      </w:r>
      <w:r>
        <w:rPr>
          <w:b/>
          <w:lang w:val="fr-FR"/>
        </w:rPr>
        <w:t>(s) :</w:t>
      </w:r>
    </w:p>
    <w:p w:rsidR="00350AAB" w:rsidRPr="00350AAB" w:rsidRDefault="007A231C" w:rsidP="00350AAB">
      <w:pPr>
        <w:pStyle w:val="SingleTxtG"/>
        <w:rPr>
          <w:lang w:val="fr-FR"/>
        </w:rPr>
      </w:pPr>
      <w:r>
        <w:rPr>
          <w:lang w:val="fr-FR"/>
        </w:rPr>
        <w:t xml:space="preserve">Document informel </w:t>
      </w:r>
      <w:r w:rsidR="00350AAB" w:rsidRPr="00350AAB">
        <w:rPr>
          <w:lang w:val="fr-FR"/>
        </w:rPr>
        <w:t>GRB-67-13</w:t>
      </w:r>
    </w:p>
    <w:p w:rsidR="00350AAB" w:rsidRPr="00350AAB" w:rsidRDefault="00350AAB" w:rsidP="00350AAB">
      <w:pPr>
        <w:pStyle w:val="SingleTxtG"/>
        <w:rPr>
          <w:lang w:val="fr-FR"/>
        </w:rPr>
      </w:pPr>
      <w:r w:rsidRPr="00350AAB">
        <w:rPr>
          <w:lang w:val="fr-FR"/>
        </w:rPr>
        <w:t>21.</w:t>
      </w:r>
      <w:r w:rsidRPr="00350AAB">
        <w:rPr>
          <w:lang w:val="fr-FR"/>
        </w:rPr>
        <w:tab/>
        <w:t>Aucun fait nouveau n’a été signalé au titre de ce point de l’ordre du jour</w:t>
      </w:r>
      <w:r>
        <w:rPr>
          <w:lang w:val="fr-FR"/>
        </w:rPr>
        <w:t>.</w:t>
      </w:r>
    </w:p>
    <w:p w:rsidR="00350AAB" w:rsidRPr="00350AAB" w:rsidRDefault="00350AAB" w:rsidP="00350AAB">
      <w:pPr>
        <w:pStyle w:val="HChG"/>
        <w:rPr>
          <w:lang w:val="fr-FR"/>
        </w:rPr>
      </w:pPr>
      <w:r w:rsidRPr="00350AAB">
        <w:rPr>
          <w:lang w:val="fr-FR"/>
        </w:rPr>
        <w:tab/>
        <w:t>XII.</w:t>
      </w:r>
      <w:r w:rsidRPr="00350AAB">
        <w:rPr>
          <w:lang w:val="fr-FR"/>
        </w:rPr>
        <w:tab/>
        <w:t>Incidence du revêtement de la route sur le bruit de roulement des pneumatiques (point</w:t>
      </w:r>
      <w:r w:rsidR="002E4E52">
        <w:rPr>
          <w:lang w:val="fr-FR"/>
        </w:rPr>
        <w:t> </w:t>
      </w:r>
      <w:r w:rsidRPr="00350AAB">
        <w:rPr>
          <w:lang w:val="fr-FR"/>
        </w:rPr>
        <w:t>11 de l’ordre du jour)</w:t>
      </w:r>
    </w:p>
    <w:p w:rsidR="00350AAB" w:rsidRDefault="00350AAB" w:rsidP="00350AAB">
      <w:pPr>
        <w:pStyle w:val="SingleTxtG"/>
        <w:rPr>
          <w:lang w:val="fr-FR"/>
        </w:rPr>
      </w:pPr>
      <w:r w:rsidRPr="00350AAB">
        <w:rPr>
          <w:b/>
          <w:lang w:val="fr-FR"/>
        </w:rPr>
        <w:t xml:space="preserve">Document </w:t>
      </w:r>
      <w:r>
        <w:rPr>
          <w:b/>
          <w:lang w:val="fr-FR"/>
        </w:rPr>
        <w:t>(s)</w:t>
      </w:r>
      <w:r w:rsidRPr="00350AAB">
        <w:rPr>
          <w:b/>
          <w:lang w:val="fr-FR"/>
        </w:rPr>
        <w:t>:</w:t>
      </w:r>
    </w:p>
    <w:p w:rsidR="00350AAB" w:rsidRPr="00350AAB" w:rsidRDefault="007A231C" w:rsidP="00350AAB">
      <w:pPr>
        <w:pStyle w:val="SingleTxtG"/>
        <w:rPr>
          <w:lang w:val="fr-FR"/>
        </w:rPr>
      </w:pPr>
      <w:r>
        <w:rPr>
          <w:lang w:val="fr-FR"/>
        </w:rPr>
        <w:t xml:space="preserve">Document informel </w:t>
      </w:r>
      <w:r w:rsidR="00350AAB" w:rsidRPr="00350AAB">
        <w:rPr>
          <w:lang w:val="fr-FR"/>
        </w:rPr>
        <w:t>GRB-67-19</w:t>
      </w:r>
    </w:p>
    <w:p w:rsidR="00350AAB" w:rsidRPr="00350AAB" w:rsidRDefault="00350AAB" w:rsidP="00350AAB">
      <w:pPr>
        <w:pStyle w:val="SingleTxtG"/>
        <w:rPr>
          <w:lang w:val="fr-FR"/>
        </w:rPr>
      </w:pPr>
      <w:r w:rsidRPr="00350AAB">
        <w:rPr>
          <w:lang w:val="fr-FR"/>
        </w:rPr>
        <w:t>22.</w:t>
      </w:r>
      <w:r w:rsidRPr="00350AAB">
        <w:rPr>
          <w:lang w:val="fr-FR"/>
        </w:rPr>
        <w:tab/>
        <w:t>L’expert des Pays-Bas a présenté une mise à jour de son projet de labellisation des revêtements routiers (GRB-67-19), sur la ba</w:t>
      </w:r>
      <w:r w:rsidR="00267BF7">
        <w:rPr>
          <w:lang w:val="fr-FR"/>
        </w:rPr>
        <w:t>se des quatre critères suivants </w:t>
      </w:r>
      <w:r w:rsidRPr="00350AAB">
        <w:rPr>
          <w:lang w:val="fr-FR"/>
        </w:rPr>
        <w:t>: résistance au dérapage, réduction du bruit, résistance au roulement et durée de vie. Le Groupe de travail</w:t>
      </w:r>
      <w:r w:rsidR="002E4E52">
        <w:rPr>
          <w:lang w:val="fr-FR"/>
        </w:rPr>
        <w:t xml:space="preserve"> </w:t>
      </w:r>
      <w:r w:rsidRPr="00350AAB">
        <w:rPr>
          <w:lang w:val="fr-FR"/>
        </w:rPr>
        <w:t>a rappelé qu’un classement des revêtements routiers ne pourrait pas avoir de valeur juridique, et pourrait simplement faire l’objet, par exemple, d’une recommandation</w:t>
      </w:r>
      <w:r w:rsidR="002E4E52">
        <w:rPr>
          <w:lang w:val="fr-FR"/>
        </w:rPr>
        <w:t xml:space="preserve"> </w:t>
      </w:r>
      <w:r w:rsidRPr="00350AAB">
        <w:rPr>
          <w:lang w:val="fr-FR"/>
        </w:rPr>
        <w:t xml:space="preserve">ou d’une résolution, et annoncé son intention de confier l’adoption de ce classement à l’organe le plus approprié. Dans ces conditions, le Président a informé le Groupe de travail que le Comité de gestion AC.2 examinerait cette question à sa session de novembre 2017. En outre, le secrétariat a indiqué que, à sa session de septembre 2017, le Groupe de travail des transports routiers (SC.1) avait fait savoir que cette question n’était pas de son ressort. Le Président a invité les Pays-Bas, en coopération avec lui, le secrétariat et les autres parties intéressées, à élaborer une recommandation ou une résolution aux fins d’examen par le Groupe de travail, à sa prochaine session. </w:t>
      </w:r>
    </w:p>
    <w:p w:rsidR="00350AAB" w:rsidRPr="00350AAB" w:rsidRDefault="00350AAB" w:rsidP="00350AAB">
      <w:pPr>
        <w:pStyle w:val="HChG"/>
        <w:rPr>
          <w:lang w:val="fr-FR"/>
        </w:rPr>
      </w:pPr>
      <w:r w:rsidRPr="00350AAB">
        <w:rPr>
          <w:lang w:val="fr-FR"/>
        </w:rPr>
        <w:tab/>
      </w:r>
      <w:r w:rsidRPr="00350AAB">
        <w:t>XIII.</w:t>
      </w:r>
      <w:r w:rsidRPr="00350AAB">
        <w:tab/>
      </w:r>
      <w:r w:rsidRPr="00350AAB">
        <w:rPr>
          <w:lang w:val="fr-FR"/>
        </w:rPr>
        <w:t>Sigles et abréviations figurant dans les Règlements relevant de la responsabilit</w:t>
      </w:r>
      <w:r>
        <w:rPr>
          <w:lang w:val="fr-FR"/>
        </w:rPr>
        <w:t>é du Groupe de travail du bruit</w:t>
      </w:r>
      <w:r>
        <w:rPr>
          <w:lang w:val="fr-FR"/>
        </w:rPr>
        <w:br/>
      </w:r>
      <w:r w:rsidRPr="00350AAB">
        <w:rPr>
          <w:lang w:val="fr-FR"/>
        </w:rPr>
        <w:t>(point</w:t>
      </w:r>
      <w:r>
        <w:rPr>
          <w:lang w:val="fr-FR"/>
        </w:rPr>
        <w:t> </w:t>
      </w:r>
      <w:r w:rsidRPr="00350AAB">
        <w:rPr>
          <w:lang w:val="fr-FR"/>
        </w:rPr>
        <w:t>12 de l’ordre du jour)</w:t>
      </w:r>
    </w:p>
    <w:p w:rsidR="00350AAB" w:rsidRPr="00350AAB" w:rsidRDefault="00350AAB" w:rsidP="00350AAB">
      <w:pPr>
        <w:pStyle w:val="SingleTxtG"/>
        <w:rPr>
          <w:highlight w:val="yellow"/>
          <w:lang w:val="fr-FR"/>
        </w:rPr>
      </w:pPr>
      <w:r w:rsidRPr="00350AAB">
        <w:rPr>
          <w:lang w:val="fr-FR"/>
        </w:rPr>
        <w:t>23.</w:t>
      </w:r>
      <w:r w:rsidRPr="00350AAB">
        <w:rPr>
          <w:lang w:val="fr-FR"/>
        </w:rPr>
        <w:tab/>
        <w:t xml:space="preserve">Aucune question n’a été examinée au titre de ce point de l’ordre du jour. </w:t>
      </w:r>
    </w:p>
    <w:p w:rsidR="00350AAB" w:rsidRPr="00350AAB" w:rsidRDefault="00350AAB" w:rsidP="00350AAB">
      <w:pPr>
        <w:pStyle w:val="HChG"/>
        <w:rPr>
          <w:lang w:val="fr-FR"/>
        </w:rPr>
      </w:pPr>
      <w:r w:rsidRPr="00350AAB">
        <w:rPr>
          <w:lang w:val="fr-FR"/>
        </w:rPr>
        <w:tab/>
        <w:t>XIV.</w:t>
      </w:r>
      <w:r w:rsidRPr="00350AAB">
        <w:rPr>
          <w:lang w:val="fr-FR"/>
        </w:rPr>
        <w:tab/>
        <w:t>Propositions d’amendem</w:t>
      </w:r>
      <w:r w:rsidR="002E4E52">
        <w:rPr>
          <w:lang w:val="fr-FR"/>
        </w:rPr>
        <w:t>ents à la résolution d’ensemble</w:t>
      </w:r>
      <w:r w:rsidR="002E4E52">
        <w:rPr>
          <w:lang w:val="fr-FR"/>
        </w:rPr>
        <w:br/>
      </w:r>
      <w:r w:rsidRPr="00350AAB">
        <w:rPr>
          <w:lang w:val="fr-FR"/>
        </w:rPr>
        <w:t>sur la construct</w:t>
      </w:r>
      <w:r w:rsidR="002E4E52">
        <w:rPr>
          <w:lang w:val="fr-FR"/>
        </w:rPr>
        <w:t>ion des véhicules (point 13 de l’ordre</w:t>
      </w:r>
      <w:r w:rsidR="002E4E52">
        <w:rPr>
          <w:lang w:val="fr-FR"/>
        </w:rPr>
        <w:br/>
      </w:r>
      <w:r w:rsidRPr="00350AAB">
        <w:rPr>
          <w:lang w:val="fr-FR"/>
        </w:rPr>
        <w:t>du jour)</w:t>
      </w:r>
    </w:p>
    <w:p w:rsidR="00267BF7" w:rsidRDefault="00267BF7" w:rsidP="00267BF7">
      <w:pPr>
        <w:pStyle w:val="SingleTxtG"/>
        <w:rPr>
          <w:b/>
          <w:lang w:val="fr-FR"/>
        </w:rPr>
      </w:pPr>
      <w:r>
        <w:rPr>
          <w:b/>
          <w:lang w:val="fr-FR"/>
        </w:rPr>
        <w:t>Document(s) :</w:t>
      </w:r>
    </w:p>
    <w:p w:rsidR="00350AAB" w:rsidRPr="00350AAB" w:rsidRDefault="00267BF7" w:rsidP="00267BF7">
      <w:pPr>
        <w:pStyle w:val="SingleTxtG"/>
        <w:rPr>
          <w:i/>
          <w:lang w:val="fr-FR"/>
        </w:rPr>
      </w:pPr>
      <w:r>
        <w:rPr>
          <w:lang w:val="fr-FR"/>
        </w:rPr>
        <w:t xml:space="preserve">ECE/TRANS/WP.29/GRSG/2017/20 </w:t>
      </w:r>
    </w:p>
    <w:p w:rsidR="00350AAB" w:rsidRPr="00350AAB" w:rsidRDefault="00350AAB" w:rsidP="00350AAB">
      <w:pPr>
        <w:pStyle w:val="SingleTxtG"/>
        <w:rPr>
          <w:lang w:val="fr-FR"/>
        </w:rPr>
      </w:pPr>
      <w:r w:rsidRPr="00350AAB">
        <w:rPr>
          <w:lang w:val="fr-FR"/>
        </w:rPr>
        <w:t>24.</w:t>
      </w:r>
      <w:r w:rsidRPr="00350AAB">
        <w:rPr>
          <w:lang w:val="fr-FR"/>
        </w:rPr>
        <w:tab/>
        <w:t>Le Groupe de travail a noté que la proposition visant à modifier l’unité de mesure de la masse des véhicules en passant de la tonne au kilogramme avait été acceptée par le Groupe de travail des dispositions générales de sécurité (GRSG) à sa session d’octobre 2017 (ECE/TRANS/WP.29/GRSG/2017/20) e</w:t>
      </w:r>
      <w:r w:rsidR="00267BF7">
        <w:rPr>
          <w:lang w:val="fr-FR"/>
        </w:rPr>
        <w:t>t qu’elle serait soumise au WP.</w:t>
      </w:r>
      <w:r w:rsidRPr="00350AAB">
        <w:rPr>
          <w:lang w:val="fr-FR"/>
        </w:rPr>
        <w:t>29 à sa session de mars</w:t>
      </w:r>
      <w:r w:rsidR="00267BF7">
        <w:rPr>
          <w:lang w:val="fr-FR"/>
        </w:rPr>
        <w:t xml:space="preserve"> 2018, aux fins d’adoption.</w:t>
      </w:r>
    </w:p>
    <w:p w:rsidR="00350AAB" w:rsidRPr="00350AAB" w:rsidRDefault="00350AAB" w:rsidP="00350AAB">
      <w:pPr>
        <w:pStyle w:val="HChG"/>
        <w:rPr>
          <w:lang w:val="fr-FR"/>
        </w:rPr>
      </w:pPr>
      <w:r w:rsidRPr="00350AAB">
        <w:rPr>
          <w:lang w:val="fr-FR"/>
        </w:rPr>
        <w:tab/>
        <w:t>XV.</w:t>
      </w:r>
      <w:r w:rsidRPr="00350AAB">
        <w:rPr>
          <w:lang w:val="fr-FR"/>
        </w:rPr>
        <w:tab/>
        <w:t>Mise au point d’une homo</w:t>
      </w:r>
      <w:r>
        <w:rPr>
          <w:lang w:val="fr-FR"/>
        </w:rPr>
        <w:t>logation de type internationale</w:t>
      </w:r>
      <w:r>
        <w:rPr>
          <w:lang w:val="fr-FR"/>
        </w:rPr>
        <w:br/>
      </w:r>
      <w:r w:rsidRPr="00350AAB">
        <w:rPr>
          <w:lang w:val="fr-FR"/>
        </w:rPr>
        <w:t>de l’ensemble du véhicu</w:t>
      </w:r>
      <w:r>
        <w:rPr>
          <w:lang w:val="fr-FR"/>
        </w:rPr>
        <w:t>le et participation des Groupes</w:t>
      </w:r>
      <w:r>
        <w:rPr>
          <w:lang w:val="fr-FR"/>
        </w:rPr>
        <w:br/>
      </w:r>
      <w:r w:rsidRPr="00350AAB">
        <w:rPr>
          <w:lang w:val="fr-FR"/>
        </w:rPr>
        <w:t xml:space="preserve">de travail à cette mise au point (point 14 de l’ordre </w:t>
      </w:r>
      <w:r>
        <w:rPr>
          <w:lang w:val="fr-FR"/>
        </w:rPr>
        <w:br/>
      </w:r>
      <w:r w:rsidRPr="00350AAB">
        <w:rPr>
          <w:lang w:val="fr-FR"/>
        </w:rPr>
        <w:t>du jour)</w:t>
      </w:r>
    </w:p>
    <w:p w:rsidR="00350AAB" w:rsidRPr="00350AAB" w:rsidRDefault="00350AAB" w:rsidP="00350AAB">
      <w:pPr>
        <w:pStyle w:val="SingleTxtG"/>
        <w:rPr>
          <w:lang w:val="fr-FR"/>
        </w:rPr>
      </w:pPr>
      <w:r w:rsidRPr="00350AAB">
        <w:rPr>
          <w:lang w:val="fr-FR"/>
        </w:rPr>
        <w:t>25.</w:t>
      </w:r>
      <w:r w:rsidRPr="00350AAB">
        <w:rPr>
          <w:lang w:val="fr-FR"/>
        </w:rPr>
        <w:tab/>
        <w:t>Le Groupe de travail a été informé que la Révision 3 de l’Accord de 1958 était entrée en vigueur le 14</w:t>
      </w:r>
      <w:r w:rsidR="00267BF7">
        <w:rPr>
          <w:lang w:val="fr-FR"/>
        </w:rPr>
        <w:t> </w:t>
      </w:r>
      <w:r w:rsidRPr="00350AAB">
        <w:rPr>
          <w:lang w:val="fr-FR"/>
        </w:rPr>
        <w:t>septembre 2017 et que le WP.29 avait, à sa session de novembre 2017, adopté un projet de directives générales concernant l’élaboration des Règlements de l’ONU et des dispositions transitoires s’y rapportant et un nouveau Règlement (</w:t>
      </w:r>
      <w:r w:rsidR="00267BF7" w:rsidRPr="00267BF7">
        <w:rPr>
          <w:rFonts w:eastAsia="MS Mincho"/>
          <w:lang w:val="fr-FR"/>
        </w:rPr>
        <w:t>n</w:t>
      </w:r>
      <w:r w:rsidR="00267BF7" w:rsidRPr="00267BF7">
        <w:rPr>
          <w:rFonts w:eastAsia="MS Mincho"/>
          <w:vertAlign w:val="superscript"/>
          <w:lang w:val="fr-FR"/>
        </w:rPr>
        <w:t>o</w:t>
      </w:r>
      <w:r w:rsidR="00267BF7">
        <w:rPr>
          <w:lang w:val="fr-FR"/>
        </w:rPr>
        <w:t> </w:t>
      </w:r>
      <w:r w:rsidRPr="00350AAB">
        <w:rPr>
          <w:lang w:val="fr-FR"/>
        </w:rPr>
        <w:t xml:space="preserve">0) sur l’homologation de type internationale de l’ensemble du véhicule (IWVTA). </w:t>
      </w:r>
    </w:p>
    <w:p w:rsidR="00350AAB" w:rsidRPr="00350AAB" w:rsidRDefault="00350AAB" w:rsidP="00350AAB">
      <w:pPr>
        <w:pStyle w:val="HChG"/>
        <w:rPr>
          <w:lang w:val="fr-FR"/>
        </w:rPr>
      </w:pPr>
      <w:r w:rsidRPr="00350AAB">
        <w:rPr>
          <w:lang w:val="fr-FR"/>
        </w:rPr>
        <w:tab/>
        <w:t>XVI.</w:t>
      </w:r>
      <w:r w:rsidRPr="00350AAB">
        <w:rPr>
          <w:lang w:val="fr-FR"/>
        </w:rPr>
        <w:tab/>
        <w:t xml:space="preserve">Points saillants de la session de novembre 2017 du WP.29 </w:t>
      </w:r>
      <w:r w:rsidRPr="00350AAB">
        <w:rPr>
          <w:lang w:val="fr-FR"/>
        </w:rPr>
        <w:br/>
        <w:t>(point 15 de l’ordre du jour)</w:t>
      </w:r>
    </w:p>
    <w:p w:rsidR="00267BF7" w:rsidRDefault="00350AAB" w:rsidP="00267BF7">
      <w:pPr>
        <w:pStyle w:val="SingleTxtG"/>
        <w:rPr>
          <w:b/>
        </w:rPr>
      </w:pPr>
      <w:r w:rsidRPr="00267BF7">
        <w:rPr>
          <w:b/>
        </w:rPr>
        <w:t>Document</w:t>
      </w:r>
      <w:r w:rsidR="00267BF7">
        <w:rPr>
          <w:b/>
        </w:rPr>
        <w:t>(s)</w:t>
      </w:r>
      <w:r w:rsidR="00FF6D90">
        <w:rPr>
          <w:b/>
        </w:rPr>
        <w:t> </w:t>
      </w:r>
      <w:r w:rsidRPr="00267BF7">
        <w:rPr>
          <w:b/>
        </w:rPr>
        <w:t>:</w:t>
      </w:r>
    </w:p>
    <w:p w:rsidR="00350AAB" w:rsidRPr="00350AAB" w:rsidRDefault="007A231C" w:rsidP="00267BF7">
      <w:pPr>
        <w:pStyle w:val="SingleTxtG"/>
      </w:pPr>
      <w:r>
        <w:t xml:space="preserve">Document informel </w:t>
      </w:r>
      <w:r w:rsidR="00350AAB" w:rsidRPr="00350AAB">
        <w:t>GRB-67-05</w:t>
      </w:r>
    </w:p>
    <w:p w:rsidR="00350AAB" w:rsidRPr="00350AAB" w:rsidRDefault="00350AAB" w:rsidP="00350AAB">
      <w:pPr>
        <w:pStyle w:val="SingleTxtG"/>
        <w:rPr>
          <w:lang w:val="fr-FR"/>
        </w:rPr>
      </w:pPr>
      <w:r w:rsidRPr="00350AAB">
        <w:rPr>
          <w:lang w:val="fr-FR"/>
        </w:rPr>
        <w:t>26.</w:t>
      </w:r>
      <w:r w:rsidRPr="00350AAB">
        <w:rPr>
          <w:lang w:val="fr-FR"/>
        </w:rPr>
        <w:tab/>
        <w:t>Le secrétariat a rendu compte des points saillants de la 173</w:t>
      </w:r>
      <w:r w:rsidRPr="00267BF7">
        <w:rPr>
          <w:vertAlign w:val="superscript"/>
          <w:lang w:val="fr-FR"/>
        </w:rPr>
        <w:t>e</w:t>
      </w:r>
      <w:r w:rsidR="00267BF7">
        <w:rPr>
          <w:lang w:val="fr-FR"/>
        </w:rPr>
        <w:t> </w:t>
      </w:r>
      <w:r w:rsidRPr="00350AAB">
        <w:rPr>
          <w:lang w:val="fr-FR"/>
        </w:rPr>
        <w:t xml:space="preserve">session du Forum mondial. </w:t>
      </w:r>
    </w:p>
    <w:p w:rsidR="00350AAB" w:rsidRPr="00350AAB" w:rsidRDefault="00350AAB" w:rsidP="00350AAB">
      <w:pPr>
        <w:pStyle w:val="HChG"/>
        <w:rPr>
          <w:lang w:val="fr-FR"/>
        </w:rPr>
      </w:pPr>
      <w:r w:rsidRPr="00350AAB">
        <w:rPr>
          <w:lang w:val="fr-FR"/>
        </w:rPr>
        <w:tab/>
      </w:r>
      <w:r w:rsidRPr="00350AAB">
        <w:t>XVII.</w:t>
      </w:r>
      <w:r w:rsidRPr="00350AAB">
        <w:tab/>
      </w:r>
      <w:r>
        <w:rPr>
          <w:lang w:val="fr-FR"/>
        </w:rPr>
        <w:t>É</w:t>
      </w:r>
      <w:r w:rsidRPr="00350AAB">
        <w:rPr>
          <w:lang w:val="fr-FR"/>
        </w:rPr>
        <w:t>change de vue</w:t>
      </w:r>
      <w:r w:rsidR="00FF6D90">
        <w:rPr>
          <w:lang w:val="fr-FR"/>
        </w:rPr>
        <w:t>s</w:t>
      </w:r>
      <w:r w:rsidRPr="00350AAB">
        <w:rPr>
          <w:lang w:val="fr-FR"/>
        </w:rPr>
        <w:t xml:space="preserve"> sur les travaux futurs du Groupe de travail (point 16 de l’ordre du jour)</w:t>
      </w:r>
    </w:p>
    <w:p w:rsidR="00350AAB" w:rsidRPr="00350AAB" w:rsidRDefault="00350AAB" w:rsidP="00350AAB">
      <w:pPr>
        <w:pStyle w:val="SingleTxtG"/>
        <w:rPr>
          <w:lang w:val="fr-FR"/>
        </w:rPr>
      </w:pPr>
      <w:r w:rsidRPr="00350AAB">
        <w:rPr>
          <w:lang w:val="fr-FR"/>
        </w:rPr>
        <w:t>27.</w:t>
      </w:r>
      <w:r w:rsidRPr="00350AAB">
        <w:rPr>
          <w:lang w:val="fr-FR"/>
        </w:rPr>
        <w:tab/>
        <w:t xml:space="preserve">Le Président a indiqué qu’avant le mois de mars 2018 il redemanderait leur avis aux experts du Groupe de travail sur cette question. </w:t>
      </w:r>
    </w:p>
    <w:p w:rsidR="00350AAB" w:rsidRPr="00350AAB" w:rsidRDefault="00350AAB" w:rsidP="00350AAB">
      <w:pPr>
        <w:pStyle w:val="HChG"/>
        <w:rPr>
          <w:lang w:val="fr-FR"/>
        </w:rPr>
      </w:pPr>
      <w:r w:rsidRPr="00350AAB">
        <w:rPr>
          <w:lang w:val="fr-FR"/>
        </w:rPr>
        <w:tab/>
        <w:t>XVIII.</w:t>
      </w:r>
      <w:r w:rsidRPr="00350AAB">
        <w:rPr>
          <w:lang w:val="fr-FR"/>
        </w:rPr>
        <w:tab/>
        <w:t>Questions diverses (point 17 de l’ordre du jour)</w:t>
      </w:r>
    </w:p>
    <w:p w:rsidR="00267BF7" w:rsidRDefault="00350AAB" w:rsidP="00267BF7">
      <w:pPr>
        <w:pStyle w:val="SingleTxtG"/>
        <w:jc w:val="left"/>
        <w:rPr>
          <w:i/>
          <w:lang w:val="fr-FR"/>
        </w:rPr>
      </w:pPr>
      <w:r w:rsidRPr="00267BF7">
        <w:rPr>
          <w:b/>
          <w:lang w:val="fr-FR"/>
        </w:rPr>
        <w:t>Document</w:t>
      </w:r>
      <w:r w:rsidR="00267BF7">
        <w:rPr>
          <w:b/>
          <w:lang w:val="fr-FR"/>
        </w:rPr>
        <w:t>(</w:t>
      </w:r>
      <w:r w:rsidRPr="00267BF7">
        <w:rPr>
          <w:b/>
          <w:lang w:val="fr-FR"/>
        </w:rPr>
        <w:t>s</w:t>
      </w:r>
      <w:r w:rsidR="00267BF7">
        <w:rPr>
          <w:b/>
          <w:lang w:val="fr-FR"/>
        </w:rPr>
        <w:t>) </w:t>
      </w:r>
      <w:r w:rsidRPr="00267BF7">
        <w:rPr>
          <w:b/>
          <w:lang w:val="fr-FR"/>
        </w:rPr>
        <w:t>:</w:t>
      </w:r>
    </w:p>
    <w:p w:rsidR="00350AAB" w:rsidRPr="00350AAB" w:rsidRDefault="007A231C" w:rsidP="00267BF7">
      <w:pPr>
        <w:pStyle w:val="SingleTxtG"/>
        <w:jc w:val="left"/>
        <w:rPr>
          <w:i/>
        </w:rPr>
      </w:pPr>
      <w:r>
        <w:rPr>
          <w:lang w:val="fr-FR"/>
        </w:rPr>
        <w:t xml:space="preserve">Documents informels </w:t>
      </w:r>
      <w:r w:rsidR="00350AAB" w:rsidRPr="00350AAB">
        <w:rPr>
          <w:lang w:val="fr-FR"/>
        </w:rPr>
        <w:t>GRB-67-02, GRB-67-03, GRB-67-04 et</w:t>
      </w:r>
      <w:r w:rsidR="00FF6D90">
        <w:rPr>
          <w:lang w:val="fr-FR"/>
        </w:rPr>
        <w:t xml:space="preserve"> </w:t>
      </w:r>
      <w:r w:rsidR="00350AAB" w:rsidRPr="00350AAB">
        <w:t>GRB-67-11</w:t>
      </w:r>
      <w:r w:rsidR="002E4E52">
        <w:t xml:space="preserve"> </w:t>
      </w:r>
    </w:p>
    <w:p w:rsidR="00350AAB" w:rsidRPr="00350AAB" w:rsidRDefault="00350AAB" w:rsidP="00350AAB">
      <w:pPr>
        <w:pStyle w:val="SingleTxtG"/>
        <w:rPr>
          <w:lang w:val="fr-FR"/>
        </w:rPr>
      </w:pPr>
      <w:r w:rsidRPr="00350AAB">
        <w:rPr>
          <w:lang w:val="fr-FR"/>
        </w:rPr>
        <w:t>28.</w:t>
      </w:r>
      <w:r w:rsidRPr="00350AAB">
        <w:rPr>
          <w:lang w:val="fr-FR"/>
        </w:rPr>
        <w:tab/>
        <w:t xml:space="preserve">L’expert de la Commission européenne a présenté une version mise à jour des modifications à apporter à une nouvelle série d’amendements au Règlement </w:t>
      </w:r>
      <w:r w:rsidR="00FF6D90" w:rsidRPr="00FF6D90">
        <w:rPr>
          <w:rFonts w:eastAsia="MS Mincho"/>
          <w:lang w:val="fr-FR"/>
        </w:rPr>
        <w:t>n</w:t>
      </w:r>
      <w:r w:rsidR="00FF6D90" w:rsidRPr="00FF6D90">
        <w:rPr>
          <w:rFonts w:eastAsia="MS Mincho"/>
          <w:vertAlign w:val="superscript"/>
          <w:lang w:val="fr-FR"/>
        </w:rPr>
        <w:t>o</w:t>
      </w:r>
      <w:r w:rsidR="00FF6D90">
        <w:rPr>
          <w:lang w:val="fr-FR"/>
        </w:rPr>
        <w:t> </w:t>
      </w:r>
      <w:r w:rsidRPr="00350AAB">
        <w:rPr>
          <w:lang w:val="fr-FR"/>
        </w:rPr>
        <w:t>9, visant à imposer des prescriptions en matière d’émissions sonores aux véhicules des catégories L</w:t>
      </w:r>
      <w:r w:rsidRPr="00350AAB">
        <w:rPr>
          <w:vertAlign w:val="subscript"/>
          <w:lang w:val="fr-FR"/>
        </w:rPr>
        <w:t>4</w:t>
      </w:r>
      <w:r w:rsidRPr="00350AAB">
        <w:rPr>
          <w:lang w:val="fr-FR"/>
        </w:rPr>
        <w:t xml:space="preserve"> et L</w:t>
      </w:r>
      <w:r w:rsidRPr="00350AAB">
        <w:rPr>
          <w:vertAlign w:val="subscript"/>
          <w:lang w:val="fr-FR"/>
        </w:rPr>
        <w:t>5</w:t>
      </w:r>
      <w:r w:rsidRPr="00350AAB">
        <w:rPr>
          <w:lang w:val="fr-FR"/>
        </w:rPr>
        <w:t>, dont le rapport poids/puissance est supérieur à 50 W/kg (GRB-67-04). Selon l’expert de l’IMMA, les constructeurs auront besoin d’une période de transition beaucoup plus longue pour mettre en œuvre ces amendements. Le secrétariat a fait remarquer que les renvois à la norme ISO 10844 devraient être mis à jour. Le Groupe de travail a invité l’expert de la Commission européenne à mettre à jour ses propositions et à les soumettre en tant que document officiel à la prochaine session aux fins d’examen</w:t>
      </w:r>
      <w:r>
        <w:rPr>
          <w:lang w:val="fr-FR"/>
        </w:rPr>
        <w:t>.</w:t>
      </w:r>
    </w:p>
    <w:p w:rsidR="00350AAB" w:rsidRPr="00350AAB" w:rsidRDefault="00350AAB" w:rsidP="00350AAB">
      <w:pPr>
        <w:pStyle w:val="SingleTxtG"/>
        <w:rPr>
          <w:lang w:val="fr-FR"/>
        </w:rPr>
      </w:pPr>
      <w:r w:rsidRPr="00350AAB">
        <w:rPr>
          <w:lang w:val="fr-FR"/>
        </w:rPr>
        <w:t>29.</w:t>
      </w:r>
      <w:r w:rsidRPr="00350AAB">
        <w:rPr>
          <w:lang w:val="fr-FR"/>
        </w:rPr>
        <w:tab/>
        <w:t>L’expert de l’Allemagne a fait un tour d’horizon des problèmes d’émissions sonores que posent les systèmes de silencieux installés après coup su</w:t>
      </w:r>
      <w:r>
        <w:rPr>
          <w:lang w:val="fr-FR"/>
        </w:rPr>
        <w:t>r les véhicules de la catégorie </w:t>
      </w:r>
      <w:r w:rsidRPr="00350AAB">
        <w:rPr>
          <w:lang w:val="fr-FR"/>
        </w:rPr>
        <w:t>L (GRB-67-03), et indiqué qu’</w:t>
      </w:r>
      <w:r>
        <w:rPr>
          <w:lang w:val="fr-FR"/>
        </w:rPr>
        <w:t>un supplément </w:t>
      </w:r>
      <w:r w:rsidRPr="00350AAB">
        <w:rPr>
          <w:lang w:val="fr-FR"/>
        </w:rPr>
        <w:t xml:space="preserve">3 à la série 01 d’amendements au Règlement </w:t>
      </w:r>
      <w:r w:rsidRPr="00350AAB">
        <w:rPr>
          <w:rFonts w:eastAsia="MS Mincho"/>
          <w:lang w:val="fr-FR"/>
        </w:rPr>
        <w:t>n</w:t>
      </w:r>
      <w:r w:rsidRPr="00350AAB">
        <w:rPr>
          <w:rFonts w:eastAsia="MS Mincho"/>
          <w:vertAlign w:val="superscript"/>
          <w:lang w:val="fr-FR"/>
        </w:rPr>
        <w:t>o</w:t>
      </w:r>
      <w:r>
        <w:rPr>
          <w:lang w:val="fr-FR"/>
        </w:rPr>
        <w:t> </w:t>
      </w:r>
      <w:r w:rsidRPr="00350AAB">
        <w:rPr>
          <w:lang w:val="fr-FR"/>
        </w:rPr>
        <w:t xml:space="preserve">92 (GRB-67-02) pourrait être une solution. </w:t>
      </w:r>
      <w:r>
        <w:rPr>
          <w:lang w:val="fr-FR"/>
        </w:rPr>
        <w:t>À</w:t>
      </w:r>
      <w:r w:rsidRPr="00350AAB">
        <w:rPr>
          <w:lang w:val="fr-FR"/>
        </w:rPr>
        <w:t xml:space="preserve"> la suite d’un bref échange de vues, le Groupe de travail s’est rallié dans l’ensemble à cette idée et a accepté que les modifications proposées fassent l’objet d’une nouvelle série d’amendements. Les experts du Groupe de travail ont été priés de transmettre leurs éventuelles observations directement à l’expert de l’Allemagne pour que celui-ci ait le temps de soumettre un document officiel à la prochaine session aux fins d’examen.</w:t>
      </w:r>
      <w:r w:rsidR="002E4E52">
        <w:rPr>
          <w:lang w:val="fr-FR"/>
        </w:rPr>
        <w:t xml:space="preserve"> </w:t>
      </w:r>
    </w:p>
    <w:p w:rsidR="00350AAB" w:rsidRPr="00350AAB" w:rsidRDefault="00350AAB" w:rsidP="00350AAB">
      <w:pPr>
        <w:pStyle w:val="SingleTxtG"/>
        <w:rPr>
          <w:lang w:val="fr-FR"/>
        </w:rPr>
      </w:pPr>
      <w:r w:rsidRPr="00350AAB">
        <w:rPr>
          <w:lang w:val="fr-FR"/>
        </w:rPr>
        <w:t>30.</w:t>
      </w:r>
      <w:r w:rsidRPr="00350AAB">
        <w:rPr>
          <w:lang w:val="fr-FR"/>
        </w:rPr>
        <w:tab/>
        <w:t>Le Groupe de travail a pris note que M</w:t>
      </w:r>
      <w:r w:rsidRPr="00350AAB">
        <w:rPr>
          <w:vertAlign w:val="superscript"/>
          <w:lang w:val="fr-FR"/>
        </w:rPr>
        <w:t>me</w:t>
      </w:r>
      <w:r>
        <w:rPr>
          <w:lang w:val="fr-FR"/>
        </w:rPr>
        <w:t> </w:t>
      </w:r>
      <w:r w:rsidRPr="00350AAB">
        <w:rPr>
          <w:lang w:val="fr-FR"/>
        </w:rPr>
        <w:t>M.</w:t>
      </w:r>
      <w:r w:rsidR="002E4E52">
        <w:rPr>
          <w:lang w:val="fr-FR"/>
        </w:rPr>
        <w:t xml:space="preserve"> </w:t>
      </w:r>
      <w:r>
        <w:rPr>
          <w:lang w:val="fr-FR"/>
        </w:rPr>
        <w:t>Prémillieu (France) et MM. B. </w:t>
      </w:r>
      <w:r w:rsidRPr="00350AAB">
        <w:rPr>
          <w:lang w:val="fr-FR"/>
        </w:rPr>
        <w:t>Despujols et T.</w:t>
      </w:r>
      <w:r>
        <w:rPr>
          <w:lang w:val="fr-FR"/>
        </w:rPr>
        <w:t> </w:t>
      </w:r>
      <w:r w:rsidRPr="00350AAB">
        <w:rPr>
          <w:lang w:val="fr-FR"/>
        </w:rPr>
        <w:t>Miyachi (tous deux représentants de l’OICA) avaient pris de nouvelles fonctions et n’assisteraient donc plus aux réunions du Groupe de travail. Celui-ci les a remerciés de leur contribution et leur a souhaité bonne chance pour l’avenir.</w:t>
      </w:r>
    </w:p>
    <w:p w:rsidR="00350AAB" w:rsidRPr="00350AAB" w:rsidRDefault="00350AAB" w:rsidP="00350AAB">
      <w:pPr>
        <w:pStyle w:val="HChG"/>
        <w:rPr>
          <w:lang w:val="fr-FR"/>
        </w:rPr>
      </w:pPr>
      <w:r w:rsidRPr="00350AAB">
        <w:rPr>
          <w:lang w:val="fr-FR"/>
        </w:rPr>
        <w:tab/>
        <w:t>XIX.</w:t>
      </w:r>
      <w:r w:rsidRPr="00350AAB">
        <w:rPr>
          <w:lang w:val="fr-FR"/>
        </w:rPr>
        <w:tab/>
        <w:t xml:space="preserve">Ordre du jour provisoire de la soixante-huitième session </w:t>
      </w:r>
      <w:r w:rsidRPr="00350AAB">
        <w:rPr>
          <w:lang w:val="fr-FR"/>
        </w:rPr>
        <w:br/>
        <w:t>(point 18 de l’ordre du jour)</w:t>
      </w:r>
      <w:r w:rsidRPr="00350AAB">
        <w:rPr>
          <w:lang w:val="fr-FR"/>
        </w:rPr>
        <w:tab/>
      </w:r>
    </w:p>
    <w:p w:rsidR="00350AAB" w:rsidRPr="00350AAB" w:rsidRDefault="00350AAB" w:rsidP="00350AAB">
      <w:pPr>
        <w:pStyle w:val="SingleTxtG"/>
        <w:rPr>
          <w:lang w:val="fr-FR"/>
        </w:rPr>
      </w:pPr>
      <w:r w:rsidRPr="00350AAB">
        <w:rPr>
          <w:lang w:val="fr-FR"/>
        </w:rPr>
        <w:t>31.</w:t>
      </w:r>
      <w:r w:rsidRPr="00350AAB">
        <w:rPr>
          <w:lang w:val="fr-FR"/>
        </w:rPr>
        <w:tab/>
        <w:t>Pour sa soixante-huitième session, qui doit se tenir à Genève, du 12 (14</w:t>
      </w:r>
      <w:r>
        <w:rPr>
          <w:lang w:val="fr-FR"/>
        </w:rPr>
        <w:t> </w:t>
      </w:r>
      <w:r w:rsidRPr="00350AAB">
        <w:rPr>
          <w:lang w:val="fr-FR"/>
        </w:rPr>
        <w:t>h</w:t>
      </w:r>
      <w:r>
        <w:rPr>
          <w:lang w:val="fr-FR"/>
        </w:rPr>
        <w:t> </w:t>
      </w:r>
      <w:r w:rsidRPr="00350AAB">
        <w:rPr>
          <w:lang w:val="fr-FR"/>
        </w:rPr>
        <w:t>30) au 14 (17</w:t>
      </w:r>
      <w:r>
        <w:rPr>
          <w:lang w:val="fr-FR"/>
        </w:rPr>
        <w:t> </w:t>
      </w:r>
      <w:r w:rsidRPr="00350AAB">
        <w:rPr>
          <w:lang w:val="fr-FR"/>
        </w:rPr>
        <w:t>h</w:t>
      </w:r>
      <w:r>
        <w:rPr>
          <w:lang w:val="fr-FR"/>
        </w:rPr>
        <w:t> </w:t>
      </w:r>
      <w:r w:rsidRPr="00350AAB">
        <w:rPr>
          <w:lang w:val="fr-FR"/>
        </w:rPr>
        <w:t>30) septembre 2018, le Groupe de travail a décidé de ne pas modifier son ordre du jour, mis à part la suppression du point</w:t>
      </w:r>
      <w:r w:rsidR="00AA3F17">
        <w:rPr>
          <w:lang w:val="fr-FR"/>
        </w:rPr>
        <w:t> </w:t>
      </w:r>
      <w:r w:rsidRPr="00350AAB">
        <w:rPr>
          <w:lang w:val="fr-FR"/>
        </w:rPr>
        <w:t xml:space="preserve">12 et l’ajout de deux nouveaux points concernant les Règlements </w:t>
      </w:r>
      <w:r>
        <w:rPr>
          <w:lang w:val="fr-FR"/>
        </w:rPr>
        <w:t>n</w:t>
      </w:r>
      <w:r w:rsidRPr="00350AAB">
        <w:rPr>
          <w:vertAlign w:val="superscript"/>
          <w:lang w:val="fr-FR"/>
        </w:rPr>
        <w:t>os</w:t>
      </w:r>
      <w:r>
        <w:rPr>
          <w:lang w:val="fr-FR"/>
        </w:rPr>
        <w:t> </w:t>
      </w:r>
      <w:r w:rsidRPr="00350AAB">
        <w:rPr>
          <w:lang w:val="fr-FR"/>
        </w:rPr>
        <w:t>9 et 92. Le Groupe de travail a pris note que la date limite pour soumettre les documents officiels au secrétariat avait été fixée au 18</w:t>
      </w:r>
      <w:r>
        <w:rPr>
          <w:lang w:val="fr-FR"/>
        </w:rPr>
        <w:t> </w:t>
      </w:r>
      <w:r w:rsidRPr="00350AAB">
        <w:rPr>
          <w:lang w:val="fr-FR"/>
        </w:rPr>
        <w:t xml:space="preserve">juin 2018, c’est-à-dire douze semaines avant la session. </w:t>
      </w:r>
    </w:p>
    <w:p w:rsidR="00350AAB" w:rsidRPr="008938E4" w:rsidRDefault="00350AAB" w:rsidP="00350AAB">
      <w:pPr>
        <w:pStyle w:val="HChG"/>
        <w:rPr>
          <w:lang w:val="fr-FR"/>
        </w:rPr>
      </w:pPr>
      <w:r w:rsidRPr="00350AAB">
        <w:rPr>
          <w:lang w:val="fr-FR"/>
        </w:rPr>
        <w:br w:type="page"/>
      </w:r>
      <w:r w:rsidRPr="008938E4">
        <w:rPr>
          <w:lang w:val="fr-FR"/>
        </w:rPr>
        <w:t>Annexe I</w:t>
      </w:r>
    </w:p>
    <w:p w:rsidR="00350AAB" w:rsidRPr="008938E4" w:rsidRDefault="008972C2" w:rsidP="008972C2">
      <w:pPr>
        <w:pStyle w:val="HChG"/>
        <w:ind w:left="0" w:firstLine="0"/>
        <w:rPr>
          <w:lang w:val="fr-FR"/>
        </w:rPr>
      </w:pPr>
      <w:r>
        <w:rPr>
          <w:lang w:val="fr-FR"/>
        </w:rPr>
        <w:tab/>
      </w:r>
      <w:r w:rsidR="00350AAB" w:rsidRPr="008938E4">
        <w:rPr>
          <w:lang w:val="fr-FR"/>
        </w:rPr>
        <w:t>Liste des documents informel</w:t>
      </w:r>
      <w:r>
        <w:rPr>
          <w:lang w:val="fr-FR"/>
        </w:rPr>
        <w:t>s (GRB-67-…) distribués pendant</w:t>
      </w:r>
      <w:r>
        <w:rPr>
          <w:lang w:val="fr-FR"/>
        </w:rPr>
        <w:br/>
      </w:r>
      <w:r w:rsidR="00350AAB" w:rsidRPr="008938E4">
        <w:rPr>
          <w:lang w:val="fr-FR"/>
        </w:rPr>
        <w:t>la session</w:t>
      </w:r>
    </w:p>
    <w:tbl>
      <w:tblPr>
        <w:tblW w:w="9639" w:type="dxa"/>
        <w:tblLayout w:type="fixed"/>
        <w:tblCellMar>
          <w:left w:w="57" w:type="dxa"/>
          <w:right w:w="57" w:type="dxa"/>
        </w:tblCellMar>
        <w:tblLook w:val="01E0" w:firstRow="1" w:lastRow="1" w:firstColumn="1" w:lastColumn="1" w:noHBand="0" w:noVBand="0"/>
      </w:tblPr>
      <w:tblGrid>
        <w:gridCol w:w="883"/>
        <w:gridCol w:w="1652"/>
        <w:gridCol w:w="826"/>
        <w:gridCol w:w="672"/>
        <w:gridCol w:w="4759"/>
        <w:gridCol w:w="847"/>
      </w:tblGrid>
      <w:tr w:rsidR="00350AAB" w:rsidRPr="00350AAB" w:rsidTr="008972C2">
        <w:trPr>
          <w:tblHeader/>
        </w:trPr>
        <w:tc>
          <w:tcPr>
            <w:tcW w:w="883" w:type="dxa"/>
            <w:tcBorders>
              <w:top w:val="single" w:sz="4" w:space="0" w:color="auto"/>
              <w:bottom w:val="single" w:sz="12" w:space="0" w:color="auto"/>
            </w:tcBorders>
            <w:shd w:val="clear" w:color="auto" w:fill="auto"/>
          </w:tcPr>
          <w:p w:rsidR="00350AAB" w:rsidRPr="00350AAB" w:rsidRDefault="00350AAB" w:rsidP="008938E4">
            <w:pPr>
              <w:spacing w:before="80" w:after="80" w:line="200" w:lineRule="exact"/>
              <w:rPr>
                <w:i/>
                <w:sz w:val="16"/>
                <w:szCs w:val="16"/>
              </w:rPr>
            </w:pPr>
            <w:r w:rsidRPr="00350AAB">
              <w:rPr>
                <w:i/>
                <w:sz w:val="16"/>
                <w:szCs w:val="16"/>
              </w:rPr>
              <w:t>Cote</w:t>
            </w:r>
          </w:p>
        </w:tc>
        <w:tc>
          <w:tcPr>
            <w:tcW w:w="1652" w:type="dxa"/>
            <w:tcBorders>
              <w:top w:val="single" w:sz="4" w:space="0" w:color="auto"/>
              <w:bottom w:val="single" w:sz="12" w:space="0" w:color="auto"/>
            </w:tcBorders>
            <w:shd w:val="clear" w:color="auto" w:fill="auto"/>
          </w:tcPr>
          <w:p w:rsidR="00350AAB" w:rsidRPr="00350AAB" w:rsidRDefault="00350AAB" w:rsidP="008938E4">
            <w:pPr>
              <w:spacing w:before="80" w:after="80" w:line="200" w:lineRule="exact"/>
              <w:rPr>
                <w:i/>
                <w:sz w:val="16"/>
                <w:szCs w:val="16"/>
              </w:rPr>
            </w:pPr>
            <w:r w:rsidRPr="00350AAB">
              <w:rPr>
                <w:i/>
                <w:sz w:val="16"/>
                <w:szCs w:val="16"/>
              </w:rPr>
              <w:t>Auteur</w:t>
            </w:r>
          </w:p>
        </w:tc>
        <w:tc>
          <w:tcPr>
            <w:tcW w:w="826" w:type="dxa"/>
            <w:tcBorders>
              <w:top w:val="single" w:sz="4" w:space="0" w:color="auto"/>
              <w:bottom w:val="single" w:sz="12" w:space="0" w:color="auto"/>
            </w:tcBorders>
            <w:shd w:val="clear" w:color="auto" w:fill="auto"/>
          </w:tcPr>
          <w:p w:rsidR="00350AAB" w:rsidRPr="00350AAB" w:rsidRDefault="008972C2" w:rsidP="008938E4">
            <w:pPr>
              <w:spacing w:before="80" w:after="80" w:line="200" w:lineRule="exact"/>
              <w:rPr>
                <w:i/>
                <w:sz w:val="16"/>
                <w:szCs w:val="16"/>
                <w:lang w:val="fr-FR"/>
              </w:rPr>
            </w:pPr>
            <w:r>
              <w:rPr>
                <w:i/>
                <w:sz w:val="16"/>
                <w:szCs w:val="16"/>
                <w:lang w:val="fr-FR"/>
              </w:rPr>
              <w:t>Point</w:t>
            </w:r>
            <w:r>
              <w:rPr>
                <w:i/>
                <w:sz w:val="16"/>
                <w:szCs w:val="16"/>
                <w:lang w:val="fr-FR"/>
              </w:rPr>
              <w:br/>
            </w:r>
            <w:r w:rsidR="00350AAB" w:rsidRPr="00350AAB">
              <w:rPr>
                <w:i/>
                <w:sz w:val="16"/>
                <w:szCs w:val="16"/>
                <w:lang w:val="fr-FR"/>
              </w:rPr>
              <w:t>de l’ordre du jour</w:t>
            </w:r>
          </w:p>
        </w:tc>
        <w:tc>
          <w:tcPr>
            <w:tcW w:w="672" w:type="dxa"/>
            <w:tcBorders>
              <w:top w:val="single" w:sz="4" w:space="0" w:color="auto"/>
              <w:bottom w:val="single" w:sz="12" w:space="0" w:color="auto"/>
            </w:tcBorders>
            <w:shd w:val="clear" w:color="auto" w:fill="auto"/>
          </w:tcPr>
          <w:p w:rsidR="00350AAB" w:rsidRPr="00350AAB" w:rsidRDefault="00350AAB" w:rsidP="008938E4">
            <w:pPr>
              <w:spacing w:before="80" w:after="80" w:line="200" w:lineRule="exact"/>
              <w:rPr>
                <w:i/>
                <w:sz w:val="16"/>
                <w:szCs w:val="16"/>
              </w:rPr>
            </w:pPr>
            <w:r w:rsidRPr="00350AAB">
              <w:rPr>
                <w:i/>
                <w:sz w:val="16"/>
                <w:szCs w:val="16"/>
              </w:rPr>
              <w:t>Langue</w:t>
            </w:r>
          </w:p>
        </w:tc>
        <w:tc>
          <w:tcPr>
            <w:tcW w:w="4759" w:type="dxa"/>
            <w:tcBorders>
              <w:top w:val="single" w:sz="4" w:space="0" w:color="auto"/>
              <w:bottom w:val="single" w:sz="12" w:space="0" w:color="auto"/>
            </w:tcBorders>
            <w:shd w:val="clear" w:color="auto" w:fill="auto"/>
          </w:tcPr>
          <w:p w:rsidR="00350AAB" w:rsidRPr="00350AAB" w:rsidRDefault="00350AAB" w:rsidP="008938E4">
            <w:pPr>
              <w:spacing w:before="80" w:after="80" w:line="200" w:lineRule="exact"/>
              <w:rPr>
                <w:i/>
                <w:sz w:val="16"/>
                <w:szCs w:val="16"/>
              </w:rPr>
            </w:pPr>
            <w:r w:rsidRPr="00350AAB">
              <w:rPr>
                <w:i/>
                <w:sz w:val="16"/>
                <w:szCs w:val="16"/>
              </w:rPr>
              <w:t>Titre</w:t>
            </w:r>
          </w:p>
        </w:tc>
        <w:tc>
          <w:tcPr>
            <w:tcW w:w="847" w:type="dxa"/>
            <w:tcBorders>
              <w:top w:val="single" w:sz="4" w:space="0" w:color="auto"/>
              <w:bottom w:val="single" w:sz="12" w:space="0" w:color="auto"/>
            </w:tcBorders>
            <w:shd w:val="clear" w:color="auto" w:fill="auto"/>
          </w:tcPr>
          <w:p w:rsidR="00350AAB" w:rsidRPr="00350AAB" w:rsidRDefault="008972C2" w:rsidP="008938E4">
            <w:pPr>
              <w:spacing w:before="80" w:after="80" w:line="200" w:lineRule="exact"/>
              <w:rPr>
                <w:i/>
                <w:sz w:val="16"/>
                <w:szCs w:val="16"/>
              </w:rPr>
            </w:pPr>
            <w:r>
              <w:rPr>
                <w:i/>
                <w:sz w:val="16"/>
                <w:szCs w:val="16"/>
              </w:rPr>
              <w:t>Suite</w:t>
            </w:r>
            <w:r>
              <w:rPr>
                <w:i/>
                <w:sz w:val="16"/>
                <w:szCs w:val="16"/>
              </w:rPr>
              <w:br/>
            </w:r>
            <w:r w:rsidR="00350AAB" w:rsidRPr="00350AAB">
              <w:rPr>
                <w:i/>
                <w:sz w:val="16"/>
                <w:szCs w:val="16"/>
              </w:rPr>
              <w:t>donnée</w:t>
            </w:r>
          </w:p>
        </w:tc>
      </w:tr>
      <w:tr w:rsidR="00350AAB" w:rsidRPr="00350AAB" w:rsidTr="008972C2">
        <w:tc>
          <w:tcPr>
            <w:tcW w:w="883" w:type="dxa"/>
            <w:tcBorders>
              <w:top w:val="single" w:sz="12" w:space="0" w:color="auto"/>
            </w:tcBorders>
            <w:shd w:val="clear" w:color="auto" w:fill="auto"/>
          </w:tcPr>
          <w:p w:rsidR="00350AAB" w:rsidRPr="00350AAB" w:rsidRDefault="00350AAB" w:rsidP="008972C2">
            <w:pPr>
              <w:spacing w:before="40" w:after="120"/>
              <w:rPr>
                <w:sz w:val="18"/>
                <w:szCs w:val="18"/>
              </w:rPr>
            </w:pPr>
            <w:r w:rsidRPr="00350AAB">
              <w:rPr>
                <w:sz w:val="18"/>
                <w:szCs w:val="18"/>
              </w:rPr>
              <w:t>1-Rev.1</w:t>
            </w:r>
          </w:p>
        </w:tc>
        <w:tc>
          <w:tcPr>
            <w:tcW w:w="1652" w:type="dxa"/>
            <w:tcBorders>
              <w:top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Fédération</w:t>
            </w:r>
            <w:r w:rsidR="00FF6D90">
              <w:rPr>
                <w:sz w:val="18"/>
                <w:szCs w:val="18"/>
              </w:rPr>
              <w:br/>
            </w:r>
            <w:r w:rsidRPr="00350AAB">
              <w:rPr>
                <w:sz w:val="18"/>
                <w:szCs w:val="18"/>
              </w:rPr>
              <w:t>de Russie</w:t>
            </w:r>
          </w:p>
        </w:tc>
        <w:tc>
          <w:tcPr>
            <w:tcW w:w="826" w:type="dxa"/>
            <w:tcBorders>
              <w:top w:val="single" w:sz="12" w:space="0" w:color="auto"/>
            </w:tcBorders>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tcBorders>
              <w:top w:val="single" w:sz="12" w:space="0" w:color="auto"/>
            </w:tcBorders>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tcBorders>
              <w:top w:val="single" w:sz="12" w:space="0" w:color="auto"/>
            </w:tcBorders>
            <w:shd w:val="clear" w:color="auto" w:fill="auto"/>
          </w:tcPr>
          <w:p w:rsidR="00350AAB" w:rsidRPr="00350AAB" w:rsidRDefault="00350AAB" w:rsidP="008972C2">
            <w:pPr>
              <w:spacing w:before="40" w:after="120"/>
              <w:rPr>
                <w:sz w:val="18"/>
                <w:szCs w:val="18"/>
                <w:lang w:val="en-US"/>
              </w:rPr>
            </w:pPr>
            <w:r w:rsidRPr="008972C2">
              <w:rPr>
                <w:sz w:val="18"/>
                <w:szCs w:val="18"/>
                <w:lang w:val="en-US"/>
              </w:rPr>
              <w:t xml:space="preserve">Proposal for additional amendments to UN Regulation No. 51 </w:t>
            </w:r>
            <w:r w:rsidRPr="00350AAB">
              <w:rPr>
                <w:sz w:val="18"/>
                <w:szCs w:val="18"/>
                <w:lang w:val="en-US"/>
              </w:rPr>
              <w:t>with the introduction of indoor test methods (ECE/TRANS/WP.29/GRB/2018/3)</w:t>
            </w:r>
          </w:p>
        </w:tc>
        <w:tc>
          <w:tcPr>
            <w:tcW w:w="847" w:type="dxa"/>
            <w:tcBorders>
              <w:top w:val="single" w:sz="12" w:space="0" w:color="auto"/>
            </w:tcBorders>
            <w:shd w:val="clear" w:color="auto" w:fill="auto"/>
          </w:tcPr>
          <w:p w:rsidR="00350AAB" w:rsidRPr="00350AAB" w:rsidRDefault="00350AAB" w:rsidP="008972C2">
            <w:pPr>
              <w:spacing w:before="40" w:after="120"/>
              <w:rPr>
                <w:sz w:val="18"/>
                <w:szCs w:val="18"/>
              </w:rPr>
            </w:pPr>
            <w:r w:rsidRPr="00350AAB">
              <w:rPr>
                <w:sz w:val="18"/>
                <w:szCs w:val="18"/>
              </w:rPr>
              <w:t>d)</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2</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Allemagne</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17</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a Supplement 3 to the 01 series of UN Regulation No. 92 (Replacement exhaust silencing systems)</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b)</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3</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 xml:space="preserve">Allemagne </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17</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Problems with noise emissions of L-category vehicles</w:t>
            </w:r>
            <w:r w:rsidR="002E4E52">
              <w:rPr>
                <w:sz w:val="18"/>
                <w:szCs w:val="18"/>
                <w:lang w:val="en-US"/>
              </w:rPr>
              <w:t xml:space="preserve"> </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c)</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4</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Commission européenne</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17</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amendments to UN Regulation No 9 to introduce ASEP requirements for L4 and L5 category vehicles with the power-to-mass ratio (PMR)</w:t>
            </w:r>
            <w:r w:rsidR="002E4E52">
              <w:rPr>
                <w:sz w:val="18"/>
                <w:szCs w:val="18"/>
                <w:lang w:val="en-US"/>
              </w:rPr>
              <w:t xml:space="preserve"> </w:t>
            </w:r>
            <w:r w:rsidRPr="00350AAB">
              <w:rPr>
                <w:sz w:val="18"/>
                <w:szCs w:val="18"/>
                <w:lang w:val="en-US"/>
              </w:rPr>
              <w:t>&gt; 50 W/kg</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b)</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5</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Secrétariat</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1, 15</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General information and WP.29 highlights</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6</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OICA</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a corrigendum to ECE/TRANS/WP.29/2018/7</w:t>
            </w:r>
            <w:r w:rsidR="002E4E52">
              <w:rPr>
                <w:sz w:val="18"/>
                <w:szCs w:val="18"/>
                <w:lang w:val="en-US"/>
              </w:rPr>
              <w:t xml:space="preserve"> </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d)</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7</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Chine</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Suggestions for development of UN Regulation No. 51</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8</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ETRTO</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6</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Assessment of the latest proposal by the Netherlands presented at the sixty-sixth session of GRB</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c)</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9</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OICA</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 xml:space="preserve">7 </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Supplement 2 to the 01 series of amendments to UN Regulation No. 138</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b)</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10</w:t>
            </w:r>
          </w:p>
        </w:tc>
        <w:tc>
          <w:tcPr>
            <w:tcW w:w="1652" w:type="dxa"/>
            <w:shd w:val="clear" w:color="auto" w:fill="auto"/>
          </w:tcPr>
          <w:p w:rsidR="00350AAB" w:rsidRPr="00350AAB" w:rsidRDefault="00FF6D90" w:rsidP="008972C2">
            <w:pPr>
              <w:spacing w:before="40" w:after="120"/>
              <w:rPr>
                <w:sz w:val="18"/>
                <w:szCs w:val="18"/>
                <w:lang w:val="fr-FR"/>
              </w:rPr>
            </w:pPr>
            <w:r w:rsidRPr="00FF6D90">
              <w:rPr>
                <w:sz w:val="18"/>
                <w:szCs w:val="18"/>
              </w:rPr>
              <w:t xml:space="preserve">Équipe </w:t>
            </w:r>
            <w:r w:rsidR="00350AAB" w:rsidRPr="00350AAB">
              <w:rPr>
                <w:sz w:val="18"/>
                <w:szCs w:val="18"/>
                <w:lang w:val="fr-FR"/>
              </w:rPr>
              <w:t>spéciale sur les avertisseurs de marche arrière</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8</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rPr>
            </w:pPr>
            <w:r w:rsidRPr="00350AAB">
              <w:rPr>
                <w:sz w:val="18"/>
                <w:szCs w:val="18"/>
              </w:rPr>
              <w:t>Status report</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11</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 xml:space="preserve">France </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rPr>
            </w:pPr>
            <w:r w:rsidRPr="00350AAB">
              <w:rPr>
                <w:sz w:val="18"/>
                <w:szCs w:val="18"/>
              </w:rPr>
              <w:t xml:space="preserve">Indoor pass-by noise </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12</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IMMA</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3</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amendments to the 04 series of amendments to UN Regulation No.41</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13</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Commission européenne</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3, 10</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Study on Euro 5 sound level limits of L-category vehicles: progress and cost-benefit analysis (CBA) results</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d)</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14</w:t>
            </w:r>
          </w:p>
        </w:tc>
        <w:tc>
          <w:tcPr>
            <w:tcW w:w="1652" w:type="dxa"/>
            <w:shd w:val="clear" w:color="auto" w:fill="auto"/>
          </w:tcPr>
          <w:p w:rsidR="00350AAB" w:rsidRPr="00350AAB" w:rsidRDefault="00350AAB" w:rsidP="008972C2">
            <w:pPr>
              <w:spacing w:before="40" w:after="120"/>
              <w:rPr>
                <w:sz w:val="18"/>
                <w:szCs w:val="18"/>
                <w:lang w:val="fr-FR"/>
              </w:rPr>
            </w:pPr>
            <w:r w:rsidRPr="00350AAB">
              <w:rPr>
                <w:sz w:val="18"/>
                <w:szCs w:val="18"/>
                <w:lang w:val="fr-FR"/>
              </w:rPr>
              <w:t>Groupe de travail informel ASEP</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FF6D90">
            <w:pPr>
              <w:spacing w:before="40" w:after="120"/>
              <w:rPr>
                <w:sz w:val="18"/>
                <w:szCs w:val="18"/>
                <w:lang w:val="en-US"/>
              </w:rPr>
            </w:pPr>
            <w:r w:rsidRPr="00350AAB">
              <w:rPr>
                <w:sz w:val="18"/>
                <w:szCs w:val="18"/>
                <w:lang w:val="en-US"/>
              </w:rPr>
              <w:t xml:space="preserve">Proposal for a Corrigendum to ECE/TRANS/WP.29/2018/7 </w:t>
            </w:r>
            <w:r w:rsidR="00FF6D90">
              <w:rPr>
                <w:sz w:val="18"/>
                <w:szCs w:val="18"/>
                <w:lang w:val="en-US"/>
              </w:rPr>
              <w:t xml:space="preserve">et </w:t>
            </w:r>
            <w:r w:rsidRPr="00350AAB">
              <w:rPr>
                <w:sz w:val="18"/>
                <w:szCs w:val="18"/>
                <w:lang w:val="en-US"/>
              </w:rPr>
              <w:t>GRB-67-06</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d)</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15-Rev.1</w:t>
            </w:r>
          </w:p>
        </w:tc>
        <w:tc>
          <w:tcPr>
            <w:tcW w:w="1652" w:type="dxa"/>
            <w:shd w:val="clear" w:color="auto" w:fill="auto"/>
          </w:tcPr>
          <w:p w:rsidR="00350AAB" w:rsidRPr="00350AAB" w:rsidRDefault="00350AAB" w:rsidP="008972C2">
            <w:pPr>
              <w:spacing w:before="40" w:after="120"/>
              <w:rPr>
                <w:sz w:val="18"/>
                <w:szCs w:val="18"/>
                <w:lang w:val="fr-FR"/>
              </w:rPr>
            </w:pPr>
            <w:r w:rsidRPr="00350AAB">
              <w:rPr>
                <w:sz w:val="18"/>
                <w:szCs w:val="18"/>
                <w:lang w:val="fr-FR"/>
              </w:rPr>
              <w:t>Groupe de travail informel ASEP</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b)</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rPr>
            </w:pPr>
            <w:r w:rsidRPr="00350AAB">
              <w:rPr>
                <w:sz w:val="18"/>
                <w:szCs w:val="18"/>
              </w:rPr>
              <w:t>Status report</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16-Rev.1</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IMMA</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3</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Comments on the Euro 5 sound level study by EC</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17</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OICA</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4 a)</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lang w:val="en-US"/>
              </w:rPr>
            </w:pPr>
            <w:r w:rsidRPr="00350AAB">
              <w:rPr>
                <w:sz w:val="18"/>
                <w:szCs w:val="18"/>
                <w:lang w:val="en-US"/>
              </w:rPr>
              <w:t>Proposal for amendments to ECE/TRANS/WP.29/GRB/2018/2</w:t>
            </w:r>
            <w:r w:rsidR="002E4E52">
              <w:rPr>
                <w:sz w:val="18"/>
                <w:szCs w:val="18"/>
                <w:lang w:val="en-US"/>
              </w:rPr>
              <w:t xml:space="preserve"> </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a)</w:t>
            </w:r>
          </w:p>
        </w:tc>
      </w:tr>
      <w:tr w:rsidR="00350AAB" w:rsidRPr="00350AAB" w:rsidTr="008972C2">
        <w:tc>
          <w:tcPr>
            <w:tcW w:w="883" w:type="dxa"/>
            <w:shd w:val="clear" w:color="auto" w:fill="auto"/>
          </w:tcPr>
          <w:p w:rsidR="00350AAB" w:rsidRPr="00350AAB" w:rsidRDefault="00350AAB" w:rsidP="008972C2">
            <w:pPr>
              <w:spacing w:before="40" w:after="120"/>
              <w:rPr>
                <w:sz w:val="18"/>
                <w:szCs w:val="18"/>
              </w:rPr>
            </w:pPr>
            <w:r w:rsidRPr="00350AAB">
              <w:rPr>
                <w:sz w:val="18"/>
                <w:szCs w:val="18"/>
              </w:rPr>
              <w:t>18</w:t>
            </w:r>
          </w:p>
        </w:tc>
        <w:tc>
          <w:tcPr>
            <w:tcW w:w="1652" w:type="dxa"/>
            <w:shd w:val="clear" w:color="auto" w:fill="auto"/>
          </w:tcPr>
          <w:p w:rsidR="00350AAB" w:rsidRPr="00350AAB" w:rsidRDefault="00350AAB" w:rsidP="008972C2">
            <w:pPr>
              <w:spacing w:before="40" w:after="120"/>
              <w:rPr>
                <w:sz w:val="18"/>
                <w:szCs w:val="18"/>
              </w:rPr>
            </w:pPr>
            <w:r w:rsidRPr="00350AAB">
              <w:rPr>
                <w:sz w:val="18"/>
                <w:szCs w:val="18"/>
              </w:rPr>
              <w:t>Pays-Bas</w:t>
            </w:r>
          </w:p>
        </w:tc>
        <w:tc>
          <w:tcPr>
            <w:tcW w:w="826" w:type="dxa"/>
            <w:shd w:val="clear" w:color="auto" w:fill="auto"/>
          </w:tcPr>
          <w:p w:rsidR="00350AAB" w:rsidRPr="00350AAB" w:rsidRDefault="00350AAB" w:rsidP="008972C2">
            <w:pPr>
              <w:spacing w:before="40" w:after="120"/>
              <w:rPr>
                <w:sz w:val="18"/>
                <w:szCs w:val="18"/>
              </w:rPr>
            </w:pPr>
            <w:r w:rsidRPr="00350AAB">
              <w:rPr>
                <w:sz w:val="18"/>
                <w:szCs w:val="18"/>
              </w:rPr>
              <w:t>6</w:t>
            </w:r>
          </w:p>
        </w:tc>
        <w:tc>
          <w:tcPr>
            <w:tcW w:w="672" w:type="dxa"/>
            <w:shd w:val="clear" w:color="auto" w:fill="auto"/>
          </w:tcPr>
          <w:p w:rsidR="00350AAB" w:rsidRPr="00350AAB" w:rsidRDefault="00350AAB" w:rsidP="008972C2">
            <w:pPr>
              <w:spacing w:before="40" w:after="120"/>
              <w:rPr>
                <w:sz w:val="18"/>
                <w:szCs w:val="18"/>
              </w:rPr>
            </w:pPr>
            <w:r w:rsidRPr="00350AAB">
              <w:rPr>
                <w:sz w:val="18"/>
                <w:szCs w:val="18"/>
              </w:rPr>
              <w:t>A</w:t>
            </w:r>
          </w:p>
        </w:tc>
        <w:tc>
          <w:tcPr>
            <w:tcW w:w="4759" w:type="dxa"/>
            <w:shd w:val="clear" w:color="auto" w:fill="auto"/>
          </w:tcPr>
          <w:p w:rsidR="00350AAB" w:rsidRPr="00350AAB" w:rsidRDefault="00350AAB" w:rsidP="008972C2">
            <w:pPr>
              <w:spacing w:before="40" w:after="120"/>
              <w:rPr>
                <w:sz w:val="18"/>
                <w:szCs w:val="18"/>
              </w:rPr>
            </w:pPr>
            <w:r w:rsidRPr="00350AAB">
              <w:rPr>
                <w:sz w:val="18"/>
                <w:szCs w:val="18"/>
              </w:rPr>
              <w:t>Response to GRB-67-08</w:t>
            </w:r>
          </w:p>
        </w:tc>
        <w:tc>
          <w:tcPr>
            <w:tcW w:w="847" w:type="dxa"/>
            <w:shd w:val="clear" w:color="auto" w:fill="auto"/>
          </w:tcPr>
          <w:p w:rsidR="00350AAB" w:rsidRPr="00350AAB" w:rsidRDefault="00350AAB" w:rsidP="008972C2">
            <w:pPr>
              <w:spacing w:before="40" w:after="120"/>
              <w:rPr>
                <w:sz w:val="18"/>
                <w:szCs w:val="18"/>
              </w:rPr>
            </w:pPr>
            <w:r w:rsidRPr="00350AAB">
              <w:rPr>
                <w:sz w:val="18"/>
                <w:szCs w:val="18"/>
              </w:rPr>
              <w:t>c)</w:t>
            </w:r>
          </w:p>
        </w:tc>
      </w:tr>
      <w:tr w:rsidR="00350AAB" w:rsidRPr="00350AAB" w:rsidTr="008972C2">
        <w:tc>
          <w:tcPr>
            <w:tcW w:w="883" w:type="dxa"/>
            <w:shd w:val="clear" w:color="auto" w:fill="auto"/>
          </w:tcPr>
          <w:p w:rsidR="00350AAB" w:rsidRPr="00350AAB" w:rsidRDefault="00350AAB" w:rsidP="00FF6D90">
            <w:pPr>
              <w:keepNext/>
              <w:keepLines/>
              <w:spacing w:before="40" w:after="120"/>
              <w:rPr>
                <w:sz w:val="18"/>
                <w:szCs w:val="18"/>
              </w:rPr>
            </w:pPr>
            <w:r w:rsidRPr="00350AAB">
              <w:rPr>
                <w:sz w:val="18"/>
                <w:szCs w:val="18"/>
              </w:rPr>
              <w:t>19</w:t>
            </w:r>
          </w:p>
        </w:tc>
        <w:tc>
          <w:tcPr>
            <w:tcW w:w="1652" w:type="dxa"/>
            <w:shd w:val="clear" w:color="auto" w:fill="auto"/>
          </w:tcPr>
          <w:p w:rsidR="00350AAB" w:rsidRPr="00350AAB" w:rsidRDefault="00350AAB" w:rsidP="00FF6D90">
            <w:pPr>
              <w:keepNext/>
              <w:keepLines/>
              <w:spacing w:before="40" w:after="120"/>
              <w:rPr>
                <w:sz w:val="18"/>
                <w:szCs w:val="18"/>
              </w:rPr>
            </w:pPr>
            <w:r w:rsidRPr="00350AAB">
              <w:rPr>
                <w:sz w:val="18"/>
                <w:szCs w:val="18"/>
              </w:rPr>
              <w:t>Pays-Bas</w:t>
            </w:r>
          </w:p>
        </w:tc>
        <w:tc>
          <w:tcPr>
            <w:tcW w:w="826" w:type="dxa"/>
            <w:shd w:val="clear" w:color="auto" w:fill="auto"/>
          </w:tcPr>
          <w:p w:rsidR="00350AAB" w:rsidRPr="00350AAB" w:rsidRDefault="00350AAB" w:rsidP="00FF6D90">
            <w:pPr>
              <w:keepNext/>
              <w:keepLines/>
              <w:spacing w:before="40" w:after="120"/>
              <w:rPr>
                <w:sz w:val="18"/>
                <w:szCs w:val="18"/>
              </w:rPr>
            </w:pPr>
            <w:r w:rsidRPr="00350AAB">
              <w:rPr>
                <w:sz w:val="18"/>
                <w:szCs w:val="18"/>
              </w:rPr>
              <w:t>11</w:t>
            </w:r>
          </w:p>
        </w:tc>
        <w:tc>
          <w:tcPr>
            <w:tcW w:w="672" w:type="dxa"/>
            <w:shd w:val="clear" w:color="auto" w:fill="auto"/>
          </w:tcPr>
          <w:p w:rsidR="00350AAB" w:rsidRPr="00350AAB" w:rsidRDefault="00350AAB" w:rsidP="00FF6D90">
            <w:pPr>
              <w:keepNext/>
              <w:keepLines/>
              <w:spacing w:before="40" w:after="120"/>
              <w:rPr>
                <w:sz w:val="18"/>
                <w:szCs w:val="18"/>
              </w:rPr>
            </w:pPr>
            <w:r w:rsidRPr="00350AAB">
              <w:rPr>
                <w:sz w:val="18"/>
                <w:szCs w:val="18"/>
              </w:rPr>
              <w:t>A</w:t>
            </w:r>
          </w:p>
        </w:tc>
        <w:tc>
          <w:tcPr>
            <w:tcW w:w="4759" w:type="dxa"/>
            <w:shd w:val="clear" w:color="auto" w:fill="auto"/>
          </w:tcPr>
          <w:p w:rsidR="00350AAB" w:rsidRPr="00350AAB" w:rsidRDefault="00350AAB" w:rsidP="00FF6D90">
            <w:pPr>
              <w:keepNext/>
              <w:keepLines/>
              <w:spacing w:before="40" w:after="120"/>
              <w:rPr>
                <w:sz w:val="18"/>
                <w:szCs w:val="18"/>
              </w:rPr>
            </w:pPr>
            <w:r w:rsidRPr="00350AAB">
              <w:rPr>
                <w:sz w:val="18"/>
                <w:szCs w:val="18"/>
              </w:rPr>
              <w:t>Labelling road surfaces</w:t>
            </w:r>
          </w:p>
        </w:tc>
        <w:tc>
          <w:tcPr>
            <w:tcW w:w="847" w:type="dxa"/>
            <w:shd w:val="clear" w:color="auto" w:fill="auto"/>
          </w:tcPr>
          <w:p w:rsidR="00350AAB" w:rsidRPr="00350AAB" w:rsidRDefault="00350AAB" w:rsidP="00FF6D90">
            <w:pPr>
              <w:keepNext/>
              <w:keepLines/>
              <w:spacing w:before="40" w:after="120"/>
              <w:rPr>
                <w:sz w:val="18"/>
                <w:szCs w:val="18"/>
              </w:rPr>
            </w:pPr>
            <w:r w:rsidRPr="00350AAB">
              <w:rPr>
                <w:sz w:val="18"/>
                <w:szCs w:val="18"/>
              </w:rPr>
              <w:t>c)</w:t>
            </w:r>
          </w:p>
        </w:tc>
      </w:tr>
      <w:tr w:rsidR="00350AAB" w:rsidRPr="00350AAB" w:rsidTr="008972C2">
        <w:tc>
          <w:tcPr>
            <w:tcW w:w="883" w:type="dxa"/>
            <w:shd w:val="clear" w:color="auto" w:fill="auto"/>
          </w:tcPr>
          <w:p w:rsidR="00350AAB" w:rsidRPr="00350AAB" w:rsidRDefault="00350AAB" w:rsidP="00FF6D90">
            <w:pPr>
              <w:keepNext/>
              <w:keepLines/>
              <w:spacing w:before="40" w:after="120"/>
              <w:rPr>
                <w:sz w:val="18"/>
                <w:szCs w:val="18"/>
              </w:rPr>
            </w:pPr>
            <w:r w:rsidRPr="00350AAB">
              <w:rPr>
                <w:sz w:val="18"/>
                <w:szCs w:val="18"/>
              </w:rPr>
              <w:t>20</w:t>
            </w:r>
          </w:p>
        </w:tc>
        <w:tc>
          <w:tcPr>
            <w:tcW w:w="1652" w:type="dxa"/>
            <w:shd w:val="clear" w:color="auto" w:fill="auto"/>
          </w:tcPr>
          <w:p w:rsidR="00350AAB" w:rsidRPr="00350AAB" w:rsidRDefault="00350AAB" w:rsidP="00FF6D90">
            <w:pPr>
              <w:keepNext/>
              <w:keepLines/>
              <w:spacing w:before="40" w:after="120"/>
              <w:rPr>
                <w:sz w:val="18"/>
                <w:szCs w:val="18"/>
              </w:rPr>
            </w:pPr>
            <w:r w:rsidRPr="00350AAB">
              <w:rPr>
                <w:sz w:val="18"/>
                <w:szCs w:val="18"/>
              </w:rPr>
              <w:t>OICA</w:t>
            </w:r>
          </w:p>
        </w:tc>
        <w:tc>
          <w:tcPr>
            <w:tcW w:w="826" w:type="dxa"/>
            <w:shd w:val="clear" w:color="auto" w:fill="auto"/>
          </w:tcPr>
          <w:p w:rsidR="00350AAB" w:rsidRPr="00350AAB" w:rsidRDefault="00350AAB" w:rsidP="00FF6D90">
            <w:pPr>
              <w:keepNext/>
              <w:keepLines/>
              <w:spacing w:before="40" w:after="120"/>
              <w:rPr>
                <w:sz w:val="18"/>
                <w:szCs w:val="18"/>
              </w:rPr>
            </w:pPr>
            <w:r w:rsidRPr="00350AAB">
              <w:rPr>
                <w:sz w:val="18"/>
                <w:szCs w:val="18"/>
              </w:rPr>
              <w:t>4 a)</w:t>
            </w:r>
          </w:p>
        </w:tc>
        <w:tc>
          <w:tcPr>
            <w:tcW w:w="672" w:type="dxa"/>
            <w:shd w:val="clear" w:color="auto" w:fill="auto"/>
          </w:tcPr>
          <w:p w:rsidR="00350AAB" w:rsidRPr="00350AAB" w:rsidRDefault="00350AAB" w:rsidP="00FF6D90">
            <w:pPr>
              <w:keepNext/>
              <w:keepLines/>
              <w:spacing w:before="40" w:after="120"/>
              <w:rPr>
                <w:sz w:val="18"/>
                <w:szCs w:val="18"/>
              </w:rPr>
            </w:pPr>
            <w:r w:rsidRPr="00350AAB">
              <w:rPr>
                <w:sz w:val="18"/>
                <w:szCs w:val="18"/>
              </w:rPr>
              <w:t>A</w:t>
            </w:r>
          </w:p>
        </w:tc>
        <w:tc>
          <w:tcPr>
            <w:tcW w:w="4759" w:type="dxa"/>
            <w:shd w:val="clear" w:color="auto" w:fill="auto"/>
          </w:tcPr>
          <w:p w:rsidR="00350AAB" w:rsidRPr="00350AAB" w:rsidRDefault="00350AAB" w:rsidP="00FF6D90">
            <w:pPr>
              <w:keepNext/>
              <w:keepLines/>
              <w:spacing w:before="40" w:after="120"/>
              <w:rPr>
                <w:sz w:val="18"/>
                <w:szCs w:val="18"/>
                <w:lang w:val="en-US"/>
              </w:rPr>
            </w:pPr>
            <w:r w:rsidRPr="00350AAB">
              <w:rPr>
                <w:sz w:val="18"/>
                <w:szCs w:val="18"/>
                <w:lang w:val="en-US"/>
              </w:rPr>
              <w:t>Additional technical remarks and proposals for clarification on the 03 series of amendments to Regulation No. 51</w:t>
            </w:r>
          </w:p>
        </w:tc>
        <w:tc>
          <w:tcPr>
            <w:tcW w:w="847" w:type="dxa"/>
            <w:shd w:val="clear" w:color="auto" w:fill="auto"/>
          </w:tcPr>
          <w:p w:rsidR="00350AAB" w:rsidRPr="00350AAB" w:rsidRDefault="00350AAB" w:rsidP="00FF6D90">
            <w:pPr>
              <w:keepNext/>
              <w:keepLines/>
              <w:spacing w:before="40" w:after="120"/>
              <w:rPr>
                <w:sz w:val="18"/>
                <w:szCs w:val="18"/>
              </w:rPr>
            </w:pPr>
            <w:r w:rsidRPr="00350AAB">
              <w:rPr>
                <w:sz w:val="18"/>
                <w:szCs w:val="18"/>
              </w:rPr>
              <w:t>c)</w:t>
            </w:r>
          </w:p>
        </w:tc>
      </w:tr>
      <w:tr w:rsidR="00350AAB" w:rsidRPr="00350AAB" w:rsidTr="008972C2">
        <w:tc>
          <w:tcPr>
            <w:tcW w:w="883" w:type="dxa"/>
            <w:shd w:val="clear" w:color="auto" w:fill="auto"/>
          </w:tcPr>
          <w:p w:rsidR="00350AAB" w:rsidRPr="00350AAB" w:rsidRDefault="00350AAB" w:rsidP="00FF6D90">
            <w:pPr>
              <w:keepNext/>
              <w:keepLines/>
              <w:spacing w:before="40" w:after="120"/>
              <w:rPr>
                <w:sz w:val="18"/>
                <w:szCs w:val="18"/>
              </w:rPr>
            </w:pPr>
            <w:r w:rsidRPr="00350AAB">
              <w:rPr>
                <w:sz w:val="18"/>
                <w:szCs w:val="18"/>
              </w:rPr>
              <w:t>21</w:t>
            </w:r>
          </w:p>
        </w:tc>
        <w:tc>
          <w:tcPr>
            <w:tcW w:w="1652" w:type="dxa"/>
            <w:shd w:val="clear" w:color="auto" w:fill="auto"/>
          </w:tcPr>
          <w:p w:rsidR="00350AAB" w:rsidRPr="00350AAB" w:rsidRDefault="00350AAB" w:rsidP="00FF6D90">
            <w:pPr>
              <w:keepNext/>
              <w:keepLines/>
              <w:spacing w:before="40" w:after="120"/>
              <w:rPr>
                <w:sz w:val="18"/>
                <w:szCs w:val="18"/>
              </w:rPr>
            </w:pPr>
            <w:r w:rsidRPr="00350AAB">
              <w:rPr>
                <w:sz w:val="18"/>
                <w:szCs w:val="18"/>
              </w:rPr>
              <w:t>Chine</w:t>
            </w:r>
          </w:p>
        </w:tc>
        <w:tc>
          <w:tcPr>
            <w:tcW w:w="826" w:type="dxa"/>
            <w:shd w:val="clear" w:color="auto" w:fill="auto"/>
          </w:tcPr>
          <w:p w:rsidR="00350AAB" w:rsidRPr="00350AAB" w:rsidRDefault="00350AAB" w:rsidP="00FF6D90">
            <w:pPr>
              <w:keepNext/>
              <w:keepLines/>
              <w:spacing w:before="40" w:after="120"/>
              <w:rPr>
                <w:sz w:val="18"/>
                <w:szCs w:val="18"/>
              </w:rPr>
            </w:pPr>
            <w:r w:rsidRPr="00350AAB">
              <w:rPr>
                <w:sz w:val="18"/>
                <w:szCs w:val="18"/>
              </w:rPr>
              <w:t>4 a)</w:t>
            </w:r>
          </w:p>
        </w:tc>
        <w:tc>
          <w:tcPr>
            <w:tcW w:w="672" w:type="dxa"/>
            <w:shd w:val="clear" w:color="auto" w:fill="auto"/>
          </w:tcPr>
          <w:p w:rsidR="00350AAB" w:rsidRPr="00350AAB" w:rsidRDefault="00350AAB" w:rsidP="00FF6D90">
            <w:pPr>
              <w:keepNext/>
              <w:keepLines/>
              <w:spacing w:before="40" w:after="120"/>
              <w:rPr>
                <w:sz w:val="18"/>
                <w:szCs w:val="18"/>
              </w:rPr>
            </w:pPr>
            <w:r w:rsidRPr="00350AAB">
              <w:rPr>
                <w:sz w:val="18"/>
                <w:szCs w:val="18"/>
              </w:rPr>
              <w:t>A</w:t>
            </w:r>
          </w:p>
        </w:tc>
        <w:tc>
          <w:tcPr>
            <w:tcW w:w="4759" w:type="dxa"/>
            <w:shd w:val="clear" w:color="auto" w:fill="auto"/>
          </w:tcPr>
          <w:p w:rsidR="00350AAB" w:rsidRPr="00350AAB" w:rsidRDefault="00350AAB" w:rsidP="00FF6D90">
            <w:pPr>
              <w:keepNext/>
              <w:keepLines/>
              <w:spacing w:before="40" w:after="120"/>
              <w:rPr>
                <w:sz w:val="18"/>
                <w:szCs w:val="18"/>
                <w:lang w:val="en-US"/>
              </w:rPr>
            </w:pPr>
            <w:r w:rsidRPr="00350AAB">
              <w:rPr>
                <w:sz w:val="18"/>
                <w:szCs w:val="18"/>
                <w:lang w:val="en-US"/>
              </w:rPr>
              <w:t>Noise problems and driving conditions in China based on the 03 series of amendments to Regulation No. 51</w:t>
            </w:r>
          </w:p>
        </w:tc>
        <w:tc>
          <w:tcPr>
            <w:tcW w:w="847" w:type="dxa"/>
            <w:shd w:val="clear" w:color="auto" w:fill="auto"/>
          </w:tcPr>
          <w:p w:rsidR="00350AAB" w:rsidRPr="00350AAB" w:rsidRDefault="00350AAB" w:rsidP="00FF6D90">
            <w:pPr>
              <w:keepNext/>
              <w:keepLines/>
              <w:spacing w:before="40" w:after="120"/>
              <w:rPr>
                <w:sz w:val="18"/>
                <w:szCs w:val="18"/>
              </w:rPr>
            </w:pPr>
            <w:r w:rsidRPr="00350AAB">
              <w:rPr>
                <w:sz w:val="18"/>
                <w:szCs w:val="18"/>
              </w:rPr>
              <w:t>a)</w:t>
            </w:r>
          </w:p>
        </w:tc>
      </w:tr>
      <w:tr w:rsidR="00350AAB" w:rsidRPr="00350AAB" w:rsidTr="008972C2">
        <w:tc>
          <w:tcPr>
            <w:tcW w:w="883" w:type="dxa"/>
            <w:tcBorders>
              <w:bottom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22</w:t>
            </w:r>
          </w:p>
        </w:tc>
        <w:tc>
          <w:tcPr>
            <w:tcW w:w="1652" w:type="dxa"/>
            <w:tcBorders>
              <w:bottom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OICA</w:t>
            </w:r>
          </w:p>
        </w:tc>
        <w:tc>
          <w:tcPr>
            <w:tcW w:w="826" w:type="dxa"/>
            <w:tcBorders>
              <w:bottom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6</w:t>
            </w:r>
          </w:p>
        </w:tc>
        <w:tc>
          <w:tcPr>
            <w:tcW w:w="672" w:type="dxa"/>
            <w:tcBorders>
              <w:bottom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A</w:t>
            </w:r>
          </w:p>
        </w:tc>
        <w:tc>
          <w:tcPr>
            <w:tcW w:w="4759" w:type="dxa"/>
            <w:tcBorders>
              <w:bottom w:val="single" w:sz="12" w:space="0" w:color="auto"/>
            </w:tcBorders>
            <w:shd w:val="clear" w:color="auto" w:fill="auto"/>
          </w:tcPr>
          <w:p w:rsidR="00350AAB" w:rsidRPr="00350AAB" w:rsidRDefault="00350AAB" w:rsidP="00FF6D90">
            <w:pPr>
              <w:spacing w:before="40" w:after="120"/>
              <w:rPr>
                <w:sz w:val="18"/>
                <w:szCs w:val="18"/>
                <w:lang w:val="en-US"/>
              </w:rPr>
            </w:pPr>
            <w:r w:rsidRPr="00350AAB">
              <w:rPr>
                <w:sz w:val="18"/>
                <w:szCs w:val="18"/>
                <w:lang w:val="en-US"/>
              </w:rPr>
              <w:t>Tyre sound limits trade off</w:t>
            </w:r>
          </w:p>
        </w:tc>
        <w:tc>
          <w:tcPr>
            <w:tcW w:w="847" w:type="dxa"/>
            <w:tcBorders>
              <w:bottom w:val="single" w:sz="12" w:space="0" w:color="auto"/>
            </w:tcBorders>
            <w:shd w:val="clear" w:color="auto" w:fill="auto"/>
          </w:tcPr>
          <w:p w:rsidR="00350AAB" w:rsidRPr="00350AAB" w:rsidRDefault="00350AAB" w:rsidP="00FF6D90">
            <w:pPr>
              <w:spacing w:before="40" w:after="120"/>
              <w:rPr>
                <w:sz w:val="18"/>
                <w:szCs w:val="18"/>
              </w:rPr>
            </w:pPr>
            <w:r w:rsidRPr="00350AAB">
              <w:rPr>
                <w:sz w:val="18"/>
                <w:szCs w:val="18"/>
              </w:rPr>
              <w:t>a)</w:t>
            </w:r>
          </w:p>
        </w:tc>
      </w:tr>
    </w:tbl>
    <w:p w:rsidR="00350AAB" w:rsidRPr="00350AAB" w:rsidRDefault="00350AAB" w:rsidP="008972C2">
      <w:pPr>
        <w:spacing w:before="120"/>
        <w:rPr>
          <w:i/>
          <w:sz w:val="18"/>
          <w:szCs w:val="18"/>
          <w:lang w:val="fr-FR"/>
        </w:rPr>
      </w:pPr>
      <w:r w:rsidRPr="00350AAB">
        <w:rPr>
          <w:i/>
          <w:sz w:val="18"/>
          <w:szCs w:val="18"/>
          <w:lang w:val="fr-FR"/>
        </w:rPr>
        <w:t xml:space="preserve">Notes </w:t>
      </w:r>
      <w:r w:rsidRPr="00350AAB">
        <w:rPr>
          <w:sz w:val="18"/>
          <w:szCs w:val="18"/>
          <w:lang w:val="fr-FR"/>
        </w:rPr>
        <w:t>:</w:t>
      </w:r>
    </w:p>
    <w:p w:rsidR="00350AAB" w:rsidRPr="00350AAB" w:rsidRDefault="00350AAB" w:rsidP="00350AAB">
      <w:pPr>
        <w:rPr>
          <w:sz w:val="18"/>
          <w:szCs w:val="18"/>
          <w:lang w:val="fr-FR"/>
        </w:rPr>
      </w:pPr>
      <w:r w:rsidRPr="00350AAB">
        <w:rPr>
          <w:sz w:val="18"/>
          <w:szCs w:val="18"/>
          <w:lang w:val="fr-FR"/>
        </w:rPr>
        <w:t>a)</w:t>
      </w:r>
      <w:r w:rsidRPr="00350AAB">
        <w:rPr>
          <w:sz w:val="18"/>
          <w:szCs w:val="18"/>
          <w:lang w:val="fr-FR"/>
        </w:rPr>
        <w:tab/>
        <w:t>Document dont l’examen est achevé ou qui doit être remplacé.</w:t>
      </w:r>
    </w:p>
    <w:p w:rsidR="00350AAB" w:rsidRPr="00350AAB" w:rsidRDefault="00350AAB" w:rsidP="00350AAB">
      <w:pPr>
        <w:rPr>
          <w:sz w:val="18"/>
          <w:szCs w:val="18"/>
          <w:lang w:val="fr-FR"/>
        </w:rPr>
      </w:pPr>
      <w:r w:rsidRPr="00350AAB">
        <w:rPr>
          <w:sz w:val="18"/>
          <w:szCs w:val="18"/>
          <w:lang w:val="fr-FR"/>
        </w:rPr>
        <w:t>b)</w:t>
      </w:r>
      <w:r w:rsidRPr="00350AAB">
        <w:rPr>
          <w:sz w:val="18"/>
          <w:szCs w:val="18"/>
          <w:lang w:val="fr-FR"/>
        </w:rPr>
        <w:tab/>
        <w:t>Document dont l’examen doit être poursuivi à la prochaine session sous une cote officielle.</w:t>
      </w:r>
    </w:p>
    <w:p w:rsidR="00350AAB" w:rsidRPr="00350AAB" w:rsidRDefault="00350AAB" w:rsidP="00350AAB">
      <w:pPr>
        <w:rPr>
          <w:sz w:val="18"/>
          <w:szCs w:val="18"/>
          <w:lang w:val="fr-FR"/>
        </w:rPr>
      </w:pPr>
      <w:r w:rsidRPr="00350AAB">
        <w:rPr>
          <w:sz w:val="18"/>
          <w:szCs w:val="18"/>
          <w:lang w:val="fr-FR"/>
        </w:rPr>
        <w:t>c)</w:t>
      </w:r>
      <w:r w:rsidRPr="00350AAB">
        <w:rPr>
          <w:sz w:val="18"/>
          <w:szCs w:val="18"/>
          <w:lang w:val="fr-FR"/>
        </w:rPr>
        <w:tab/>
        <w:t>Document dont l’examen doit être poursuivi à la prochaine session sans cote officielle.</w:t>
      </w:r>
    </w:p>
    <w:p w:rsidR="00350AAB" w:rsidRPr="00350AAB" w:rsidRDefault="00350AAB" w:rsidP="00350AAB">
      <w:pPr>
        <w:rPr>
          <w:sz w:val="18"/>
          <w:szCs w:val="18"/>
          <w:lang w:val="fr-FR"/>
        </w:rPr>
      </w:pPr>
      <w:r w:rsidRPr="00350AAB">
        <w:rPr>
          <w:sz w:val="18"/>
          <w:szCs w:val="18"/>
          <w:lang w:val="fr-FR"/>
        </w:rPr>
        <w:t>d)</w:t>
      </w:r>
      <w:r w:rsidRPr="00350AAB">
        <w:rPr>
          <w:sz w:val="18"/>
          <w:szCs w:val="18"/>
          <w:lang w:val="fr-FR"/>
        </w:rPr>
        <w:tab/>
        <w:t>Document adopté et à soumettre au WP.29.</w:t>
      </w:r>
    </w:p>
    <w:p w:rsidR="00350AAB" w:rsidRPr="00350AAB" w:rsidRDefault="00350AAB" w:rsidP="008972C2">
      <w:pPr>
        <w:pStyle w:val="HChG"/>
      </w:pPr>
      <w:r w:rsidRPr="00350AAB">
        <w:br w:type="page"/>
      </w:r>
      <w:r w:rsidR="008972C2">
        <w:t>Annexe II</w:t>
      </w:r>
    </w:p>
    <w:p w:rsidR="00350AAB" w:rsidRPr="00350AAB" w:rsidRDefault="00350AAB" w:rsidP="008972C2">
      <w:pPr>
        <w:pStyle w:val="HChG"/>
        <w:rPr>
          <w:lang w:val="fr-FR"/>
        </w:rPr>
      </w:pPr>
      <w:r w:rsidRPr="00350AAB">
        <w:tab/>
      </w:r>
      <w:r w:rsidRPr="00350AAB">
        <w:tab/>
      </w:r>
      <w:r w:rsidRPr="00350AAB">
        <w:rPr>
          <w:lang w:val="fr-FR"/>
        </w:rPr>
        <w:t xml:space="preserve">Amendements au Règlement </w:t>
      </w:r>
      <w:r w:rsidR="009C37F5" w:rsidRPr="009C37F5">
        <w:rPr>
          <w:rFonts w:eastAsia="MS Mincho"/>
          <w:lang w:val="fr-FR"/>
        </w:rPr>
        <w:t>n</w:t>
      </w:r>
      <w:r w:rsidR="009C37F5" w:rsidRPr="009C37F5">
        <w:rPr>
          <w:rFonts w:eastAsia="MS Mincho"/>
          <w:vertAlign w:val="superscript"/>
          <w:lang w:val="fr-FR"/>
        </w:rPr>
        <w:t>o</w:t>
      </w:r>
      <w:r w:rsidR="009C37F5">
        <w:rPr>
          <w:lang w:val="fr-FR"/>
        </w:rPr>
        <w:t> </w:t>
      </w:r>
      <w:r w:rsidRPr="00350AAB">
        <w:rPr>
          <w:lang w:val="fr-FR"/>
        </w:rPr>
        <w:t>51 qui ont été adoptés (ECE/TRANS/WP.29/GRB/2018/3)</w:t>
      </w:r>
    </w:p>
    <w:p w:rsidR="00350AAB" w:rsidRPr="00350AAB" w:rsidRDefault="00350AAB" w:rsidP="00246BD4">
      <w:pPr>
        <w:pStyle w:val="SingleTxtG"/>
        <w:keepNext/>
        <w:rPr>
          <w:lang w:val="fr-FR"/>
        </w:rPr>
      </w:pPr>
      <w:r w:rsidRPr="00350AAB">
        <w:rPr>
          <w:i/>
          <w:lang w:val="fr-FR"/>
        </w:rPr>
        <w:t xml:space="preserve">Table des matières, Annexes, </w:t>
      </w:r>
      <w:r w:rsidRPr="00350AAB">
        <w:rPr>
          <w:lang w:val="fr-FR"/>
        </w:rPr>
        <w:t>ajouter une nouvelle annexe :</w:t>
      </w:r>
    </w:p>
    <w:p w:rsidR="00350AAB" w:rsidRPr="008972C2" w:rsidRDefault="009C37F5" w:rsidP="00246BD4">
      <w:pPr>
        <w:pStyle w:val="SingleTxtG"/>
        <w:keepNext/>
        <w:ind w:left="567"/>
        <w:rPr>
          <w:lang w:val="fr-FR"/>
        </w:rPr>
      </w:pPr>
      <w:r>
        <w:rPr>
          <w:lang w:val="fr-FR"/>
        </w:rPr>
        <w:t>« 8</w:t>
      </w:r>
      <w:r w:rsidR="00350AAB" w:rsidRPr="008972C2">
        <w:rPr>
          <w:lang w:val="fr-FR"/>
        </w:rPr>
        <w:tab/>
        <w:t xml:space="preserve">Essais à l’intérieur </w:t>
      </w:r>
    </w:p>
    <w:p w:rsidR="00350AAB" w:rsidRPr="00350AAB" w:rsidRDefault="00350AAB" w:rsidP="009C37F5">
      <w:pPr>
        <w:pStyle w:val="SingleTxtG"/>
        <w:rPr>
          <w:lang w:val="fr-FR"/>
        </w:rPr>
      </w:pPr>
      <w:r w:rsidRPr="00350AAB">
        <w:rPr>
          <w:i/>
          <w:lang w:val="fr-FR"/>
        </w:rPr>
        <w:t xml:space="preserve">Paragraphe </w:t>
      </w:r>
      <w:r w:rsidRPr="00350AAB">
        <w:rPr>
          <w:lang w:val="fr-FR"/>
        </w:rPr>
        <w:t>6</w:t>
      </w:r>
      <w:r w:rsidR="008564E2">
        <w:rPr>
          <w:i/>
          <w:lang w:val="fr-FR"/>
        </w:rPr>
        <w:t>.2.1.1</w:t>
      </w:r>
      <w:r w:rsidRPr="00350AAB">
        <w:rPr>
          <w:i/>
          <w:lang w:val="fr-FR"/>
        </w:rPr>
        <w:t xml:space="preserve">, </w:t>
      </w:r>
      <w:r w:rsidRPr="00350AAB">
        <w:rPr>
          <w:lang w:val="fr-FR"/>
        </w:rPr>
        <w:t>modifier comme suit :</w:t>
      </w:r>
    </w:p>
    <w:p w:rsidR="00350AAB" w:rsidRPr="00350AAB" w:rsidRDefault="009C37F5" w:rsidP="009C37F5">
      <w:pPr>
        <w:pStyle w:val="SingleTxtG"/>
        <w:ind w:left="2268" w:hanging="1134"/>
        <w:rPr>
          <w:b/>
          <w:lang w:val="fr-FR"/>
        </w:rPr>
      </w:pPr>
      <w:r>
        <w:rPr>
          <w:lang w:val="fr-FR"/>
        </w:rPr>
        <w:t>« </w:t>
      </w:r>
      <w:r w:rsidR="00350AAB" w:rsidRPr="00350AAB">
        <w:rPr>
          <w:lang w:val="fr-FR"/>
        </w:rPr>
        <w:t>6.2.1.1</w:t>
      </w:r>
      <w:r w:rsidR="00350AAB" w:rsidRPr="00350AAB">
        <w:rPr>
          <w:lang w:val="fr-FR"/>
        </w:rPr>
        <w:tab/>
        <w:t xml:space="preserve">La mesure des émissions sonores du type de véhicule présenté à l’homologation est effectuée </w:t>
      </w:r>
      <w:r w:rsidR="00350AAB" w:rsidRPr="00350AAB">
        <w:rPr>
          <w:b/>
          <w:lang w:val="fr-FR"/>
        </w:rPr>
        <w:t>soit à l’intérieur soit à l’extérieur</w:t>
      </w:r>
      <w:r w:rsidR="00350AAB" w:rsidRPr="00350AAB">
        <w:rPr>
          <w:lang w:val="fr-FR"/>
        </w:rPr>
        <w:t xml:space="preserve"> conformément aux méthodes décrites à l’annexe 3 du présent Règlement </w:t>
      </w:r>
      <w:r w:rsidR="00350AAB" w:rsidRPr="00350AAB">
        <w:rPr>
          <w:strike/>
          <w:lang w:val="fr-FR"/>
        </w:rPr>
        <w:t>pour le véhicule en marche</w:t>
      </w:r>
      <w:r w:rsidR="00350AAB" w:rsidRPr="00350AAB">
        <w:rPr>
          <w:lang w:val="fr-FR"/>
        </w:rPr>
        <w:t xml:space="preserve">. </w:t>
      </w:r>
      <w:r w:rsidR="00350AAB" w:rsidRPr="00350AAB">
        <w:rPr>
          <w:b/>
          <w:lang w:val="fr-FR"/>
        </w:rPr>
        <w:t xml:space="preserve">Les conditions dans lesquelles doivent être effectués les essais à l’intérieur sont définies à l’annexe 8 du présent Règlement. Les résultats des essais effectués à l’intérieur et à l’extérieur sont considérés comme équivalents. </w:t>
      </w:r>
    </w:p>
    <w:p w:rsidR="00350AAB" w:rsidRPr="00350AAB" w:rsidRDefault="00350AAB" w:rsidP="009C37F5">
      <w:pPr>
        <w:pStyle w:val="SingleTxtG"/>
        <w:ind w:left="2268"/>
        <w:rPr>
          <w:b/>
          <w:lang w:val="fr-FR"/>
        </w:rPr>
      </w:pPr>
      <w:r w:rsidRPr="00350AAB">
        <w:rPr>
          <w:b/>
          <w:spacing w:val="4"/>
          <w:lang w:val="fr-FR"/>
        </w:rPr>
        <w:tab/>
      </w:r>
      <w:r w:rsidRPr="00350AAB">
        <w:rPr>
          <w:b/>
          <w:lang w:val="fr-FR"/>
        </w:rPr>
        <w:t>Pour chaque type d’essai, le constructeur est libre de soumettre le véhicule à l’essai à l’intérieur ou à l’extérieur. L’autorité d’homologation a toujours la possibilité de demander des essais à l’extérieur pour vérification. Cette possibilité vaut pour tout essai prescrit dans le présent Règlement, y compris les essais de vérification de la conformité de la production.</w:t>
      </w:r>
    </w:p>
    <w:p w:rsidR="00350AAB" w:rsidRPr="00350AAB" w:rsidRDefault="00350AAB" w:rsidP="009C37F5">
      <w:pPr>
        <w:pStyle w:val="SingleTxtG"/>
        <w:ind w:left="2268"/>
        <w:rPr>
          <w:lang w:val="fr-FR"/>
        </w:rPr>
      </w:pPr>
      <w:r w:rsidRPr="00350AAB">
        <w:rPr>
          <w:lang w:val="fr-FR"/>
        </w:rPr>
        <w:tab/>
      </w:r>
      <w:r w:rsidRPr="00350AAB">
        <w:rPr>
          <w:b/>
          <w:lang w:val="fr-FR"/>
        </w:rPr>
        <w:t>En outre, l’essai doit être effectué sur le véhicule à l’arrêt</w:t>
      </w:r>
      <w:r w:rsidRPr="00350AAB">
        <w:rPr>
          <w:b/>
          <w:vertAlign w:val="superscript"/>
          <w:lang w:val="fr-FR"/>
        </w:rPr>
        <w:t>3</w:t>
      </w:r>
      <w:r w:rsidRPr="00350AAB">
        <w:rPr>
          <w:lang w:val="fr-FR"/>
        </w:rPr>
        <w:t>; dans le cas d’un véhicule sur lequel le moteur à combustion interne ne peut pas fonctionner lorsque le véhicule est à l’arrêt, les émissions sonores sont mesurées lorsque ledit véhicule est en</w:t>
      </w:r>
      <w:r w:rsidR="00246BD4">
        <w:rPr>
          <w:lang w:val="fr-FR"/>
        </w:rPr>
        <w:t xml:space="preserve"> marche. </w:t>
      </w:r>
      <w:r w:rsidRPr="00350AAB">
        <w:rPr>
          <w:lang w:val="fr-FR"/>
        </w:rPr>
        <w:t>Dans le cas d’un véhicule hybride électrique de la catégorie M</w:t>
      </w:r>
      <w:r w:rsidRPr="00350AAB">
        <w:rPr>
          <w:vertAlign w:val="superscript"/>
          <w:lang w:val="fr-FR"/>
        </w:rPr>
        <w:t xml:space="preserve">1 </w:t>
      </w:r>
      <w:r w:rsidRPr="00350AAB">
        <w:rPr>
          <w:lang w:val="fr-FR"/>
        </w:rPr>
        <w:t>sur lequel le moteur à combustion interne ne peut pas fonctionner lorsque le véhicule est à l’arrêt, les émissions sonores sont mesurées conformément au paragraphe</w:t>
      </w:r>
      <w:r w:rsidR="002E4E52">
        <w:rPr>
          <w:lang w:val="fr-FR"/>
        </w:rPr>
        <w:t> 4 de l’annexe </w:t>
      </w:r>
      <w:r w:rsidRPr="00350AAB">
        <w:rPr>
          <w:lang w:val="fr-FR"/>
        </w:rPr>
        <w:t>3.</w:t>
      </w:r>
    </w:p>
    <w:p w:rsidR="00350AAB" w:rsidRPr="00350AAB" w:rsidRDefault="00350AAB" w:rsidP="009C37F5">
      <w:pPr>
        <w:pStyle w:val="SingleTxtG"/>
        <w:ind w:left="2268"/>
      </w:pPr>
      <w:r w:rsidRPr="00350AAB">
        <w:rPr>
          <w:lang w:val="fr-FR"/>
        </w:rPr>
        <w:tab/>
      </w:r>
      <w:r w:rsidRPr="00350AAB">
        <w:t>…</w:t>
      </w:r>
      <w:r w:rsidR="009C37F5">
        <w:t> ».</w:t>
      </w:r>
    </w:p>
    <w:p w:rsidR="00350AAB" w:rsidRPr="00350AAB" w:rsidRDefault="00350AAB" w:rsidP="00246BD4">
      <w:pPr>
        <w:pStyle w:val="SingleTxtG"/>
        <w:keepNext/>
        <w:rPr>
          <w:lang w:val="fr-FR"/>
        </w:rPr>
      </w:pPr>
      <w:r w:rsidRPr="00350AAB">
        <w:rPr>
          <w:i/>
          <w:lang w:val="fr-FR"/>
        </w:rPr>
        <w:t>Annexe 1, Appendice 1</w:t>
      </w:r>
      <w:r w:rsidR="002E4E52">
        <w:rPr>
          <w:lang w:val="fr-FR"/>
        </w:rPr>
        <w:t>, ajouter les nouveaux points </w:t>
      </w:r>
      <w:r w:rsidRPr="00350AAB">
        <w:rPr>
          <w:lang w:val="fr-FR"/>
        </w:rPr>
        <w:t>2.4 et 2.4.1, libellés comme suit :</w:t>
      </w:r>
    </w:p>
    <w:p w:rsidR="00350AAB" w:rsidRPr="00350AAB" w:rsidRDefault="00350AAB" w:rsidP="009C37F5">
      <w:pPr>
        <w:pStyle w:val="SingleTxtG"/>
        <w:ind w:left="2268" w:hanging="1134"/>
        <w:rPr>
          <w:b/>
          <w:lang w:val="fr-FR"/>
        </w:rPr>
      </w:pPr>
      <w:r w:rsidRPr="00350AAB">
        <w:rPr>
          <w:lang w:val="fr-FR"/>
        </w:rPr>
        <w:t>« </w:t>
      </w:r>
      <w:r w:rsidRPr="00350AAB">
        <w:rPr>
          <w:b/>
          <w:lang w:val="fr-FR"/>
        </w:rPr>
        <w:t>2.4</w:t>
      </w:r>
      <w:r w:rsidRPr="00350AAB">
        <w:rPr>
          <w:b/>
          <w:lang w:val="fr-FR"/>
        </w:rPr>
        <w:tab/>
        <w:t>Informations sur la méthode d’essai</w:t>
      </w:r>
    </w:p>
    <w:p w:rsidR="00350AAB" w:rsidRPr="00350AAB" w:rsidRDefault="00350AAB" w:rsidP="009C37F5">
      <w:pPr>
        <w:pStyle w:val="SingleTxtG"/>
        <w:ind w:left="2268" w:hanging="1134"/>
        <w:rPr>
          <w:lang w:val="fr-FR"/>
        </w:rPr>
      </w:pPr>
      <w:r w:rsidRPr="00350AAB">
        <w:rPr>
          <w:b/>
          <w:lang w:val="fr-FR"/>
        </w:rPr>
        <w:t>2.4.1</w:t>
      </w:r>
      <w:r w:rsidRPr="00350AAB">
        <w:rPr>
          <w:b/>
          <w:lang w:val="fr-FR"/>
        </w:rPr>
        <w:tab/>
        <w:t>Méthode d’essai choisie : extérieur/intérieur</w:t>
      </w:r>
      <w:r w:rsidRPr="00246BD4">
        <w:rPr>
          <w:rStyle w:val="FootnoteReference"/>
        </w:rPr>
        <w:footnoteReference w:id="2"/>
      </w:r>
      <w:r w:rsidRPr="00350AAB">
        <w:rPr>
          <w:lang w:val="fr-FR"/>
        </w:rPr>
        <w:t> »</w:t>
      </w:r>
    </w:p>
    <w:p w:rsidR="00350AAB" w:rsidRPr="00350AAB" w:rsidRDefault="00350AAB" w:rsidP="009C37F5">
      <w:pPr>
        <w:pStyle w:val="SingleTxtG"/>
        <w:ind w:left="2268" w:hanging="1134"/>
        <w:rPr>
          <w:i/>
          <w:lang w:val="fr-FR"/>
        </w:rPr>
      </w:pPr>
      <w:r w:rsidRPr="00350AAB">
        <w:rPr>
          <w:i/>
          <w:lang w:val="fr-FR"/>
        </w:rPr>
        <w:t>Annexe 3,</w:t>
      </w:r>
    </w:p>
    <w:p w:rsidR="00350AAB" w:rsidRPr="00350AAB" w:rsidRDefault="00350AAB" w:rsidP="00246BD4">
      <w:pPr>
        <w:pStyle w:val="SingleTxtG"/>
        <w:keepNext/>
        <w:ind w:left="2268" w:hanging="1134"/>
        <w:rPr>
          <w:lang w:val="fr-FR"/>
        </w:rPr>
      </w:pPr>
      <w:r w:rsidRPr="00350AAB">
        <w:rPr>
          <w:i/>
          <w:lang w:val="fr-FR"/>
        </w:rPr>
        <w:t>Paragraphe 1</w:t>
      </w:r>
      <w:r w:rsidRPr="00350AAB">
        <w:rPr>
          <w:lang w:val="fr-FR"/>
        </w:rPr>
        <w:t>, modifier comme suit :</w:t>
      </w:r>
    </w:p>
    <w:p w:rsidR="00350AAB" w:rsidRPr="00350AAB" w:rsidRDefault="00350AAB" w:rsidP="00246BD4">
      <w:pPr>
        <w:pStyle w:val="SingleTxtG"/>
        <w:keepNext/>
        <w:ind w:left="2268" w:hanging="1134"/>
        <w:rPr>
          <w:lang w:val="fr-FR"/>
        </w:rPr>
      </w:pPr>
      <w:r w:rsidRPr="00350AAB">
        <w:rPr>
          <w:lang w:val="fr-FR"/>
        </w:rPr>
        <w:t>« 1.</w:t>
      </w:r>
      <w:r w:rsidRPr="00350AAB">
        <w:rPr>
          <w:lang w:val="fr-FR"/>
        </w:rPr>
        <w:tab/>
      </w:r>
      <w:r w:rsidRPr="00350AAB">
        <w:rPr>
          <w:lang w:val="fr-FR"/>
        </w:rPr>
        <w:tab/>
        <w:t>Appareils de mesure</w:t>
      </w:r>
    </w:p>
    <w:p w:rsidR="00350AAB" w:rsidRPr="00993442" w:rsidRDefault="00350AAB" w:rsidP="009C37F5">
      <w:pPr>
        <w:pStyle w:val="SingleTxtG"/>
        <w:ind w:left="2268" w:hanging="1134"/>
        <w:rPr>
          <w:lang w:val="fr-FR"/>
        </w:rPr>
      </w:pPr>
      <w:r w:rsidRPr="00993442">
        <w:rPr>
          <w:lang w:val="fr-FR"/>
        </w:rPr>
        <w:t>1.1</w:t>
      </w:r>
      <w:r w:rsidRPr="00993442">
        <w:rPr>
          <w:lang w:val="fr-FR"/>
        </w:rPr>
        <w:tab/>
      </w:r>
      <w:r w:rsidRPr="00993442">
        <w:rPr>
          <w:lang w:val="fr-FR"/>
        </w:rPr>
        <w:tab/>
        <w:t>Mesures acoustiques</w:t>
      </w:r>
    </w:p>
    <w:p w:rsidR="00350AAB" w:rsidRPr="00993442" w:rsidRDefault="00350AAB" w:rsidP="009C37F5">
      <w:pPr>
        <w:pStyle w:val="SingleTxtG"/>
        <w:ind w:left="2268"/>
        <w:rPr>
          <w:lang w:val="fr-FR"/>
        </w:rPr>
      </w:pPr>
      <w:r w:rsidRPr="00993442">
        <w:rPr>
          <w:lang w:val="fr-FR"/>
        </w:rPr>
        <w:t>L’appareil utilisé pour mesurer le niveau sonore doit être un sonomètre de précision ou un appareil de mesure équivalent satisfaisant aux prescriptions applicables aux instruments de la classe 1 (ainsi que le pare-vent recommandé, le cas échéant). Ces prescriptions sont énonc</w:t>
      </w:r>
      <w:r w:rsidR="008564E2" w:rsidRPr="00993442">
        <w:rPr>
          <w:lang w:val="fr-FR"/>
        </w:rPr>
        <w:t>ées dans la publication 61672-1:</w:t>
      </w:r>
      <w:r w:rsidRPr="00993442">
        <w:rPr>
          <w:lang w:val="fr-FR"/>
        </w:rPr>
        <w:t>2002 : “Sonomètres de précision”, deuxième édition, de la Commission électrotechnique internationale (CEI).</w:t>
      </w:r>
    </w:p>
    <w:p w:rsidR="00350AAB" w:rsidRPr="00350AAB" w:rsidRDefault="00350AAB" w:rsidP="009C37F5">
      <w:pPr>
        <w:pStyle w:val="SingleTxtG"/>
        <w:ind w:left="2268"/>
        <w:rPr>
          <w:b/>
          <w:lang w:val="fr-FR"/>
        </w:rPr>
      </w:pPr>
      <w:r w:rsidRPr="00993442">
        <w:rPr>
          <w:lang w:val="fr-FR"/>
        </w:rPr>
        <w:tab/>
      </w:r>
      <w:r w:rsidRPr="00993442">
        <w:rPr>
          <w:b/>
          <w:lang w:val="fr-FR"/>
        </w:rPr>
        <w:t xml:space="preserve">Pour les </w:t>
      </w:r>
      <w:r w:rsidRPr="00350AAB">
        <w:rPr>
          <w:b/>
          <w:lang w:val="fr-FR"/>
        </w:rPr>
        <w:t>essais à l’intérieur, lorsque l’on ne peut formuler aucune affirmation ou conclusion générale concernant la conformité du sonomètre par rapport à chacun des canaux du réseau (par exemple lorsque les algorithmes de simulation du niveau du bruit de passage appliquent une pondération fréquentielle ou temporelle), il convient de simuler un passage à une vitesse constante de 50 km/h tout en émettant un signal sonore continu sur tous les canaux du réseau. Le niveau sonore pondéré A simulé est consigné et l’écart par rapport à un signal sonore de référence est déterminé conformément aux prescriptions de la norme CEI 61672-3.</w:t>
      </w:r>
    </w:p>
    <w:p w:rsidR="00350AAB" w:rsidRPr="00350AAB" w:rsidRDefault="00350AAB" w:rsidP="009C37F5">
      <w:pPr>
        <w:pStyle w:val="SingleTxtG"/>
        <w:ind w:left="2268"/>
        <w:rPr>
          <w:lang w:val="fr-FR"/>
        </w:rPr>
      </w:pPr>
      <w:r w:rsidRPr="00350AAB">
        <w:rPr>
          <w:lang w:val="fr-FR"/>
        </w:rPr>
        <w:tab/>
        <w:t>… ».</w:t>
      </w:r>
    </w:p>
    <w:p w:rsidR="00350AAB" w:rsidRPr="00350AAB" w:rsidRDefault="00350AAB" w:rsidP="00246BD4">
      <w:pPr>
        <w:pStyle w:val="SingleTxtG"/>
        <w:keepNext/>
        <w:ind w:left="2268" w:hanging="1134"/>
        <w:rPr>
          <w:i/>
          <w:lang w:val="fr-FR"/>
        </w:rPr>
      </w:pPr>
      <w:r w:rsidRPr="00350AAB">
        <w:rPr>
          <w:i/>
          <w:lang w:val="fr-FR"/>
        </w:rPr>
        <w:t>Paragraphe 1.2</w:t>
      </w:r>
      <w:r w:rsidRPr="00350AAB">
        <w:rPr>
          <w:lang w:val="fr-FR"/>
        </w:rPr>
        <w:t>,</w:t>
      </w:r>
      <w:r w:rsidRPr="00350AAB">
        <w:rPr>
          <w:i/>
          <w:lang w:val="fr-FR"/>
        </w:rPr>
        <w:t xml:space="preserve"> </w:t>
      </w:r>
      <w:r w:rsidRPr="00350AAB">
        <w:rPr>
          <w:lang w:val="fr-FR"/>
        </w:rPr>
        <w:t xml:space="preserve">modifier comme suit : </w:t>
      </w:r>
    </w:p>
    <w:p w:rsidR="00350AAB" w:rsidRPr="00350AAB" w:rsidRDefault="00350AAB" w:rsidP="00246BD4">
      <w:pPr>
        <w:pStyle w:val="SingleTxtG"/>
        <w:keepNext/>
        <w:ind w:left="2268" w:hanging="1134"/>
        <w:rPr>
          <w:lang w:val="fr-FR"/>
        </w:rPr>
      </w:pPr>
      <w:r w:rsidRPr="00350AAB">
        <w:rPr>
          <w:lang w:val="fr-FR"/>
        </w:rPr>
        <w:t>« 1.2</w:t>
      </w:r>
      <w:r w:rsidRPr="00350AAB">
        <w:rPr>
          <w:lang w:val="fr-FR"/>
        </w:rPr>
        <w:tab/>
      </w:r>
      <w:r w:rsidRPr="00350AAB">
        <w:rPr>
          <w:lang w:val="fr-FR"/>
        </w:rPr>
        <w:tab/>
        <w:t>Étalonnage de la totalité du système de mesure acoustique pour la série de mesures</w:t>
      </w:r>
    </w:p>
    <w:p w:rsidR="00350AAB" w:rsidRPr="00350AAB" w:rsidRDefault="00350AAB" w:rsidP="009C37F5">
      <w:pPr>
        <w:pStyle w:val="SingleTxtG"/>
        <w:ind w:left="2268"/>
        <w:rPr>
          <w:lang w:val="fr-FR"/>
        </w:rPr>
      </w:pPr>
      <w:r w:rsidRPr="00350AAB">
        <w:rPr>
          <w:lang w:val="fr-FR"/>
        </w:rPr>
        <w:tab/>
        <w:t>…</w:t>
      </w:r>
    </w:p>
    <w:p w:rsidR="00350AAB" w:rsidRPr="00350AAB" w:rsidRDefault="00350AAB" w:rsidP="009C37F5">
      <w:pPr>
        <w:pStyle w:val="SingleTxtG"/>
        <w:ind w:left="2268"/>
        <w:rPr>
          <w:b/>
          <w:lang w:val="fr-FR"/>
        </w:rPr>
      </w:pPr>
      <w:r w:rsidRPr="00350AAB">
        <w:rPr>
          <w:lang w:val="fr-FR"/>
        </w:rPr>
        <w:tab/>
      </w:r>
      <w:r w:rsidRPr="00350AAB">
        <w:rPr>
          <w:b/>
          <w:lang w:val="fr-FR"/>
        </w:rPr>
        <w:t xml:space="preserve">Pour les essais à l’intérieur, le système de mesure doit être vérifié dans sa totalité au début et à la fin d’une suite de séries de mesures. </w:t>
      </w:r>
    </w:p>
    <w:p w:rsidR="00350AAB" w:rsidRPr="00350AAB" w:rsidRDefault="00350AAB" w:rsidP="009C37F5">
      <w:pPr>
        <w:pStyle w:val="SingleTxtG"/>
        <w:ind w:left="2268"/>
        <w:rPr>
          <w:lang w:val="fr-FR"/>
        </w:rPr>
      </w:pPr>
      <w:r w:rsidRPr="00350AAB">
        <w:rPr>
          <w:b/>
          <w:lang w:val="fr-FR"/>
        </w:rPr>
        <w:tab/>
        <w:t>Il est recommandé que le fournisseur du matériel fournisse une méthode d’étalonnage conforme (telle que l’étalonnage électrique) qui, le cas échéant, sera appliquée dans le logiciel de mesure utilisé. L’éventuelle fonction de localisation de la source du bruit des algorithmes de simulation doit être désactivée pour les essais. </w:t>
      </w:r>
      <w:r w:rsidRPr="00350AAB">
        <w:rPr>
          <w:lang w:val="fr-FR"/>
        </w:rPr>
        <w:t>».</w:t>
      </w:r>
    </w:p>
    <w:p w:rsidR="00350AAB" w:rsidRPr="00350AAB" w:rsidRDefault="00350AAB" w:rsidP="00246BD4">
      <w:pPr>
        <w:pStyle w:val="SingleTxtG"/>
        <w:keepNext/>
        <w:ind w:left="2268" w:hanging="1134"/>
        <w:rPr>
          <w:i/>
          <w:lang w:val="fr-FR"/>
        </w:rPr>
      </w:pPr>
      <w:r w:rsidRPr="00350AAB">
        <w:rPr>
          <w:i/>
          <w:lang w:val="fr-FR"/>
        </w:rPr>
        <w:t>Paragraphe 2.1</w:t>
      </w:r>
      <w:r w:rsidRPr="00350AAB">
        <w:rPr>
          <w:lang w:val="fr-FR"/>
        </w:rPr>
        <w:t>,</w:t>
      </w:r>
      <w:r w:rsidRPr="00350AAB">
        <w:rPr>
          <w:i/>
          <w:lang w:val="fr-FR"/>
        </w:rPr>
        <w:t xml:space="preserve"> </w:t>
      </w:r>
      <w:r w:rsidRPr="00350AAB">
        <w:rPr>
          <w:lang w:val="fr-FR"/>
        </w:rPr>
        <w:t xml:space="preserve">modifier comme suit : </w:t>
      </w:r>
    </w:p>
    <w:p w:rsidR="00350AAB" w:rsidRPr="00350AAB" w:rsidRDefault="00350AAB" w:rsidP="00246BD4">
      <w:pPr>
        <w:pStyle w:val="SingleTxtG"/>
        <w:keepNext/>
        <w:ind w:left="2268" w:hanging="1134"/>
        <w:rPr>
          <w:lang w:val="fr-FR"/>
        </w:rPr>
      </w:pPr>
      <w:r w:rsidRPr="00350AAB">
        <w:rPr>
          <w:lang w:val="fr-FR"/>
        </w:rPr>
        <w:t>« 2.1</w:t>
      </w:r>
      <w:r w:rsidRPr="00350AAB">
        <w:rPr>
          <w:lang w:val="fr-FR"/>
        </w:rPr>
        <w:tab/>
      </w:r>
      <w:r w:rsidRPr="00350AAB">
        <w:rPr>
          <w:lang w:val="fr-FR"/>
        </w:rPr>
        <w:tab/>
        <w:t xml:space="preserve">Terrain d’essai et conditions ambiantes pour les essais </w:t>
      </w:r>
    </w:p>
    <w:p w:rsidR="00350AAB" w:rsidRPr="00350AAB" w:rsidRDefault="00350AAB" w:rsidP="009C37F5">
      <w:pPr>
        <w:pStyle w:val="SingleTxtG"/>
        <w:ind w:left="2268"/>
        <w:rPr>
          <w:b/>
          <w:lang w:val="fr-FR"/>
        </w:rPr>
      </w:pPr>
      <w:r w:rsidRPr="00350AAB">
        <w:rPr>
          <w:lang w:val="fr-FR"/>
        </w:rPr>
        <w:tab/>
      </w:r>
      <w:r w:rsidRPr="00350AAB">
        <w:rPr>
          <w:b/>
          <w:lang w:val="fr-FR"/>
        </w:rPr>
        <w:t>Les spécifications relatives au terrain d’essai permettent de créer l’environnement acoustique requis afin de réaliser les essais prescrits dans le présent Règlement. Les environnements d’essai extérieurs et intérieurs qui satisfont aux spécifications du Règlement constituent des environnements acoustiques équivalents et permettent d’obtenir des résultats également valables.</w:t>
      </w:r>
    </w:p>
    <w:p w:rsidR="00350AAB" w:rsidRPr="00350AAB" w:rsidRDefault="00350AAB" w:rsidP="009C37F5">
      <w:pPr>
        <w:pStyle w:val="SingleTxtG"/>
        <w:ind w:left="2268" w:hanging="1134"/>
        <w:rPr>
          <w:b/>
          <w:lang w:val="fr-FR"/>
        </w:rPr>
      </w:pPr>
      <w:r w:rsidRPr="00350AAB">
        <w:rPr>
          <w:b/>
          <w:lang w:val="fr-FR"/>
        </w:rPr>
        <w:t>2.1.1</w:t>
      </w:r>
      <w:r w:rsidRPr="00350AAB">
        <w:rPr>
          <w:b/>
          <w:lang w:val="fr-FR"/>
        </w:rPr>
        <w:tab/>
      </w:r>
      <w:r w:rsidRPr="00350AAB">
        <w:rPr>
          <w:b/>
          <w:lang w:val="fr-FR"/>
        </w:rPr>
        <w:tab/>
        <w:t>Terrain d’essai extérieur</w:t>
      </w:r>
    </w:p>
    <w:p w:rsidR="00350AAB" w:rsidRPr="00350AAB" w:rsidRDefault="00350AAB" w:rsidP="009C37F5">
      <w:pPr>
        <w:pStyle w:val="SingleTxtG"/>
        <w:ind w:left="2268"/>
        <w:rPr>
          <w:lang w:val="fr-FR"/>
        </w:rPr>
      </w:pPr>
      <w:r w:rsidRPr="00350AAB">
        <w:rPr>
          <w:lang w:val="fr-FR"/>
        </w:rPr>
        <w:tab/>
        <w:t>La surface et les dimensions du terrain d’essai doivent être conformes à la norme ISO 10844</w:t>
      </w:r>
      <w:r w:rsidR="00993442">
        <w:rPr>
          <w:lang w:val="fr-FR"/>
        </w:rPr>
        <w:t>:</w:t>
      </w:r>
      <w:r w:rsidRPr="00350AAB">
        <w:rPr>
          <w:lang w:val="fr-FR"/>
        </w:rPr>
        <w:t xml:space="preserve">2014. </w:t>
      </w:r>
    </w:p>
    <w:p w:rsidR="00350AAB" w:rsidRPr="00350AAB" w:rsidRDefault="00350AAB" w:rsidP="009C37F5">
      <w:pPr>
        <w:pStyle w:val="SingleTxtG"/>
        <w:ind w:left="2268" w:hanging="1134"/>
        <w:rPr>
          <w:b/>
          <w:lang w:val="fr-FR"/>
        </w:rPr>
      </w:pPr>
      <w:r w:rsidRPr="00350AAB">
        <w:rPr>
          <w:b/>
          <w:lang w:val="fr-FR"/>
        </w:rPr>
        <w:t>2.1.2</w:t>
      </w:r>
      <w:r w:rsidRPr="00350AAB">
        <w:rPr>
          <w:b/>
          <w:lang w:val="fr-FR"/>
        </w:rPr>
        <w:tab/>
      </w:r>
      <w:r w:rsidRPr="00350AAB">
        <w:rPr>
          <w:b/>
          <w:lang w:val="fr-FR"/>
        </w:rPr>
        <w:tab/>
        <w:t>Terrain d’essai intérieur</w:t>
      </w:r>
    </w:p>
    <w:p w:rsidR="00350AAB" w:rsidRPr="00350AAB" w:rsidRDefault="00350AAB" w:rsidP="009C37F5">
      <w:pPr>
        <w:pStyle w:val="SingleTxtG"/>
        <w:ind w:left="2268"/>
        <w:rPr>
          <w:b/>
          <w:lang w:val="fr-FR"/>
        </w:rPr>
      </w:pPr>
      <w:r w:rsidRPr="00350AAB">
        <w:rPr>
          <w:b/>
          <w:lang w:val="fr-FR"/>
        </w:rPr>
        <w:tab/>
        <w:t>Le terrain d’essai intérieur doit satisfaire aux prescriptions ci-après :</w:t>
      </w:r>
    </w:p>
    <w:p w:rsidR="00350AAB" w:rsidRPr="00350AAB" w:rsidRDefault="00350AAB" w:rsidP="00246BD4">
      <w:pPr>
        <w:pStyle w:val="SingleTxtG"/>
        <w:ind w:left="2835" w:hanging="567"/>
        <w:rPr>
          <w:b/>
          <w:lang w:val="fr-FR"/>
        </w:rPr>
      </w:pPr>
      <w:r w:rsidRPr="00350AAB">
        <w:rPr>
          <w:b/>
          <w:lang w:val="fr-FR"/>
        </w:rPr>
        <w:t>a)</w:t>
      </w:r>
      <w:r w:rsidRPr="00350AAB">
        <w:rPr>
          <w:b/>
          <w:lang w:val="fr-FR"/>
        </w:rPr>
        <w:tab/>
        <w:t>Les dimensions du local d’essai sont données au parag</w:t>
      </w:r>
      <w:r w:rsidR="00993442">
        <w:rPr>
          <w:b/>
          <w:lang w:val="fr-FR"/>
        </w:rPr>
        <w:t>raphe 7.2 de la norme ISO 362-3:</w:t>
      </w:r>
      <w:r w:rsidRPr="00350AAB">
        <w:rPr>
          <w:b/>
          <w:lang w:val="fr-FR"/>
        </w:rPr>
        <w:t>2016. Toutes les dimensions du local peuvent être ajustées afin de satisfaire aux exigences d’application pour les objets soumis aux essais, conformément au paragraphe 4 de l’annexe 8 ;</w:t>
      </w:r>
    </w:p>
    <w:p w:rsidR="00350AAB" w:rsidRPr="00350AAB" w:rsidRDefault="00350AAB" w:rsidP="00246BD4">
      <w:pPr>
        <w:pStyle w:val="SingleTxtG"/>
        <w:ind w:left="2835" w:hanging="567"/>
        <w:rPr>
          <w:b/>
          <w:lang w:val="fr-FR"/>
        </w:rPr>
      </w:pPr>
      <w:r w:rsidRPr="00350AAB">
        <w:rPr>
          <w:b/>
          <w:lang w:val="fr-FR"/>
        </w:rPr>
        <w:t>b)</w:t>
      </w:r>
      <w:r w:rsidRPr="00350AAB">
        <w:rPr>
          <w:b/>
          <w:lang w:val="fr-FR"/>
        </w:rPr>
        <w:tab/>
        <w:t>L’installation d’essai doit satisfaire aux pres</w:t>
      </w:r>
      <w:r w:rsidR="00993442">
        <w:rPr>
          <w:b/>
          <w:lang w:val="fr-FR"/>
        </w:rPr>
        <w:t>criptions de la norme ISO 26101:</w:t>
      </w:r>
      <w:r w:rsidRPr="00350AAB">
        <w:rPr>
          <w:b/>
          <w:lang w:val="fr-FR"/>
        </w:rPr>
        <w:t>2012, les critères de conformité et de mesure étant adaptés à la méthode d’essai considérée, comme indiqué au parag</w:t>
      </w:r>
      <w:r w:rsidR="00993442">
        <w:rPr>
          <w:b/>
          <w:lang w:val="fr-FR"/>
        </w:rPr>
        <w:t>raphe 7.3 de la norme ISO 362-3:</w:t>
      </w:r>
      <w:r w:rsidRPr="00350AAB">
        <w:rPr>
          <w:b/>
          <w:lang w:val="fr-FR"/>
        </w:rPr>
        <w:t>2016 ;</w:t>
      </w:r>
    </w:p>
    <w:p w:rsidR="00350AAB" w:rsidRPr="00350AAB" w:rsidRDefault="00350AAB" w:rsidP="00246BD4">
      <w:pPr>
        <w:pStyle w:val="SingleTxtG"/>
        <w:ind w:left="2835" w:hanging="567"/>
        <w:rPr>
          <w:b/>
          <w:lang w:val="fr-FR"/>
        </w:rPr>
      </w:pPr>
      <w:r w:rsidRPr="00350AAB">
        <w:rPr>
          <w:b/>
          <w:lang w:val="fr-FR"/>
        </w:rPr>
        <w:t>c)</w:t>
      </w:r>
      <w:r w:rsidRPr="00350AAB">
        <w:rPr>
          <w:b/>
          <w:lang w:val="fr-FR"/>
        </w:rPr>
        <w:tab/>
        <w:t>Les caractéristiques du sol sont décrites au parag</w:t>
      </w:r>
      <w:r w:rsidR="00993442">
        <w:rPr>
          <w:b/>
          <w:lang w:val="fr-FR"/>
        </w:rPr>
        <w:t>raphe 7.4 de la norme ISO 362-3:</w:t>
      </w:r>
      <w:r w:rsidRPr="00350AAB">
        <w:rPr>
          <w:b/>
          <w:lang w:val="fr-FR"/>
        </w:rPr>
        <w:t>2016 ;</w:t>
      </w:r>
    </w:p>
    <w:p w:rsidR="00350AAB" w:rsidRPr="00350AAB" w:rsidRDefault="00350AAB" w:rsidP="00246BD4">
      <w:pPr>
        <w:pStyle w:val="SingleTxtG"/>
        <w:ind w:left="2835" w:hanging="567"/>
        <w:rPr>
          <w:b/>
          <w:lang w:val="fr-FR"/>
        </w:rPr>
      </w:pPr>
      <w:r w:rsidRPr="00350AAB">
        <w:rPr>
          <w:b/>
          <w:lang w:val="fr-FR"/>
        </w:rPr>
        <w:t>d)</w:t>
      </w:r>
      <w:r w:rsidRPr="00350AAB">
        <w:rPr>
          <w:b/>
          <w:lang w:val="fr-FR"/>
        </w:rPr>
        <w:tab/>
        <w:t>Les prescriptions relatives au refroidissement, à la ventilation et à la gestion des gaz d’échappement sont énoncées au parag</w:t>
      </w:r>
      <w:r w:rsidR="00993442">
        <w:rPr>
          <w:b/>
          <w:lang w:val="fr-FR"/>
        </w:rPr>
        <w:t>raphe 7.5 de la norme ISO 362-3:</w:t>
      </w:r>
      <w:r w:rsidRPr="00350AAB">
        <w:rPr>
          <w:b/>
          <w:lang w:val="fr-FR"/>
        </w:rPr>
        <w:t>2016 ;</w:t>
      </w:r>
    </w:p>
    <w:p w:rsidR="00350AAB" w:rsidRPr="00350AAB" w:rsidRDefault="00350AAB" w:rsidP="00246BD4">
      <w:pPr>
        <w:pStyle w:val="SingleTxtG"/>
        <w:ind w:left="2835" w:hanging="567"/>
        <w:rPr>
          <w:b/>
          <w:lang w:val="fr-FR"/>
        </w:rPr>
      </w:pPr>
      <w:r w:rsidRPr="00350AAB">
        <w:rPr>
          <w:b/>
          <w:lang w:val="fr-FR"/>
        </w:rPr>
        <w:t>e)</w:t>
      </w:r>
      <w:r w:rsidRPr="00350AAB">
        <w:rPr>
          <w:b/>
          <w:lang w:val="fr-FR"/>
        </w:rPr>
        <w:tab/>
        <w:t>Les prescriptions relatives au dynamomètre sont énoncées au par</w:t>
      </w:r>
      <w:r w:rsidR="00993442">
        <w:rPr>
          <w:b/>
          <w:lang w:val="fr-FR"/>
        </w:rPr>
        <w:t>agraphe 8 de la norme ISO 362-3:</w:t>
      </w:r>
      <w:r w:rsidRPr="00350AAB">
        <w:rPr>
          <w:b/>
          <w:lang w:val="fr-FR"/>
        </w:rPr>
        <w:t>2016 ;</w:t>
      </w:r>
    </w:p>
    <w:p w:rsidR="00350AAB" w:rsidRPr="00350AAB" w:rsidRDefault="00350AAB" w:rsidP="00246BD4">
      <w:pPr>
        <w:pStyle w:val="SingleTxtG"/>
        <w:ind w:left="2835" w:hanging="567"/>
        <w:rPr>
          <w:lang w:val="fr-FR"/>
        </w:rPr>
      </w:pPr>
      <w:r w:rsidRPr="00350AAB">
        <w:rPr>
          <w:b/>
          <w:lang w:val="fr-FR"/>
        </w:rPr>
        <w:t>f)</w:t>
      </w:r>
      <w:r w:rsidRPr="00350AAB">
        <w:rPr>
          <w:b/>
          <w:lang w:val="fr-FR"/>
        </w:rPr>
        <w:tab/>
        <w:t>Le dispositif de maintien du véhicule est décrit au parag</w:t>
      </w:r>
      <w:r w:rsidR="00993442">
        <w:rPr>
          <w:b/>
          <w:lang w:val="fr-FR"/>
        </w:rPr>
        <w:t>raphe 9.3 de la norme ISO 362-3:</w:t>
      </w:r>
      <w:r w:rsidRPr="00350AAB">
        <w:rPr>
          <w:b/>
          <w:lang w:val="fr-FR"/>
        </w:rPr>
        <w:t>2016.</w:t>
      </w:r>
    </w:p>
    <w:p w:rsidR="00350AAB" w:rsidRPr="00350AAB" w:rsidRDefault="00350AAB" w:rsidP="00246BD4">
      <w:pPr>
        <w:pStyle w:val="SingleTxtG"/>
        <w:keepNext/>
        <w:ind w:left="2268" w:hanging="1134"/>
        <w:rPr>
          <w:b/>
          <w:lang w:val="fr-FR"/>
        </w:rPr>
      </w:pPr>
      <w:r w:rsidRPr="00350AAB">
        <w:rPr>
          <w:b/>
          <w:lang w:val="fr-FR"/>
        </w:rPr>
        <w:t>2.1.3</w:t>
      </w:r>
      <w:r w:rsidRPr="00350AAB">
        <w:rPr>
          <w:b/>
          <w:lang w:val="fr-FR"/>
        </w:rPr>
        <w:tab/>
        <w:t>Conditions ambiantes</w:t>
      </w:r>
    </w:p>
    <w:p w:rsidR="00350AAB" w:rsidRPr="00350AAB" w:rsidRDefault="00350AAB" w:rsidP="009C37F5">
      <w:pPr>
        <w:pStyle w:val="SingleTxtG"/>
        <w:ind w:left="2268"/>
        <w:rPr>
          <w:lang w:val="fr-FR"/>
        </w:rPr>
      </w:pPr>
      <w:r w:rsidRPr="00350AAB">
        <w:rPr>
          <w:lang w:val="fr-FR"/>
        </w:rPr>
        <w:tab/>
        <w:t>La surface du terrain doit être dégagée de neige poudreuse, d’herbes hautes, de terre meuble ou de cendres. Aucun obstacle ne doit pouvoir perturber le champ acoustique au voisinage du microphone et de la source sonore. L’observateur chargé de faire les mesures doit se placer de façon à ne pas fausser les valeurs indiquées par l’instrument de mesure.</w:t>
      </w:r>
    </w:p>
    <w:p w:rsidR="00350AAB" w:rsidRPr="00350AAB" w:rsidRDefault="00350AAB" w:rsidP="009C37F5">
      <w:pPr>
        <w:pStyle w:val="SingleTxtG"/>
        <w:ind w:left="2268"/>
        <w:rPr>
          <w:lang w:val="fr-FR"/>
        </w:rPr>
      </w:pPr>
      <w:r w:rsidRPr="00350AAB">
        <w:rPr>
          <w:lang w:val="fr-FR"/>
        </w:rPr>
        <w:tab/>
        <w:t>…</w:t>
      </w:r>
    </w:p>
    <w:p w:rsidR="00350AAB" w:rsidRPr="00350AAB" w:rsidRDefault="00350AAB" w:rsidP="009C37F5">
      <w:pPr>
        <w:pStyle w:val="SingleTxtG"/>
        <w:ind w:left="2268"/>
        <w:rPr>
          <w:lang w:val="fr-FR"/>
        </w:rPr>
      </w:pPr>
      <w:r w:rsidRPr="00350AAB">
        <w:rPr>
          <w:b/>
          <w:lang w:val="fr-FR"/>
        </w:rPr>
        <w:tab/>
        <w:t>Pour les essais à l’intérieur, le bruit ambiant correspond aux émissions sonores générées par le banc à rouleaux et le système d’aération de l’installation.</w:t>
      </w:r>
      <w:r w:rsidRPr="00350AAB">
        <w:rPr>
          <w:lang w:val="fr-FR"/>
        </w:rPr>
        <w:t> ».</w:t>
      </w:r>
    </w:p>
    <w:p w:rsidR="00350AAB" w:rsidRPr="00350AAB" w:rsidRDefault="00350AAB" w:rsidP="00246BD4">
      <w:pPr>
        <w:pStyle w:val="SingleTxtG"/>
        <w:keepNext/>
        <w:ind w:left="2268" w:hanging="1134"/>
        <w:rPr>
          <w:lang w:val="fr-FR"/>
        </w:rPr>
      </w:pPr>
      <w:r w:rsidRPr="00350AAB">
        <w:rPr>
          <w:i/>
          <w:lang w:val="fr-FR"/>
        </w:rPr>
        <w:t>Paragraphe 2.2.1</w:t>
      </w:r>
      <w:r w:rsidRPr="00350AAB">
        <w:rPr>
          <w:lang w:val="fr-FR"/>
        </w:rPr>
        <w:t xml:space="preserve">, modifier comme suit : </w:t>
      </w:r>
    </w:p>
    <w:p w:rsidR="00350AAB" w:rsidRPr="00350AAB" w:rsidRDefault="00350AAB" w:rsidP="00246BD4">
      <w:pPr>
        <w:pStyle w:val="SingleTxtG"/>
        <w:keepNext/>
        <w:ind w:left="2268" w:hanging="1134"/>
        <w:rPr>
          <w:lang w:val="fr-FR"/>
        </w:rPr>
      </w:pPr>
      <w:r w:rsidRPr="00350AAB">
        <w:rPr>
          <w:lang w:val="fr-FR"/>
        </w:rPr>
        <w:t>« 2.2.1</w:t>
      </w:r>
      <w:r w:rsidRPr="00350AAB">
        <w:rPr>
          <w:lang w:val="fr-FR"/>
        </w:rPr>
        <w:tab/>
        <w:t>…</w:t>
      </w:r>
    </w:p>
    <w:p w:rsidR="00350AAB" w:rsidRPr="00350AAB" w:rsidRDefault="00350AAB" w:rsidP="009C37F5">
      <w:pPr>
        <w:pStyle w:val="SingleTxtG"/>
        <w:ind w:left="2268"/>
        <w:rPr>
          <w:lang w:val="fr-FR"/>
        </w:rPr>
      </w:pPr>
      <w:r w:rsidRPr="00350AAB">
        <w:rPr>
          <w:lang w:val="fr-FR"/>
        </w:rPr>
        <w:tab/>
        <w:t>Les mesures doivent être faites sur des véhicules dont la masse d’essai m</w:t>
      </w:r>
      <w:r w:rsidRPr="00350AAB">
        <w:rPr>
          <w:vertAlign w:val="subscript"/>
          <w:lang w:val="fr-FR"/>
        </w:rPr>
        <w:t>t</w:t>
      </w:r>
      <w:r w:rsidRPr="00350AAB">
        <w:rPr>
          <w:lang w:val="fr-FR"/>
        </w:rPr>
        <w:t xml:space="preserve"> est définie conformément au tableau ci-dessous.</w:t>
      </w:r>
    </w:p>
    <w:p w:rsidR="00350AAB" w:rsidRPr="00350AAB" w:rsidRDefault="00350AAB" w:rsidP="009C37F5">
      <w:pPr>
        <w:pStyle w:val="SingleTxtG"/>
        <w:ind w:left="2268"/>
        <w:rPr>
          <w:b/>
          <w:bCs/>
          <w:lang w:val="fr-FR"/>
        </w:rPr>
      </w:pPr>
      <w:r w:rsidRPr="00350AAB">
        <w:rPr>
          <w:bCs/>
          <w:lang w:val="fr-FR"/>
        </w:rPr>
        <w:tab/>
      </w:r>
      <w:r w:rsidRPr="00350AAB">
        <w:rPr>
          <w:b/>
          <w:bCs/>
          <w:lang w:val="fr-FR"/>
        </w:rPr>
        <w:t>Lorsque l’essai est réalisé à l’intérieur, la masse d’essai m</w:t>
      </w:r>
      <w:r w:rsidRPr="00350AAB">
        <w:rPr>
          <w:b/>
          <w:bCs/>
          <w:vertAlign w:val="subscript"/>
          <w:lang w:val="fr-FR"/>
        </w:rPr>
        <w:t>t</w:t>
      </w:r>
      <w:r w:rsidRPr="00350AAB">
        <w:rPr>
          <w:b/>
          <w:bCs/>
          <w:lang w:val="fr-FR"/>
        </w:rPr>
        <w:t xml:space="preserve"> est la masse qui doit être prise en compte par le système de contrôle du banc à rouleaux. La masse effective du véhicule n’a pas d’incidence sur les résultats, et il est permis de charger le véhicule autant que nécessaire pour prévenir tout glissement des pneumatiques sur le banc à rouleaux. Pour détecter un glissement excessif, il est recommandé de contrôler le rapport entre le régime de rotation du moteur et la vitesse du véhicule entre la phase d’accélération et la phase à vitesse constante. Pour prévenir les glissements, il est possible d’augmenter la charge sur les essieux. </w:t>
      </w:r>
    </w:p>
    <w:p w:rsidR="00350AAB" w:rsidRPr="00350AAB" w:rsidRDefault="00350AAB" w:rsidP="009C37F5">
      <w:pPr>
        <w:pStyle w:val="SingleTxtG"/>
        <w:ind w:left="2268"/>
        <w:rPr>
          <w:lang w:val="fr-FR"/>
        </w:rPr>
      </w:pPr>
      <w:r w:rsidRPr="00350AAB">
        <w:rPr>
          <w:lang w:val="fr-FR"/>
        </w:rPr>
        <w:tab/>
        <w:t>… ».</w:t>
      </w:r>
    </w:p>
    <w:p w:rsidR="00350AAB" w:rsidRPr="00350AAB" w:rsidRDefault="00350AAB" w:rsidP="00246BD4">
      <w:pPr>
        <w:pStyle w:val="SingleTxtG"/>
        <w:keepNext/>
        <w:ind w:left="2268" w:hanging="1134"/>
        <w:rPr>
          <w:i/>
          <w:lang w:val="fr-FR"/>
        </w:rPr>
      </w:pPr>
      <w:r w:rsidRPr="00350AAB">
        <w:rPr>
          <w:i/>
          <w:lang w:val="fr-FR"/>
        </w:rPr>
        <w:t>Paragraphe 2.2.2</w:t>
      </w:r>
      <w:r w:rsidRPr="00350AAB">
        <w:rPr>
          <w:lang w:val="fr-FR"/>
        </w:rPr>
        <w:t>,</w:t>
      </w:r>
      <w:r w:rsidRPr="00350AAB">
        <w:rPr>
          <w:i/>
          <w:lang w:val="fr-FR"/>
        </w:rPr>
        <w:t xml:space="preserve"> </w:t>
      </w:r>
      <w:r w:rsidRPr="00350AAB">
        <w:rPr>
          <w:lang w:val="fr-FR"/>
        </w:rPr>
        <w:t>modifier comme suit :</w:t>
      </w:r>
    </w:p>
    <w:p w:rsidR="00350AAB" w:rsidRPr="00350AAB" w:rsidRDefault="00350AAB" w:rsidP="00246BD4">
      <w:pPr>
        <w:pStyle w:val="SingleTxtG"/>
        <w:keepNext/>
        <w:ind w:left="2268" w:hanging="1134"/>
        <w:rPr>
          <w:lang w:val="fr-FR"/>
        </w:rPr>
      </w:pPr>
      <w:r w:rsidRPr="00350AAB">
        <w:rPr>
          <w:lang w:val="fr-FR"/>
        </w:rPr>
        <w:t>« 2.2.2</w:t>
      </w:r>
      <w:r w:rsidRPr="00350AAB">
        <w:rPr>
          <w:lang w:val="fr-FR"/>
        </w:rPr>
        <w:tab/>
        <w:t>…</w:t>
      </w:r>
    </w:p>
    <w:p w:rsidR="00350AAB" w:rsidRPr="00350AAB" w:rsidRDefault="00350AAB" w:rsidP="009C37F5">
      <w:pPr>
        <w:pStyle w:val="SingleTxtG"/>
        <w:ind w:left="2268"/>
        <w:rPr>
          <w:lang w:val="fr-FR"/>
        </w:rPr>
      </w:pPr>
      <w:r w:rsidRPr="00350AAB">
        <w:rPr>
          <w:b/>
          <w:lang w:val="fr-FR"/>
        </w:rPr>
        <w:tab/>
        <w:t>Lorsque l’essai est réalisé à l’intérieur, le bruit de roulement est évalué séparément sur la piste d’essai avec les pneumatiques prescrits, conformément au présent paragraphe. Le bruit du groupe motopropulseur est évalué séparément sur le banc à rouleaux, à l’aide de pneumatiques et d’autres moyens de réduction du bruit permettant de produire un bruit de roulement qui n’influe pas sur le résultat de la mesure.</w:t>
      </w:r>
      <w:r w:rsidRPr="00350AAB">
        <w:rPr>
          <w:lang w:val="fr-FR"/>
        </w:rPr>
        <w:t xml:space="preserve"> ». </w:t>
      </w:r>
    </w:p>
    <w:p w:rsidR="00350AAB" w:rsidRPr="00350AAB" w:rsidRDefault="00350AAB" w:rsidP="00246BD4">
      <w:pPr>
        <w:pStyle w:val="SingleTxtG"/>
        <w:keepNext/>
        <w:ind w:left="2268" w:hanging="1134"/>
        <w:rPr>
          <w:lang w:val="fr-FR"/>
        </w:rPr>
      </w:pPr>
      <w:r w:rsidRPr="00350AAB">
        <w:rPr>
          <w:i/>
          <w:lang w:val="fr-FR"/>
        </w:rPr>
        <w:t>Paragraphe 3</w:t>
      </w:r>
      <w:r w:rsidRPr="00350AAB">
        <w:rPr>
          <w:lang w:val="fr-FR"/>
        </w:rPr>
        <w:t>,</w:t>
      </w:r>
      <w:r w:rsidRPr="00350AAB">
        <w:rPr>
          <w:i/>
          <w:lang w:val="fr-FR"/>
        </w:rPr>
        <w:t xml:space="preserve"> </w:t>
      </w:r>
      <w:r w:rsidRPr="00350AAB">
        <w:rPr>
          <w:lang w:val="fr-FR"/>
        </w:rPr>
        <w:t xml:space="preserve">modifier comme suit : </w:t>
      </w:r>
    </w:p>
    <w:p w:rsidR="00350AAB" w:rsidRPr="00350AAB" w:rsidRDefault="00350AAB" w:rsidP="00246BD4">
      <w:pPr>
        <w:pStyle w:val="SingleTxtG"/>
        <w:keepNext/>
        <w:ind w:left="2268" w:hanging="1134"/>
        <w:rPr>
          <w:lang w:val="fr-FR"/>
        </w:rPr>
      </w:pPr>
      <w:r w:rsidRPr="00350AAB">
        <w:rPr>
          <w:lang w:val="fr-FR"/>
        </w:rPr>
        <w:t>« 3.</w:t>
      </w:r>
      <w:r w:rsidRPr="00350AAB">
        <w:rPr>
          <w:lang w:val="fr-FR"/>
        </w:rPr>
        <w:tab/>
      </w:r>
      <w:r w:rsidRPr="00350AAB">
        <w:rPr>
          <w:lang w:val="fr-FR"/>
        </w:rPr>
        <w:tab/>
        <w:t>Méthodes d’essai</w:t>
      </w:r>
      <w:r w:rsidRPr="00350AAB">
        <w:rPr>
          <w:b/>
          <w:lang w:val="fr-FR"/>
        </w:rPr>
        <w:t xml:space="preserve"> </w:t>
      </w:r>
    </w:p>
    <w:p w:rsidR="00350AAB" w:rsidRPr="00350AAB" w:rsidRDefault="00350AAB" w:rsidP="009C37F5">
      <w:pPr>
        <w:pStyle w:val="SingleTxtG"/>
        <w:ind w:left="2268"/>
        <w:rPr>
          <w:b/>
          <w:lang w:val="fr-FR"/>
        </w:rPr>
      </w:pPr>
      <w:r w:rsidRPr="00350AAB">
        <w:rPr>
          <w:b/>
          <w:lang w:val="fr-FR"/>
        </w:rPr>
        <w:tab/>
        <w:t xml:space="preserve">Les essais à l’extérieur doivent être réalisés conformément aux dispositions du paragraphe 3.1. </w:t>
      </w:r>
    </w:p>
    <w:p w:rsidR="00350AAB" w:rsidRPr="00350AAB" w:rsidRDefault="00350AAB" w:rsidP="009C37F5">
      <w:pPr>
        <w:pStyle w:val="SingleTxtG"/>
        <w:ind w:left="2268"/>
        <w:rPr>
          <w:lang w:val="fr-FR"/>
        </w:rPr>
      </w:pPr>
      <w:r w:rsidRPr="00350AAB">
        <w:rPr>
          <w:b/>
          <w:lang w:val="fr-FR"/>
        </w:rPr>
        <w:tab/>
        <w:t>Les essais à l’intérieur doivent être réalisés en se conformant aux dispositions du paragraphe 3.1 et aux spéci</w:t>
      </w:r>
      <w:r w:rsidR="000C1DC7">
        <w:rPr>
          <w:b/>
          <w:lang w:val="fr-FR"/>
        </w:rPr>
        <w:t>fications de la norme ISO 362-3</w:t>
      </w:r>
      <w:r w:rsidRPr="00350AAB">
        <w:rPr>
          <w:b/>
          <w:lang w:val="fr-FR"/>
        </w:rPr>
        <w:t>:2016, variante A. Lorsque les essais ont lieu à l’intérieur, le constructeur doit fournir au service technique une documentation conformément au paragraphe 1 de l’annexe 8. La variante A combine un essai à l’intérieur (bruit du groupe motopropulseur) et un essai à l’extérieur (bruit de roulement).</w:t>
      </w:r>
    </w:p>
    <w:p w:rsidR="00350AAB" w:rsidRPr="00350AAB" w:rsidRDefault="00350AAB" w:rsidP="009C37F5">
      <w:pPr>
        <w:pStyle w:val="SingleTxtG"/>
        <w:ind w:left="2268"/>
        <w:rPr>
          <w:lang w:val="fr-FR"/>
        </w:rPr>
      </w:pPr>
      <w:r w:rsidRPr="00350AAB">
        <w:rPr>
          <w:lang w:val="fr-FR"/>
        </w:rPr>
        <w:tab/>
        <w:t>… ».</w:t>
      </w:r>
    </w:p>
    <w:p w:rsidR="00350AAB" w:rsidRPr="00350AAB" w:rsidRDefault="00350AAB" w:rsidP="00246BD4">
      <w:pPr>
        <w:pStyle w:val="SingleTxtG"/>
        <w:keepNext/>
        <w:ind w:left="2268" w:hanging="1134"/>
        <w:rPr>
          <w:lang w:val="fr-FR"/>
        </w:rPr>
      </w:pPr>
      <w:r w:rsidRPr="00350AAB">
        <w:rPr>
          <w:i/>
          <w:lang w:val="fr-FR"/>
        </w:rPr>
        <w:t>Paragraphe 3.1.1</w:t>
      </w:r>
      <w:r w:rsidRPr="00350AAB">
        <w:rPr>
          <w:lang w:val="fr-FR"/>
        </w:rPr>
        <w:t>,</w:t>
      </w:r>
      <w:r w:rsidRPr="00350AAB">
        <w:rPr>
          <w:i/>
          <w:lang w:val="fr-FR"/>
        </w:rPr>
        <w:t xml:space="preserve"> </w:t>
      </w:r>
      <w:r w:rsidRPr="00350AAB">
        <w:rPr>
          <w:lang w:val="fr-FR"/>
        </w:rPr>
        <w:t>modifier comme suit :</w:t>
      </w:r>
    </w:p>
    <w:p w:rsidR="00350AAB" w:rsidRPr="00350AAB" w:rsidRDefault="00350AAB" w:rsidP="00246BD4">
      <w:pPr>
        <w:pStyle w:val="SingleTxtG"/>
        <w:keepNext/>
        <w:ind w:left="2268" w:hanging="1134"/>
        <w:rPr>
          <w:lang w:val="fr-FR"/>
        </w:rPr>
      </w:pPr>
      <w:r w:rsidRPr="00350AAB">
        <w:rPr>
          <w:lang w:val="fr-FR"/>
        </w:rPr>
        <w:t>« 3.1.1</w:t>
      </w:r>
      <w:r w:rsidRPr="00350AAB">
        <w:rPr>
          <w:lang w:val="fr-FR"/>
        </w:rPr>
        <w:tab/>
        <w:t>Conditions générales d’essai</w:t>
      </w:r>
    </w:p>
    <w:p w:rsidR="00350AAB" w:rsidRPr="00350AAB" w:rsidRDefault="00350AAB" w:rsidP="009C37F5">
      <w:pPr>
        <w:pStyle w:val="SingleTxtG"/>
        <w:ind w:left="2268"/>
        <w:rPr>
          <w:lang w:val="fr-FR"/>
        </w:rPr>
      </w:pPr>
      <w:r w:rsidRPr="00350AAB">
        <w:rPr>
          <w:b/>
          <w:lang w:val="fr-FR"/>
        </w:rPr>
        <w:tab/>
        <w:t xml:space="preserve">Pour les essais à l’extérieur, deux </w:t>
      </w:r>
      <w:r w:rsidRPr="00350AAB">
        <w:rPr>
          <w:lang w:val="fr-FR"/>
        </w:rPr>
        <w:t>lignes, AA’ et BB’, parallèles à la ligne PP’ et situées respectivement 10</w:t>
      </w:r>
      <w:r w:rsidR="002E4E52">
        <w:rPr>
          <w:lang w:val="fr-FR"/>
        </w:rPr>
        <w:t xml:space="preserve"> </w:t>
      </w:r>
      <w:r w:rsidRPr="00350AAB">
        <w:rPr>
          <w:lang w:val="fr-CA"/>
        </w:rPr>
        <w:sym w:font="Symbol" w:char="F0B1"/>
      </w:r>
      <w:r w:rsidRPr="00350AAB">
        <w:rPr>
          <w:lang w:val="fr-FR"/>
        </w:rPr>
        <w:t> 0,05 m en avant et 10</w:t>
      </w:r>
      <w:r w:rsidR="002E4E52">
        <w:rPr>
          <w:lang w:val="fr-FR"/>
        </w:rPr>
        <w:t xml:space="preserve"> </w:t>
      </w:r>
      <w:r w:rsidRPr="00350AAB">
        <w:rPr>
          <w:lang w:val="fr-CA"/>
        </w:rPr>
        <w:sym w:font="Symbol" w:char="F0B1"/>
      </w:r>
      <w:r w:rsidRPr="00350AAB">
        <w:rPr>
          <w:lang w:val="fr-FR"/>
        </w:rPr>
        <w:t> 0,05 m en arrière de la ligne PP’, sont tracées sur la piste d’essai.</w:t>
      </w:r>
    </w:p>
    <w:p w:rsidR="00350AAB" w:rsidRPr="00350AAB" w:rsidRDefault="00350AAB" w:rsidP="009C37F5">
      <w:pPr>
        <w:pStyle w:val="SingleTxtG"/>
        <w:ind w:left="2268"/>
        <w:rPr>
          <w:b/>
          <w:lang w:val="fr-FR"/>
        </w:rPr>
      </w:pPr>
      <w:r w:rsidRPr="00350AAB">
        <w:rPr>
          <w:lang w:val="fr-FR"/>
        </w:rPr>
        <w:tab/>
      </w:r>
      <w:r w:rsidRPr="00350AAB">
        <w:rPr>
          <w:b/>
          <w:lang w:val="fr-FR"/>
        </w:rPr>
        <w:t>Pour les essais à l’intérieur, la ligne virtuelle AA’ indique le début de la piste d’essai, la ligne PP’, l’emplacement virtuel des deux microphones de captation du bruit de passage et la ligne BB’, la fin de la piste d’essai. La vitesse du véhicule simulée au droit de la ligne AA’ (V</w:t>
      </w:r>
      <w:r w:rsidRPr="00350AAB">
        <w:rPr>
          <w:b/>
          <w:vertAlign w:val="subscript"/>
          <w:lang w:val="fr-FR"/>
        </w:rPr>
        <w:t>AA’</w:t>
      </w:r>
      <w:r w:rsidRPr="00350AAB">
        <w:rPr>
          <w:b/>
          <w:lang w:val="fr-FR"/>
        </w:rPr>
        <w:t>) et la vitesse du véhicule simulée au droit de la ligne PP’ (V</w:t>
      </w:r>
      <w:r w:rsidRPr="00350AAB">
        <w:rPr>
          <w:b/>
          <w:vertAlign w:val="subscript"/>
          <w:lang w:val="fr-FR"/>
        </w:rPr>
        <w:t>PP’</w:t>
      </w:r>
      <w:r w:rsidRPr="00350AAB">
        <w:rPr>
          <w:b/>
          <w:lang w:val="fr-FR"/>
        </w:rPr>
        <w:t>) correspondent à la vitesse du rouleau lorsque le point de référence du véhicule franchit respectivement la ligne virtuelle AA’ et la ligne virtuelle PP’. La vitesse du véhicule simulée au droit de la ligne BB’ (V</w:t>
      </w:r>
      <w:r w:rsidRPr="00350AAB">
        <w:rPr>
          <w:b/>
          <w:vertAlign w:val="subscript"/>
          <w:lang w:val="fr-FR"/>
        </w:rPr>
        <w:t>BB’</w:t>
      </w:r>
      <w:r w:rsidRPr="00350AAB">
        <w:rPr>
          <w:b/>
          <w:lang w:val="fr-FR"/>
        </w:rPr>
        <w:t xml:space="preserve">) correspond à la vitesse relevée lorsque l’arrière du véhicule franchit la ligne virtuelle BB’. </w:t>
      </w:r>
    </w:p>
    <w:p w:rsidR="00350AAB" w:rsidRPr="00350AAB" w:rsidRDefault="00350AAB" w:rsidP="008948D1">
      <w:pPr>
        <w:pStyle w:val="SingleTxtG"/>
        <w:ind w:left="2268"/>
        <w:rPr>
          <w:lang w:val="fr-FR"/>
        </w:rPr>
      </w:pPr>
      <w:r w:rsidRPr="00350AAB">
        <w:rPr>
          <w:lang w:val="fr-FR"/>
        </w:rPr>
        <w:tab/>
        <w:t>… ».</w:t>
      </w:r>
    </w:p>
    <w:p w:rsidR="00350AAB" w:rsidRPr="00350AAB" w:rsidRDefault="00350AAB" w:rsidP="00246BD4">
      <w:pPr>
        <w:pStyle w:val="SingleTxtG"/>
        <w:keepNext/>
        <w:ind w:left="2268" w:hanging="1134"/>
        <w:rPr>
          <w:lang w:val="fr-FR"/>
        </w:rPr>
      </w:pPr>
      <w:r w:rsidRPr="00350AAB">
        <w:rPr>
          <w:i/>
          <w:lang w:val="fr-FR"/>
        </w:rPr>
        <w:t>Paragraphe 3.1.3</w:t>
      </w:r>
      <w:r w:rsidRPr="00350AAB">
        <w:rPr>
          <w:lang w:val="fr-FR"/>
        </w:rPr>
        <w:t>,</w:t>
      </w:r>
      <w:r w:rsidRPr="00350AAB">
        <w:rPr>
          <w:i/>
          <w:lang w:val="fr-FR"/>
        </w:rPr>
        <w:t xml:space="preserve"> </w:t>
      </w:r>
      <w:r w:rsidRPr="00350AAB">
        <w:rPr>
          <w:lang w:val="fr-FR"/>
        </w:rPr>
        <w:t xml:space="preserve">modifier comme suit : </w:t>
      </w:r>
    </w:p>
    <w:p w:rsidR="00350AAB" w:rsidRPr="00350AAB" w:rsidRDefault="00350AAB" w:rsidP="00246BD4">
      <w:pPr>
        <w:pStyle w:val="SingleTxtG"/>
        <w:keepNext/>
        <w:ind w:left="2268" w:hanging="1134"/>
        <w:rPr>
          <w:lang w:val="fr-FR"/>
        </w:rPr>
      </w:pPr>
      <w:r w:rsidRPr="00350AAB">
        <w:rPr>
          <w:lang w:val="fr-FR"/>
        </w:rPr>
        <w:t>« 3.1.3</w:t>
      </w:r>
      <w:r w:rsidRPr="00350AAB">
        <w:rPr>
          <w:lang w:val="fr-FR"/>
        </w:rPr>
        <w:tab/>
        <w:t>Interprétation des résultats</w:t>
      </w:r>
    </w:p>
    <w:p w:rsidR="00350AAB" w:rsidRPr="00350AAB" w:rsidRDefault="00350AAB" w:rsidP="009C37F5">
      <w:pPr>
        <w:pStyle w:val="SingleTxtG"/>
        <w:ind w:left="2268"/>
        <w:rPr>
          <w:lang w:val="fr-FR"/>
        </w:rPr>
      </w:pPr>
      <w:r w:rsidRPr="00350AAB">
        <w:rPr>
          <w:lang w:val="fr-FR"/>
        </w:rPr>
        <w:t>Pour les véhicules de la catégorie M</w:t>
      </w:r>
      <w:r w:rsidRPr="00350AAB">
        <w:rPr>
          <w:vertAlign w:val="subscript"/>
          <w:lang w:val="fr-FR"/>
        </w:rPr>
        <w:t>1</w:t>
      </w:r>
      <w:r w:rsidRPr="00350AAB">
        <w:rPr>
          <w:lang w:val="fr-FR"/>
        </w:rPr>
        <w:t xml:space="preserve"> et ceux de la catégorie M</w:t>
      </w:r>
      <w:r w:rsidRPr="00350AAB">
        <w:rPr>
          <w:vertAlign w:val="subscript"/>
          <w:lang w:val="fr-FR"/>
        </w:rPr>
        <w:t>2</w:t>
      </w:r>
      <w:r w:rsidRPr="00350AAB">
        <w:rPr>
          <w:lang w:val="fr-FR"/>
        </w:rPr>
        <w:t xml:space="preserve"> dont la masse maximale autorisée ne dépasse pas 3 500 kg, ainsi que ceux de la catégorie N</w:t>
      </w:r>
      <w:r w:rsidRPr="00350AAB">
        <w:rPr>
          <w:vertAlign w:val="subscript"/>
          <w:lang w:val="fr-FR"/>
        </w:rPr>
        <w:t>1</w:t>
      </w:r>
      <w:r w:rsidRPr="00350AAB">
        <w:rPr>
          <w:lang w:val="fr-FR"/>
        </w:rPr>
        <w:t xml:space="preserve">, le niveau sonore maximal pondéré selon la courbe A relevé lors de chaque passage du véhicule entre les lignes AA’ et BB’ doit être arrondi au premier chiffre significatif après la virgule (par exemple XX, X). </w:t>
      </w:r>
    </w:p>
    <w:p w:rsidR="00350AAB" w:rsidRPr="00DD7F69" w:rsidRDefault="00350AAB" w:rsidP="009C37F5">
      <w:pPr>
        <w:pStyle w:val="SingleTxtG"/>
        <w:ind w:left="2268"/>
        <w:rPr>
          <w:spacing w:val="-2"/>
          <w:lang w:val="fr-FR"/>
        </w:rPr>
      </w:pPr>
      <w:r w:rsidRPr="00350AAB">
        <w:rPr>
          <w:lang w:val="fr-FR"/>
        </w:rPr>
        <w:tab/>
      </w:r>
      <w:r w:rsidRPr="00DD7F69">
        <w:rPr>
          <w:spacing w:val="-2"/>
          <w:lang w:val="fr-FR"/>
        </w:rPr>
        <w:t>Pour les véhicules de la catégorie M</w:t>
      </w:r>
      <w:r w:rsidRPr="00DD7F69">
        <w:rPr>
          <w:spacing w:val="-2"/>
          <w:vertAlign w:val="subscript"/>
          <w:lang w:val="fr-FR"/>
        </w:rPr>
        <w:t>2</w:t>
      </w:r>
      <w:r w:rsidRPr="00DD7F69">
        <w:rPr>
          <w:spacing w:val="-2"/>
          <w:lang w:val="fr-FR"/>
        </w:rPr>
        <w:t xml:space="preserve"> dont la masse maximale autorisée est supérieure à 3 500 kg, ainsi que ceux des catégories M</w:t>
      </w:r>
      <w:r w:rsidRPr="00DD7F69">
        <w:rPr>
          <w:spacing w:val="-2"/>
          <w:vertAlign w:val="subscript"/>
          <w:lang w:val="fr-FR"/>
        </w:rPr>
        <w:t>3</w:t>
      </w:r>
      <w:r w:rsidRPr="00DD7F69">
        <w:rPr>
          <w:spacing w:val="-2"/>
          <w:lang w:val="fr-FR"/>
        </w:rPr>
        <w:t>, N</w:t>
      </w:r>
      <w:r w:rsidRPr="00DD7F69">
        <w:rPr>
          <w:spacing w:val="-2"/>
          <w:vertAlign w:val="subscript"/>
          <w:lang w:val="fr-FR"/>
        </w:rPr>
        <w:t>2</w:t>
      </w:r>
      <w:r w:rsidRPr="00DD7F69">
        <w:rPr>
          <w:spacing w:val="-2"/>
          <w:lang w:val="fr-FR"/>
        </w:rPr>
        <w:t xml:space="preserve"> et N</w:t>
      </w:r>
      <w:r w:rsidRPr="00DD7F69">
        <w:rPr>
          <w:spacing w:val="-2"/>
          <w:vertAlign w:val="subscript"/>
          <w:lang w:val="fr-FR"/>
        </w:rPr>
        <w:t>3</w:t>
      </w:r>
      <w:r w:rsidRPr="00DD7F69">
        <w:rPr>
          <w:spacing w:val="-2"/>
          <w:lang w:val="fr-FR"/>
        </w:rPr>
        <w:t>, le niveau sonore maximal pondéré selon la courbe A relevé lors de chaque passage du point de référence du véhicule entre la ligne AA’ et la ligne BB’ + 5 m doit être arrondi au premier chiffre significatif après la virgule (par exemple XX, X).</w:t>
      </w:r>
    </w:p>
    <w:p w:rsidR="00350AAB" w:rsidRPr="00350AAB" w:rsidRDefault="00350AAB" w:rsidP="009C37F5">
      <w:pPr>
        <w:pStyle w:val="SingleTxtG"/>
        <w:ind w:left="2268"/>
        <w:rPr>
          <w:b/>
          <w:lang w:val="fr-FR"/>
        </w:rPr>
      </w:pPr>
      <w:r w:rsidRPr="00350AAB">
        <w:rPr>
          <w:lang w:val="fr-FR"/>
        </w:rPr>
        <w:tab/>
      </w:r>
      <w:r w:rsidRPr="00350AAB">
        <w:rPr>
          <w:b/>
          <w:lang w:val="fr-FR"/>
        </w:rPr>
        <w:t>Pour les essais à l’intérieur, le bruit de passage simulé correspond à la somme énergétique du bruit du groupe motopropulseur sur le banc à rouleaux et du bruit de roulement (mesuré séparément sur une piste d’essai extérieure), conformément au paragraphe 2 de l’annexe 8 du présent Règlement.</w:t>
      </w:r>
    </w:p>
    <w:p w:rsidR="00350AAB" w:rsidRPr="00350AAB" w:rsidRDefault="00350AAB" w:rsidP="009C37F5">
      <w:pPr>
        <w:pStyle w:val="SingleTxtG"/>
        <w:ind w:left="2268"/>
        <w:rPr>
          <w:lang w:val="fr-FR"/>
        </w:rPr>
      </w:pPr>
      <w:r w:rsidRPr="00350AAB">
        <w:rPr>
          <w:lang w:val="fr-FR"/>
        </w:rPr>
        <w:tab/>
        <w:t>… ».</w:t>
      </w:r>
    </w:p>
    <w:p w:rsidR="00350AAB" w:rsidRPr="00350AAB" w:rsidRDefault="00350AAB" w:rsidP="00246BD4">
      <w:pPr>
        <w:pStyle w:val="SingleTxtG"/>
        <w:keepNext/>
        <w:ind w:left="2268" w:hanging="1134"/>
        <w:rPr>
          <w:lang w:val="fr-FR"/>
        </w:rPr>
      </w:pPr>
      <w:r w:rsidRPr="000C1DC7">
        <w:rPr>
          <w:i/>
          <w:lang w:val="fr-FR"/>
        </w:rPr>
        <w:t xml:space="preserve">Ajouter </w:t>
      </w:r>
      <w:r w:rsidRPr="00350AAB">
        <w:rPr>
          <w:i/>
          <w:lang w:val="fr-FR"/>
        </w:rPr>
        <w:t>une annexe 8</w:t>
      </w:r>
      <w:r w:rsidRPr="00350AAB">
        <w:rPr>
          <w:lang w:val="fr-FR"/>
        </w:rPr>
        <w:t>, libellée comme suit :</w:t>
      </w:r>
    </w:p>
    <w:p w:rsidR="00350AAB" w:rsidRPr="00350AAB" w:rsidRDefault="00350AAB" w:rsidP="000C1DC7">
      <w:pPr>
        <w:pStyle w:val="HChG"/>
        <w:rPr>
          <w:lang w:val="fr-FR"/>
        </w:rPr>
      </w:pPr>
      <w:bookmarkStart w:id="13" w:name="_Toc427847366"/>
      <w:r w:rsidRPr="000C1DC7">
        <w:rPr>
          <w:b w:val="0"/>
          <w:sz w:val="20"/>
          <w:lang w:val="fr-FR"/>
        </w:rPr>
        <w:t>« </w:t>
      </w:r>
      <w:r w:rsidRPr="00350AAB">
        <w:rPr>
          <w:lang w:val="fr-FR"/>
        </w:rPr>
        <w:t>Annexe 8</w:t>
      </w:r>
      <w:bookmarkEnd w:id="13"/>
    </w:p>
    <w:p w:rsidR="00350AAB" w:rsidRPr="00350AAB" w:rsidRDefault="00350AAB" w:rsidP="000C1DC7">
      <w:pPr>
        <w:pStyle w:val="HChG"/>
        <w:rPr>
          <w:lang w:val="fr-FR"/>
        </w:rPr>
      </w:pPr>
      <w:r w:rsidRPr="00350AAB">
        <w:rPr>
          <w:lang w:val="fr-FR"/>
        </w:rPr>
        <w:tab/>
      </w:r>
      <w:r w:rsidRPr="00350AAB">
        <w:rPr>
          <w:lang w:val="fr-FR"/>
        </w:rPr>
        <w:tab/>
        <w:t xml:space="preserve">Essais à l’intérieur </w:t>
      </w:r>
    </w:p>
    <w:p w:rsidR="00350AAB" w:rsidRPr="00350AAB" w:rsidRDefault="00350AAB" w:rsidP="00246BD4">
      <w:pPr>
        <w:pStyle w:val="SingleTxtG"/>
        <w:keepNext/>
        <w:ind w:left="2268" w:hanging="1134"/>
        <w:rPr>
          <w:b/>
          <w:lang w:val="fr-FR"/>
        </w:rPr>
      </w:pPr>
      <w:r w:rsidRPr="00350AAB">
        <w:rPr>
          <w:b/>
          <w:lang w:val="fr-FR"/>
        </w:rPr>
        <w:t>1.</w:t>
      </w:r>
      <w:r w:rsidRPr="00350AAB">
        <w:rPr>
          <w:b/>
          <w:lang w:val="fr-FR"/>
        </w:rPr>
        <w:tab/>
        <w:t xml:space="preserve">Documentation à fournir dans le cas d’une demande d’homologation pour laquelle des essais sont effectués à l’intérieur </w:t>
      </w:r>
    </w:p>
    <w:p w:rsidR="00350AAB" w:rsidRPr="00350AAB" w:rsidRDefault="009C37F5" w:rsidP="009C37F5">
      <w:pPr>
        <w:pStyle w:val="SingleTxtG"/>
        <w:ind w:left="2268"/>
        <w:rPr>
          <w:b/>
          <w:lang w:val="fr-FR"/>
        </w:rPr>
      </w:pPr>
      <w:r>
        <w:rPr>
          <w:b/>
          <w:lang w:val="fr-FR"/>
        </w:rPr>
        <w:tab/>
      </w:r>
      <w:r w:rsidR="00350AAB" w:rsidRPr="00350AAB">
        <w:rPr>
          <w:b/>
          <w:lang w:val="fr-FR"/>
        </w:rPr>
        <w:t>La documentation à fournir concerne :</w:t>
      </w:r>
    </w:p>
    <w:p w:rsidR="00350AAB" w:rsidRPr="000C1DC7" w:rsidRDefault="00350AAB" w:rsidP="000C1DC7">
      <w:pPr>
        <w:pStyle w:val="Bullet2G"/>
        <w:tabs>
          <w:tab w:val="clear" w:pos="2268"/>
          <w:tab w:val="num" w:pos="2835"/>
        </w:tabs>
        <w:ind w:left="2835" w:hanging="567"/>
        <w:rPr>
          <w:b/>
          <w:lang w:val="fr-FR"/>
        </w:rPr>
      </w:pPr>
      <w:r w:rsidRPr="000C1DC7">
        <w:rPr>
          <w:b/>
          <w:lang w:val="fr-FR"/>
        </w:rPr>
        <w:t>La validation du local d’essai : par exemple</w:t>
      </w:r>
      <w:r w:rsidR="000C1DC7">
        <w:rPr>
          <w:b/>
          <w:lang w:val="fr-FR"/>
        </w:rPr>
        <w:t>,</w:t>
      </w:r>
      <w:r w:rsidRPr="000C1DC7">
        <w:rPr>
          <w:b/>
          <w:lang w:val="fr-FR"/>
        </w:rPr>
        <w:t xml:space="preserve"> propagation en champ libre, niveau du bruit de fond du banc à rouleaux et de la ventilation, performance dynamique du dynamomètre, logiciel ;</w:t>
      </w:r>
    </w:p>
    <w:p w:rsidR="00350AAB" w:rsidRPr="00350AAB" w:rsidRDefault="00350AAB" w:rsidP="000C1DC7">
      <w:pPr>
        <w:pStyle w:val="Bullet2G"/>
        <w:tabs>
          <w:tab w:val="clear" w:pos="2268"/>
          <w:tab w:val="num" w:pos="2835"/>
        </w:tabs>
        <w:ind w:left="2835" w:hanging="567"/>
        <w:rPr>
          <w:b/>
          <w:lang w:val="fr-FR"/>
        </w:rPr>
      </w:pPr>
      <w:r w:rsidRPr="00350AAB">
        <w:rPr>
          <w:b/>
          <w:lang w:val="fr-FR"/>
        </w:rPr>
        <w:t>Les procédures à applique</w:t>
      </w:r>
      <w:r w:rsidR="000C1DC7">
        <w:rPr>
          <w:b/>
          <w:lang w:val="fr-FR"/>
        </w:rPr>
        <w:t>r pour les essais à l’intérieur </w:t>
      </w:r>
      <w:r w:rsidRPr="00350AAB">
        <w:rPr>
          <w:b/>
          <w:lang w:val="fr-FR"/>
        </w:rPr>
        <w:t>: par exemple</w:t>
      </w:r>
      <w:r w:rsidR="000C1DC7">
        <w:rPr>
          <w:b/>
          <w:lang w:val="fr-FR"/>
        </w:rPr>
        <w:t>,</w:t>
      </w:r>
      <w:r w:rsidRPr="00350AAB">
        <w:rPr>
          <w:b/>
          <w:lang w:val="fr-FR"/>
        </w:rPr>
        <w:t xml:space="preserve"> réglage du banc à rouleaux et configuration du logiciel, charge</w:t>
      </w:r>
      <w:r w:rsidRPr="000C1DC7">
        <w:rPr>
          <w:b/>
          <w:lang w:val="fr-FR"/>
        </w:rPr>
        <w:t xml:space="preserve"> et</w:t>
      </w:r>
      <w:r w:rsidRPr="00350AAB">
        <w:rPr>
          <w:b/>
          <w:lang w:val="fr-FR"/>
        </w:rPr>
        <w:t xml:space="preserve"> arrimage, gestion de la ventilation et de la température du véhicule ;</w:t>
      </w:r>
    </w:p>
    <w:p w:rsidR="00350AAB" w:rsidRPr="00350AAB" w:rsidRDefault="00350AAB" w:rsidP="000C1DC7">
      <w:pPr>
        <w:pStyle w:val="Bullet2G"/>
        <w:tabs>
          <w:tab w:val="clear" w:pos="2268"/>
          <w:tab w:val="num" w:pos="2835"/>
        </w:tabs>
        <w:ind w:left="2835" w:hanging="567"/>
        <w:rPr>
          <w:b/>
          <w:lang w:val="fr-FR"/>
        </w:rPr>
      </w:pPr>
      <w:r w:rsidRPr="00350AAB">
        <w:rPr>
          <w:b/>
          <w:lang w:val="fr-FR"/>
        </w:rPr>
        <w:t>Les données relatives à la décélération et au niveau sonore des pneus utilisées pour le calcul des coefficients de charge du dynamomètre et les données sonores des pneus utilisées pour déterminer les résultats finals consignés ;</w:t>
      </w:r>
    </w:p>
    <w:p w:rsidR="00350AAB" w:rsidRPr="00350AAB" w:rsidRDefault="00350AAB" w:rsidP="000C1DC7">
      <w:pPr>
        <w:pStyle w:val="Bullet2G"/>
        <w:tabs>
          <w:tab w:val="clear" w:pos="2268"/>
          <w:tab w:val="num" w:pos="2835"/>
        </w:tabs>
        <w:ind w:left="2835" w:hanging="567"/>
        <w:rPr>
          <w:b/>
          <w:lang w:val="fr-FR"/>
        </w:rPr>
      </w:pPr>
      <w:r w:rsidRPr="00350AAB">
        <w:rPr>
          <w:b/>
          <w:lang w:val="fr-FR"/>
        </w:rPr>
        <w:t>Les résultats d’essais effectués sur un échantillon représentatif de la production du fabricant pour démontrer que les essais à l’intérieur donnent des résultats comparables aux essais en plein air avec un niveau de précision suffisant.</w:t>
      </w:r>
    </w:p>
    <w:p w:rsidR="00350AAB" w:rsidRPr="00350AAB" w:rsidRDefault="00350AAB" w:rsidP="008948D1">
      <w:pPr>
        <w:pStyle w:val="SingleTxtG"/>
        <w:keepNext/>
        <w:ind w:left="2268" w:hanging="1134"/>
        <w:rPr>
          <w:b/>
          <w:lang w:val="fr-FR"/>
        </w:rPr>
      </w:pPr>
      <w:r w:rsidRPr="00350AAB">
        <w:rPr>
          <w:b/>
          <w:lang w:val="fr-FR"/>
        </w:rPr>
        <w:t>2.</w:t>
      </w:r>
      <w:r w:rsidRPr="00350AAB">
        <w:rPr>
          <w:b/>
          <w:lang w:val="fr-FR"/>
        </w:rPr>
        <w:tab/>
      </w:r>
      <w:r w:rsidRPr="00350AAB">
        <w:rPr>
          <w:b/>
          <w:lang w:val="fr-FR"/>
        </w:rPr>
        <w:tab/>
        <w:t>Essais à l’intérieur selon la variante A</w:t>
      </w:r>
    </w:p>
    <w:p w:rsidR="00350AAB" w:rsidRPr="00350AAB" w:rsidRDefault="00350AAB" w:rsidP="00246BD4">
      <w:pPr>
        <w:pStyle w:val="SingleTxtG"/>
        <w:ind w:left="2268"/>
        <w:rPr>
          <w:b/>
          <w:lang w:val="fr-FR"/>
        </w:rPr>
      </w:pPr>
      <w:r w:rsidRPr="00350AAB">
        <w:rPr>
          <w:b/>
          <w:lang w:val="fr-FR"/>
        </w:rPr>
        <w:tab/>
        <w:t>Le bruit de passage simulé correspond à la somme énergétique du bruit du groupe motopropulseur sur le banc à rouleaux et du bruit de roulement (mesuré séparément sur une piste d’essai extérieure).</w:t>
      </w:r>
    </w:p>
    <w:p w:rsidR="00350AAB" w:rsidRPr="00350AAB" w:rsidRDefault="00350AAB" w:rsidP="008948D1">
      <w:pPr>
        <w:pStyle w:val="SingleTxtG"/>
        <w:keepNext/>
        <w:ind w:left="2268" w:hanging="1134"/>
        <w:rPr>
          <w:b/>
          <w:bCs/>
          <w:lang w:val="fr-FR"/>
        </w:rPr>
      </w:pPr>
      <w:r w:rsidRPr="00350AAB">
        <w:rPr>
          <w:b/>
          <w:lang w:val="fr-FR"/>
        </w:rPr>
        <w:t>2.1</w:t>
      </w:r>
      <w:r w:rsidRPr="00350AAB">
        <w:rPr>
          <w:b/>
          <w:lang w:val="fr-FR"/>
        </w:rPr>
        <w:tab/>
        <w:t>Considérations générales</w:t>
      </w:r>
    </w:p>
    <w:p w:rsidR="00350AAB" w:rsidRPr="00350AAB" w:rsidRDefault="00350AAB" w:rsidP="00246BD4">
      <w:pPr>
        <w:pStyle w:val="SingleTxtG"/>
        <w:ind w:left="2268"/>
        <w:rPr>
          <w:b/>
          <w:lang w:val="fr-FR"/>
        </w:rPr>
      </w:pPr>
      <w:r w:rsidRPr="00350AAB">
        <w:rPr>
          <w:b/>
          <w:lang w:val="fr-FR"/>
        </w:rPr>
        <w:tab/>
        <w:t xml:space="preserve">La méthode combine un essai à l’intérieur (bruit du groupe motopropulseur) et un essai à l’extérieur (bruit de roulement). Il n’est pas nécessaire de mesurer le bruit de roulement chaque fois qu’un véhicule est soumis à essai. Les données pour différents types de pneumatiques peuvent être enregistrées dans une base de données et être utilisées ultérieurement pour les essais. </w:t>
      </w:r>
    </w:p>
    <w:p w:rsidR="00350AAB" w:rsidRPr="00350AAB" w:rsidRDefault="00350AAB" w:rsidP="008948D1">
      <w:pPr>
        <w:pStyle w:val="SingleTxtG"/>
        <w:keepNext/>
        <w:ind w:left="2268" w:hanging="1134"/>
        <w:rPr>
          <w:b/>
          <w:bCs/>
          <w:lang w:val="fr-FR"/>
        </w:rPr>
      </w:pPr>
      <w:r w:rsidRPr="00350AAB">
        <w:rPr>
          <w:b/>
          <w:lang w:val="fr-FR"/>
        </w:rPr>
        <w:t>2.2</w:t>
      </w:r>
      <w:r w:rsidRPr="00350AAB">
        <w:rPr>
          <w:b/>
          <w:lang w:val="fr-FR"/>
        </w:rPr>
        <w:tab/>
      </w:r>
      <w:r w:rsidRPr="00350AAB">
        <w:rPr>
          <w:b/>
          <w:bCs/>
          <w:lang w:val="fr-FR"/>
        </w:rPr>
        <w:t>Bruit du groupe motopropulseur</w:t>
      </w:r>
    </w:p>
    <w:p w:rsidR="00350AAB" w:rsidRPr="00350AAB" w:rsidRDefault="00350AAB" w:rsidP="00246BD4">
      <w:pPr>
        <w:pStyle w:val="SingleTxtG"/>
        <w:ind w:left="2268"/>
        <w:rPr>
          <w:b/>
          <w:lang w:val="fr-FR"/>
        </w:rPr>
      </w:pPr>
      <w:r w:rsidRPr="00350AAB">
        <w:rPr>
          <w:b/>
          <w:lang w:val="fr-FR"/>
        </w:rPr>
        <w:tab/>
        <w:t>Il convient de veiller à ce que le bruit de roulement résiduel ne puisse pas fausser les résultats des mesures. Il convient également de veiller, dans tous les cas, à ce que le bruit de roulement résiduel soit inférieur d’au moins 10 dB au niveau sonore maximal pondéré selon la courbe A du véhicule soumis à l’essai. Si cette condition ne peut pas être remplie, une correction doit être effectuée. La procédure correspondante est décrite au paragraphe B.6 de l’annexe B de la norme ISO 36</w:t>
      </w:r>
      <w:r w:rsidR="000C1DC7">
        <w:rPr>
          <w:b/>
          <w:lang w:val="fr-FR"/>
        </w:rPr>
        <w:t>2-3</w:t>
      </w:r>
      <w:r w:rsidRPr="00350AAB">
        <w:rPr>
          <w:b/>
          <w:lang w:val="fr-FR"/>
        </w:rPr>
        <w:t>:2016.</w:t>
      </w:r>
    </w:p>
    <w:p w:rsidR="00350AAB" w:rsidRPr="00350AAB" w:rsidRDefault="00350AAB" w:rsidP="00246BD4">
      <w:pPr>
        <w:pStyle w:val="SingleTxtG"/>
        <w:ind w:left="2268"/>
        <w:rPr>
          <w:b/>
          <w:lang w:val="fr-FR"/>
        </w:rPr>
      </w:pPr>
      <w:r w:rsidRPr="00350AAB">
        <w:rPr>
          <w:b/>
          <w:lang w:val="fr-FR"/>
        </w:rPr>
        <w:tab/>
        <w:t xml:space="preserve">Le véhicule doit être soumis à essai conformément aux prescriptions des paragraphes 3.1.2.1 et 3.1.2.2 de l’annexe 3 du présent Règlement. </w:t>
      </w:r>
    </w:p>
    <w:p w:rsidR="00350AAB" w:rsidRPr="00350AAB" w:rsidRDefault="00350AAB" w:rsidP="008948D1">
      <w:pPr>
        <w:pStyle w:val="SingleTxtG"/>
        <w:keepNext/>
        <w:ind w:left="2268" w:hanging="1134"/>
        <w:rPr>
          <w:b/>
          <w:bCs/>
          <w:lang w:val="fr-FR"/>
        </w:rPr>
      </w:pPr>
      <w:r w:rsidRPr="00350AAB">
        <w:rPr>
          <w:b/>
          <w:lang w:val="fr-FR"/>
        </w:rPr>
        <w:t>2.3</w:t>
      </w:r>
      <w:r w:rsidRPr="00350AAB">
        <w:rPr>
          <w:b/>
          <w:lang w:val="fr-FR"/>
        </w:rPr>
        <w:tab/>
      </w:r>
      <w:r w:rsidRPr="00350AAB">
        <w:rPr>
          <w:b/>
          <w:lang w:val="fr-FR"/>
        </w:rPr>
        <w:tab/>
      </w:r>
      <w:r w:rsidRPr="00350AAB">
        <w:rPr>
          <w:b/>
          <w:bCs/>
          <w:lang w:val="fr-FR"/>
        </w:rPr>
        <w:t xml:space="preserve">Bruit de roulement </w:t>
      </w:r>
    </w:p>
    <w:p w:rsidR="00350AAB" w:rsidRPr="00350AAB" w:rsidRDefault="00350AAB" w:rsidP="008948D1">
      <w:pPr>
        <w:pStyle w:val="SingleTxtG"/>
        <w:keepNext/>
        <w:ind w:left="2268"/>
        <w:rPr>
          <w:b/>
          <w:lang w:val="fr-FR"/>
        </w:rPr>
      </w:pPr>
      <w:r w:rsidRPr="00350AAB">
        <w:rPr>
          <w:b/>
          <w:lang w:val="fr-FR"/>
        </w:rPr>
        <w:tab/>
        <w:t xml:space="preserve">Les mesures du bruit de roulement doivent être réalisées sur une piste d’essai conforme aux </w:t>
      </w:r>
      <w:r w:rsidRPr="000C1DC7">
        <w:rPr>
          <w:b/>
          <w:lang w:val="fr-FR"/>
        </w:rPr>
        <w:t>prescriptions</w:t>
      </w:r>
      <w:r w:rsidRPr="00350AAB">
        <w:rPr>
          <w:b/>
          <w:lang w:val="fr-FR"/>
        </w:rPr>
        <w:t xml:space="preserve"> du paragraphe 2.1.1 de l’annexe 3 du présent Règlement. L’évaluation du bruit de roulement comprend : </w:t>
      </w:r>
    </w:p>
    <w:p w:rsidR="00350AAB" w:rsidRPr="00350AAB" w:rsidRDefault="00350AAB" w:rsidP="008948D1">
      <w:pPr>
        <w:pStyle w:val="SingleTxtG"/>
        <w:keepNext/>
        <w:ind w:left="2835" w:hanging="567"/>
        <w:rPr>
          <w:b/>
          <w:lang w:val="fr-FR"/>
        </w:rPr>
      </w:pPr>
      <w:r w:rsidRPr="00350AAB">
        <w:rPr>
          <w:b/>
          <w:lang w:val="fr-FR"/>
        </w:rPr>
        <w:t>a)</w:t>
      </w:r>
      <w:r w:rsidRPr="00350AAB">
        <w:rPr>
          <w:b/>
          <w:lang w:val="fr-FR"/>
        </w:rPr>
        <w:tab/>
        <w:t>L’évaluation du bruit de roulement en roue libre ;</w:t>
      </w:r>
    </w:p>
    <w:p w:rsidR="00350AAB" w:rsidRPr="00350AAB" w:rsidRDefault="00350AAB" w:rsidP="00246BD4">
      <w:pPr>
        <w:pStyle w:val="SingleTxtG"/>
        <w:ind w:left="2835" w:hanging="567"/>
        <w:rPr>
          <w:b/>
          <w:lang w:val="fr-FR"/>
        </w:rPr>
      </w:pPr>
      <w:r w:rsidRPr="00350AAB">
        <w:rPr>
          <w:b/>
          <w:lang w:val="fr-FR"/>
        </w:rPr>
        <w:t>b)</w:t>
      </w:r>
      <w:r w:rsidRPr="00350AAB">
        <w:rPr>
          <w:b/>
          <w:lang w:val="fr-FR"/>
        </w:rPr>
        <w:tab/>
        <w:t>L’évaluation du bruit de roulement, y compris de l’influence du couple, qui peut être déduite de a) par une méthode simplifiée.</w:t>
      </w:r>
    </w:p>
    <w:p w:rsidR="00350AAB" w:rsidRPr="00350AAB" w:rsidRDefault="00350AAB" w:rsidP="00246BD4">
      <w:pPr>
        <w:pStyle w:val="SingleTxtG"/>
        <w:ind w:left="2268"/>
        <w:rPr>
          <w:b/>
          <w:lang w:val="fr-FR"/>
        </w:rPr>
      </w:pPr>
      <w:r w:rsidRPr="00350AAB">
        <w:rPr>
          <w:b/>
          <w:lang w:val="fr-FR"/>
        </w:rPr>
        <w:tab/>
        <w:t xml:space="preserve">Le bruit de roulement doit être évalué conformément aux prescriptions du paragraphe 3 de la présente annexe. </w:t>
      </w:r>
    </w:p>
    <w:p w:rsidR="00350AAB" w:rsidRPr="00350AAB" w:rsidRDefault="00350AAB" w:rsidP="008948D1">
      <w:pPr>
        <w:pStyle w:val="SingleTxtG"/>
        <w:keepNext/>
        <w:ind w:left="2268" w:hanging="1134"/>
        <w:rPr>
          <w:b/>
          <w:bCs/>
          <w:lang w:val="fr-FR"/>
        </w:rPr>
      </w:pPr>
      <w:r w:rsidRPr="00350AAB">
        <w:rPr>
          <w:b/>
          <w:lang w:val="fr-FR"/>
        </w:rPr>
        <w:t>2.4</w:t>
      </w:r>
      <w:r w:rsidRPr="00350AAB">
        <w:rPr>
          <w:b/>
          <w:lang w:val="fr-FR"/>
        </w:rPr>
        <w:tab/>
      </w:r>
      <w:r w:rsidRPr="00350AAB">
        <w:rPr>
          <w:b/>
          <w:lang w:val="fr-FR"/>
        </w:rPr>
        <w:tab/>
      </w:r>
      <w:r w:rsidRPr="00350AAB">
        <w:rPr>
          <w:b/>
          <w:bCs/>
          <w:lang w:val="fr-FR"/>
        </w:rPr>
        <w:t>Calcul du bruit total émis par le véhicule</w:t>
      </w:r>
    </w:p>
    <w:p w:rsidR="00350AAB" w:rsidRPr="00350AAB" w:rsidRDefault="00350AAB" w:rsidP="008948D1">
      <w:pPr>
        <w:pStyle w:val="SingleTxtG"/>
        <w:ind w:left="2268"/>
        <w:rPr>
          <w:b/>
          <w:lang w:val="fr-FR"/>
        </w:rPr>
      </w:pPr>
      <w:r w:rsidRPr="00350AAB">
        <w:rPr>
          <w:b/>
          <w:lang w:val="fr-FR"/>
        </w:rPr>
        <w:tab/>
        <w:t>Le bruit total émis par le véhicule correspond à la somme énergétique du bruit de roulement et du bruit du groupe motopropulseur. Il doit être calculé pour chaque cycle conformément au paragrap</w:t>
      </w:r>
      <w:r w:rsidR="000C1DC7">
        <w:rPr>
          <w:b/>
          <w:lang w:val="fr-FR"/>
        </w:rPr>
        <w:t>he 10.2.4 de la norme ISO 362-3</w:t>
      </w:r>
      <w:r w:rsidRPr="00350AAB">
        <w:rPr>
          <w:b/>
          <w:lang w:val="fr-FR"/>
        </w:rPr>
        <w:t xml:space="preserve">:2016. </w:t>
      </w:r>
    </w:p>
    <w:p w:rsidR="00350AAB" w:rsidRPr="00350AAB" w:rsidRDefault="00350AAB" w:rsidP="009C37F5">
      <w:pPr>
        <w:pStyle w:val="SingleTxtG"/>
        <w:ind w:left="2268" w:hanging="1134"/>
        <w:rPr>
          <w:b/>
          <w:lang w:val="fr-FR"/>
        </w:rPr>
      </w:pPr>
      <w:r w:rsidRPr="00350AAB">
        <w:rPr>
          <w:b/>
          <w:lang w:val="fr-FR"/>
        </w:rPr>
        <w:t>3.</w:t>
      </w:r>
      <w:r w:rsidRPr="00350AAB">
        <w:rPr>
          <w:b/>
          <w:lang w:val="fr-FR"/>
        </w:rPr>
        <w:tab/>
      </w:r>
      <w:r w:rsidRPr="00350AAB">
        <w:rPr>
          <w:b/>
          <w:lang w:val="fr-FR"/>
        </w:rPr>
        <w:tab/>
        <w:t>Mesure, évaluation et calcul du bruit de roulement selon la variante A</w:t>
      </w:r>
    </w:p>
    <w:p w:rsidR="00350AAB" w:rsidRPr="00350AAB" w:rsidRDefault="00350AAB" w:rsidP="008948D1">
      <w:pPr>
        <w:pStyle w:val="SingleTxtG"/>
        <w:ind w:left="2268"/>
        <w:rPr>
          <w:b/>
          <w:lang w:val="fr-FR"/>
        </w:rPr>
      </w:pPr>
      <w:r w:rsidRPr="00350AAB">
        <w:rPr>
          <w:b/>
          <w:lang w:val="fr-FR"/>
        </w:rPr>
        <w:tab/>
        <w:t>Les prescriptions relatives à l’évaluation du bruit de roulement, du bruit de roulement en roue libre et de l’influence du couple sont énoncées à l</w:t>
      </w:r>
      <w:r w:rsidR="000C1DC7">
        <w:rPr>
          <w:b/>
          <w:lang w:val="fr-FR"/>
        </w:rPr>
        <w:t>’annexe B de la norme ISO 362-3</w:t>
      </w:r>
      <w:r w:rsidRPr="00350AAB">
        <w:rPr>
          <w:b/>
          <w:lang w:val="fr-FR"/>
        </w:rPr>
        <w:t>:2016.</w:t>
      </w:r>
    </w:p>
    <w:p w:rsidR="00350AAB" w:rsidRPr="00350AAB" w:rsidRDefault="00350AAB" w:rsidP="000C1DC7">
      <w:pPr>
        <w:pStyle w:val="SingleTxtG"/>
        <w:keepNext/>
        <w:keepLines/>
        <w:ind w:left="2268" w:hanging="1134"/>
        <w:rPr>
          <w:b/>
          <w:lang w:val="fr-FR"/>
        </w:rPr>
      </w:pPr>
      <w:r w:rsidRPr="00350AAB">
        <w:rPr>
          <w:b/>
          <w:lang w:val="fr-FR"/>
        </w:rPr>
        <w:t>4.</w:t>
      </w:r>
      <w:r w:rsidRPr="00350AAB">
        <w:rPr>
          <w:b/>
          <w:lang w:val="fr-FR"/>
        </w:rPr>
        <w:tab/>
      </w:r>
      <w:r w:rsidRPr="00350AAB">
        <w:rPr>
          <w:b/>
          <w:lang w:val="fr-FR"/>
        </w:rPr>
        <w:tab/>
        <w:t xml:space="preserve">Ajustement des dimensions du local d’essai </w:t>
      </w:r>
    </w:p>
    <w:p w:rsidR="00350AAB" w:rsidRPr="00350AAB" w:rsidRDefault="00350AAB" w:rsidP="000C1DC7">
      <w:pPr>
        <w:pStyle w:val="SingleTxtG"/>
        <w:keepNext/>
        <w:keepLines/>
        <w:ind w:left="2268"/>
        <w:rPr>
          <w:lang w:val="fr-FR"/>
        </w:rPr>
      </w:pPr>
      <w:r w:rsidRPr="00350AAB">
        <w:rPr>
          <w:b/>
          <w:lang w:val="fr-FR"/>
        </w:rPr>
        <w:tab/>
        <w:t>Dans le cas de locaux d’essai de petite taille, conformément aux prescriptions de l’annexe E de la norme ISO 362-3:2016, il convient de procéder avec minutie pour évaluer les niveaux maximums afin de ne pas les manquer.</w:t>
      </w:r>
      <w:r w:rsidRPr="00350AAB">
        <w:rPr>
          <w:lang w:val="fr-FR"/>
        </w:rPr>
        <w:t> ».</w:t>
      </w:r>
    </w:p>
    <w:p w:rsidR="00350AAB" w:rsidRPr="00350AAB" w:rsidRDefault="00350AAB" w:rsidP="00246BD4">
      <w:pPr>
        <w:pStyle w:val="HChG"/>
      </w:pPr>
      <w:r w:rsidRPr="00350AAB">
        <w:rPr>
          <w:lang w:val="fr-FR"/>
        </w:rPr>
        <w:br w:type="page"/>
      </w:r>
      <w:r w:rsidR="00246BD4">
        <w:t>Annexe III</w:t>
      </w:r>
    </w:p>
    <w:p w:rsidR="00350AAB" w:rsidRPr="00350AAB" w:rsidRDefault="00350AAB" w:rsidP="00246BD4">
      <w:pPr>
        <w:pStyle w:val="HChG"/>
        <w:rPr>
          <w:lang w:val="fr-FR"/>
        </w:rPr>
      </w:pPr>
      <w:r w:rsidRPr="00350AAB">
        <w:tab/>
      </w:r>
      <w:r w:rsidRPr="00350AAB">
        <w:tab/>
      </w:r>
      <w:r w:rsidRPr="00350AAB">
        <w:rPr>
          <w:lang w:val="fr-FR"/>
        </w:rPr>
        <w:t xml:space="preserve">Amendements au Règlement </w:t>
      </w:r>
      <w:r w:rsidR="00246BD4" w:rsidRPr="00246BD4">
        <w:rPr>
          <w:rFonts w:eastAsia="MS Mincho"/>
          <w:lang w:val="fr-FR"/>
        </w:rPr>
        <w:t>n</w:t>
      </w:r>
      <w:r w:rsidR="00246BD4" w:rsidRPr="00246BD4">
        <w:rPr>
          <w:rFonts w:eastAsia="MS Mincho"/>
          <w:vertAlign w:val="superscript"/>
          <w:lang w:val="fr-FR"/>
        </w:rPr>
        <w:t>o</w:t>
      </w:r>
      <w:r w:rsidR="00246BD4">
        <w:rPr>
          <w:lang w:val="fr-FR"/>
        </w:rPr>
        <w:t> </w:t>
      </w:r>
      <w:r w:rsidRPr="00350AAB">
        <w:rPr>
          <w:lang w:val="fr-FR"/>
        </w:rPr>
        <w:t>51 qui ont été adoptés (ECE/TRANS/WP.29/GRB/2018/2)</w:t>
      </w:r>
    </w:p>
    <w:p w:rsidR="00350AAB" w:rsidRPr="00350AAB" w:rsidRDefault="00350AAB" w:rsidP="00246BD4">
      <w:pPr>
        <w:pStyle w:val="SingleTxtG"/>
        <w:keepNext/>
        <w:ind w:left="2268" w:hanging="1134"/>
        <w:rPr>
          <w:i/>
          <w:lang w:val="fr-FR"/>
        </w:rPr>
      </w:pPr>
      <w:r w:rsidRPr="00350AAB">
        <w:rPr>
          <w:i/>
          <w:iCs/>
          <w:lang w:val="fr-FR"/>
        </w:rPr>
        <w:t>Annexe 3</w:t>
      </w:r>
      <w:r w:rsidRPr="00350AAB">
        <w:rPr>
          <w:lang w:val="fr-FR"/>
        </w:rPr>
        <w:t>,</w:t>
      </w:r>
    </w:p>
    <w:p w:rsidR="00350AAB" w:rsidRPr="00350AAB" w:rsidRDefault="00350AAB" w:rsidP="00246BD4">
      <w:pPr>
        <w:pStyle w:val="SingleTxtG"/>
        <w:keepNext/>
        <w:ind w:left="2268" w:hanging="1134"/>
        <w:rPr>
          <w:lang w:val="fr-FR"/>
        </w:rPr>
      </w:pPr>
      <w:r w:rsidRPr="00350AAB">
        <w:rPr>
          <w:i/>
          <w:iCs/>
          <w:lang w:val="fr-FR"/>
        </w:rPr>
        <w:t>Paragraphe 3.1.2.1.4.1</w:t>
      </w:r>
      <w:r w:rsidRPr="00350AAB">
        <w:rPr>
          <w:lang w:val="fr-FR"/>
        </w:rPr>
        <w:t>, ajouter un nouveau point e), libellé comme suit :</w:t>
      </w:r>
    </w:p>
    <w:p w:rsidR="00350AAB" w:rsidRPr="00350AAB" w:rsidRDefault="00350AAB" w:rsidP="00246BD4">
      <w:pPr>
        <w:pStyle w:val="SingleTxtG"/>
        <w:ind w:left="2268" w:hanging="1134"/>
        <w:rPr>
          <w:lang w:val="fr-FR"/>
        </w:rPr>
      </w:pPr>
      <w:r w:rsidRPr="00350AAB">
        <w:rPr>
          <w:lang w:val="fr-FR"/>
        </w:rPr>
        <w:t xml:space="preserve">« 3.1.2.1.4.1 </w:t>
      </w:r>
      <w:r w:rsidRPr="00350AAB">
        <w:rPr>
          <w:lang w:val="fr-FR"/>
        </w:rPr>
        <w:tab/>
        <w:t>Véhicules équipés d’une boîte de vitesses manuelle, d’une boîte de vitesses automatique, d’une transmission adaptative ou d’une transmission à variation continue (TVC) et soumis à l’essai rapports bloqués</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ab/>
        <w:t xml:space="preserve">… </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b/>
          <w:lang w:val="fr-FR"/>
        </w:rPr>
        <w:t>e)</w:t>
      </w:r>
      <w:r w:rsidRPr="00350AAB">
        <w:rPr>
          <w:b/>
          <w:lang w:val="fr-FR"/>
        </w:rPr>
        <w:tab/>
        <w:t>Si aucun rapport de transmission n’est disponible avec une accélération inférieure à 2,0 m/s², le constructeur doit, dans la mesure du possible, s’efforcer d’éviter toute accélération a</w:t>
      </w:r>
      <w:r w:rsidRPr="00350AAB">
        <w:rPr>
          <w:b/>
          <w:vertAlign w:val="subscript"/>
          <w:lang w:val="fr-FR"/>
        </w:rPr>
        <w:t>wot</w:t>
      </w:r>
      <w:r w:rsidRPr="00350AAB">
        <w:rPr>
          <w:b/>
          <w:lang w:val="fr-FR"/>
        </w:rPr>
        <w:t xml:space="preserve"> test supérieure à 2,0 m/s².</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b/>
          <w:lang w:val="fr-FR"/>
        </w:rPr>
        <w:tab/>
        <w:t>Le tableau 1 de l’appendice de l’annexe 3 donne des exemples de solutions valables pour le contrôle du rétrogradage ou pour éviter les accélérations supérieures à 2,0 m/s². Dans chaque cas, la solution choisie par le constructeur doit être consignée dans le procès-verbal d’essai.</w:t>
      </w:r>
      <w:r w:rsidRPr="00350AAB">
        <w:rPr>
          <w:lang w:val="fr-FR"/>
        </w:rPr>
        <w:t> ».</w:t>
      </w:r>
    </w:p>
    <w:p w:rsidR="00350AAB" w:rsidRPr="00350AAB" w:rsidRDefault="00350AAB" w:rsidP="00246BD4">
      <w:pPr>
        <w:pStyle w:val="SingleTxtG"/>
        <w:keepNext/>
        <w:ind w:left="2268" w:hanging="1134"/>
        <w:rPr>
          <w:lang w:val="fr-FR"/>
        </w:rPr>
      </w:pPr>
      <w:r w:rsidRPr="00350AAB">
        <w:rPr>
          <w:i/>
          <w:iCs/>
          <w:lang w:val="fr-FR"/>
        </w:rPr>
        <w:t>Paragraphe 3.1.2.1.4.2</w:t>
      </w:r>
      <w:r w:rsidRPr="00350AAB">
        <w:rPr>
          <w:lang w:val="fr-FR"/>
        </w:rPr>
        <w:t>, modifier comme suit :</w:t>
      </w:r>
    </w:p>
    <w:p w:rsidR="00350AAB" w:rsidRPr="00350AAB" w:rsidRDefault="00350AAB" w:rsidP="008948D1">
      <w:pPr>
        <w:pStyle w:val="SingleTxtG"/>
        <w:ind w:left="2268" w:hanging="1134"/>
        <w:rPr>
          <w:lang w:val="fr-FR"/>
        </w:rPr>
      </w:pPr>
      <w:r w:rsidRPr="00350AAB">
        <w:rPr>
          <w:lang w:val="fr-FR"/>
        </w:rPr>
        <w:t xml:space="preserve">« 3.1.2.1.4.2 </w:t>
      </w:r>
      <w:r w:rsidRPr="00350AAB">
        <w:rPr>
          <w:lang w:val="fr-FR"/>
        </w:rPr>
        <w:tab/>
        <w:t>Véhicules équipés d’une boîte de vitesses automatique, d’une transmission adaptative ou d’une transmission à variation continue (TVC) et soumis à l’essai rapports non bloqués :</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Il est donc autorisé d’installer et d’utiliser un dispositif électronique ou mécanique, voire de changer la position du sélecteur, pour empêcher le rétrogradage sur un rapport qui n’est généralement pas utilisé dans les conditions d’essai en conduite urbaine.</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Dans la mesure du possible, le constructeur doit prendre des mesures pour éviter toute accélération a</w:t>
      </w:r>
      <w:r w:rsidRPr="00350AAB">
        <w:rPr>
          <w:vertAlign w:val="subscript"/>
          <w:lang w:val="fr-FR"/>
        </w:rPr>
        <w:t>wot</w:t>
      </w:r>
      <w:r w:rsidRPr="00350AAB">
        <w:rPr>
          <w:lang w:val="fr-FR"/>
        </w:rPr>
        <w:t xml:space="preserve"> test supérieure à 2,0 m/s</w:t>
      </w:r>
      <w:r w:rsidRPr="00350AAB">
        <w:rPr>
          <w:vertAlign w:val="superscript"/>
          <w:lang w:val="fr-FR"/>
        </w:rPr>
        <w:t>2</w:t>
      </w:r>
      <w:r w:rsidRPr="00350AAB">
        <w:rPr>
          <w:lang w:val="fr-FR"/>
        </w:rPr>
        <w:t>.</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b/>
          <w:lang w:val="fr-FR"/>
        </w:rPr>
        <w:t>Le tableau 1 de l’appendice de l’annexe</w:t>
      </w:r>
      <w:r w:rsidR="008948D1">
        <w:rPr>
          <w:b/>
          <w:lang w:val="fr-FR"/>
        </w:rPr>
        <w:t> </w:t>
      </w:r>
      <w:r w:rsidRPr="00350AAB">
        <w:rPr>
          <w:b/>
          <w:lang w:val="fr-FR"/>
        </w:rPr>
        <w:t>3 donne des exemples de solutions valables pour le contrôle du rétrogradage ou pour éviter les accélérations supérieures à 2,0 m/s². Dans chaque cas, la solution choisie par le constructeur doit être consignée dans le procès-verbal d’essai.</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lang w:val="fr-FR"/>
        </w:rPr>
        <w:tab/>
        <w:t>… ».</w:t>
      </w:r>
    </w:p>
    <w:p w:rsidR="00350AAB" w:rsidRPr="00350AAB" w:rsidRDefault="00350AAB" w:rsidP="00246BD4">
      <w:pPr>
        <w:pStyle w:val="SingleTxtG"/>
        <w:keepNext/>
        <w:ind w:left="2268" w:hanging="1134"/>
        <w:rPr>
          <w:b/>
          <w:lang w:val="fr-FR"/>
        </w:rPr>
      </w:pPr>
      <w:r w:rsidRPr="00350AAB">
        <w:rPr>
          <w:i/>
          <w:iCs/>
          <w:lang w:val="fr-FR"/>
        </w:rPr>
        <w:t>Paragraphe 3.1.2.1.4.3</w:t>
      </w:r>
      <w:r w:rsidRPr="00350AAB">
        <w:rPr>
          <w:lang w:val="fr-FR"/>
        </w:rPr>
        <w:t>, modifier comme suit :</w:t>
      </w:r>
    </w:p>
    <w:p w:rsidR="00350AAB" w:rsidRPr="00350AAB" w:rsidRDefault="00350AAB" w:rsidP="008948D1">
      <w:pPr>
        <w:pStyle w:val="SingleTxtG"/>
        <w:keepNext/>
        <w:ind w:left="2268" w:hanging="1134"/>
        <w:rPr>
          <w:lang w:val="fr-FR"/>
        </w:rPr>
      </w:pPr>
      <w:r w:rsidRPr="00350AAB">
        <w:rPr>
          <w:lang w:val="fr-FR"/>
        </w:rPr>
        <w:t>« 3.1.2.1.4.3</w:t>
      </w:r>
      <w:r w:rsidRPr="00350AAB">
        <w:rPr>
          <w:lang w:val="fr-FR"/>
        </w:rPr>
        <w:tab/>
        <w:t>Véhicules avec un seul rapport, similaires, mais non exclusivement, aux véhicules électriques à batterie (VEB) et aux véhicules à pile à combustible.</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Dans la mesure du possible, le constructeur doit prendre des mesures pour éviter toute accélération a</w:t>
      </w:r>
      <w:r w:rsidRPr="00350AAB">
        <w:rPr>
          <w:vertAlign w:val="subscript"/>
          <w:lang w:val="fr-FR"/>
        </w:rPr>
        <w:t>wot test</w:t>
      </w:r>
      <w:r w:rsidRPr="00350AAB">
        <w:rPr>
          <w:lang w:val="fr-FR"/>
        </w:rPr>
        <w:t xml:space="preserve"> supérieure à 2,0 m/s</w:t>
      </w:r>
      <w:r w:rsidRPr="00350AAB">
        <w:rPr>
          <w:vertAlign w:val="superscript"/>
          <w:lang w:val="fr-FR"/>
        </w:rPr>
        <w:t>2</w:t>
      </w:r>
      <w:r w:rsidRPr="00350AAB">
        <w:rPr>
          <w:lang w:val="fr-FR"/>
        </w:rPr>
        <w:t>.</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b/>
          <w:bCs/>
          <w:lang w:val="fr-FR"/>
        </w:rPr>
        <w:t>Le tableau 1 de l’appendice de l’annexe 3 donne des exemples de solutions propres à éviter les accélérations supérieures à 2,0 m/s².</w:t>
      </w:r>
      <w:r w:rsidRPr="00350AAB">
        <w:rPr>
          <w:lang w:val="fr-FR"/>
        </w:rPr>
        <w:t xml:space="preserve"> </w:t>
      </w:r>
      <w:r w:rsidRPr="00350AAB">
        <w:rPr>
          <w:b/>
          <w:bCs/>
          <w:lang w:val="fr-FR"/>
        </w:rPr>
        <w:t>La solution choisie par le constructeur doit être consignée dans le procès-verbal d’essai.</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lang w:val="fr-FR"/>
        </w:rPr>
        <w:tab/>
        <w:t>… ».</w:t>
      </w:r>
    </w:p>
    <w:p w:rsidR="00350AAB" w:rsidRPr="00350AAB" w:rsidRDefault="00350AAB" w:rsidP="00246BD4">
      <w:pPr>
        <w:pStyle w:val="SingleTxtG"/>
        <w:keepNext/>
        <w:ind w:left="2268" w:hanging="1134"/>
        <w:rPr>
          <w:lang w:val="fr-FR"/>
        </w:rPr>
      </w:pPr>
      <w:r w:rsidRPr="00350AAB">
        <w:rPr>
          <w:i/>
          <w:iCs/>
          <w:lang w:val="fr-FR"/>
        </w:rPr>
        <w:t>Paragraphe 3.1.2.2.1.2</w:t>
      </w:r>
      <w:r w:rsidRPr="00350AAB">
        <w:rPr>
          <w:lang w:val="fr-FR"/>
        </w:rPr>
        <w:t>, modifier comme suit :</w:t>
      </w:r>
    </w:p>
    <w:p w:rsidR="00350AAB" w:rsidRPr="00350AAB" w:rsidRDefault="00350AAB" w:rsidP="008948D1">
      <w:pPr>
        <w:pStyle w:val="SingleTxtG"/>
        <w:keepNext/>
        <w:ind w:left="2268" w:hanging="1134"/>
        <w:rPr>
          <w:lang w:val="fr-FR"/>
        </w:rPr>
      </w:pPr>
      <w:r w:rsidRPr="00350AAB">
        <w:rPr>
          <w:lang w:val="fr-FR"/>
        </w:rPr>
        <w:t>« 3.1.2.2.1.2</w:t>
      </w:r>
      <w:r w:rsidRPr="00350AAB">
        <w:rPr>
          <w:lang w:val="fr-FR"/>
        </w:rPr>
        <w:tab/>
        <w:t>Transmissions automatiques, transmissions adaptatives ou transmissions à variation continue soumises à essai rapports non bloqués</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Le sélecteur de vitesse est placé en mode automatique intégral.</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Au cours de l’essai, il peut y avoir passage à un rapport inférieur et à une accélération plus forte. Par contre, le passage à un rapport supérieur avec une accélération plus faible n’est pas admis. Dans tous les cas, il faut éviter de passer à un rapport qui n’est généralement pas utilisé dans la situation prévue par le constructeur en ce qui concerne la conduite urbaine.</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Il est donc permis d’installer et d’utiliser un dispositif électronique ou mécanique, voire de changer la position du sélecteur, pour éviter tout rétrogradage sur un rapport inhabituel en conduite urbaine, conformément aux spécifications du constructeur.</w:t>
      </w:r>
    </w:p>
    <w:p w:rsidR="00350AAB" w:rsidRPr="00350AAB" w:rsidRDefault="00350AAB" w:rsidP="008948D1">
      <w:pPr>
        <w:kinsoku/>
        <w:overflowPunct/>
        <w:autoSpaceDE/>
        <w:autoSpaceDN/>
        <w:adjustRightInd/>
        <w:snapToGrid/>
        <w:spacing w:before="120" w:after="120"/>
        <w:ind w:left="2268" w:right="1134"/>
        <w:jc w:val="both"/>
        <w:rPr>
          <w:b/>
          <w:lang w:val="fr-FR"/>
        </w:rPr>
      </w:pPr>
      <w:r w:rsidRPr="00350AAB">
        <w:rPr>
          <w:b/>
          <w:bCs/>
          <w:lang w:val="fr-FR"/>
        </w:rPr>
        <w:t>Le tableau</w:t>
      </w:r>
      <w:r w:rsidR="00A824EF">
        <w:rPr>
          <w:b/>
          <w:bCs/>
          <w:lang w:val="fr-FR"/>
        </w:rPr>
        <w:t> </w:t>
      </w:r>
      <w:r w:rsidRPr="00350AAB">
        <w:rPr>
          <w:b/>
          <w:bCs/>
          <w:lang w:val="fr-FR"/>
        </w:rPr>
        <w:t>1 de l’appendice de l’annexe</w:t>
      </w:r>
      <w:r w:rsidR="008948D1">
        <w:rPr>
          <w:b/>
          <w:bCs/>
          <w:lang w:val="fr-FR"/>
        </w:rPr>
        <w:t> </w:t>
      </w:r>
      <w:r w:rsidRPr="00350AAB">
        <w:rPr>
          <w:b/>
          <w:bCs/>
          <w:lang w:val="fr-FR"/>
        </w:rPr>
        <w:t>3 donne des exemples de solutions valables pour le contrôle du rétrogradage.</w:t>
      </w:r>
      <w:r w:rsidRPr="00350AAB">
        <w:rPr>
          <w:lang w:val="fr-FR"/>
        </w:rPr>
        <w:t xml:space="preserve"> </w:t>
      </w:r>
      <w:r w:rsidRPr="00350AAB">
        <w:rPr>
          <w:b/>
          <w:bCs/>
          <w:lang w:val="fr-FR"/>
        </w:rPr>
        <w:t>La solution choisie par le constructeur doit être consignée dans le procès-verbal d’essai.</w:t>
      </w:r>
      <w:r w:rsidRPr="00350AAB">
        <w:rPr>
          <w:lang w:val="fr-FR"/>
        </w:rPr>
        <w:t xml:space="preserve"> </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ab/>
        <w:t>… ».</w:t>
      </w:r>
    </w:p>
    <w:p w:rsidR="00350AAB" w:rsidRPr="00350AAB" w:rsidRDefault="00350AAB" w:rsidP="00246BD4">
      <w:pPr>
        <w:pStyle w:val="SingleTxtG"/>
        <w:keepNext/>
        <w:ind w:left="2268" w:hanging="1134"/>
        <w:rPr>
          <w:lang w:val="fr-FR"/>
        </w:rPr>
      </w:pPr>
      <w:r w:rsidRPr="00350AAB">
        <w:rPr>
          <w:i/>
          <w:iCs/>
          <w:lang w:val="fr-FR"/>
        </w:rPr>
        <w:t>Appendice de l’annexe</w:t>
      </w:r>
      <w:r w:rsidR="008948D1">
        <w:rPr>
          <w:i/>
          <w:iCs/>
          <w:lang w:val="fr-FR"/>
        </w:rPr>
        <w:t> </w:t>
      </w:r>
      <w:r w:rsidRPr="00350AAB">
        <w:rPr>
          <w:i/>
          <w:iCs/>
          <w:lang w:val="fr-FR"/>
        </w:rPr>
        <w:t>3</w:t>
      </w:r>
      <w:r w:rsidRPr="00350AAB">
        <w:rPr>
          <w:lang w:val="fr-FR"/>
        </w:rPr>
        <w:t>, ajouter à la fin le tableau suivant :</w:t>
      </w:r>
    </w:p>
    <w:p w:rsidR="00350AAB" w:rsidRPr="00246BD4" w:rsidRDefault="00350AAB" w:rsidP="00246BD4">
      <w:pPr>
        <w:pStyle w:val="Heading1"/>
        <w:spacing w:before="120" w:after="240"/>
        <w:rPr>
          <w:b/>
          <w:lang w:val="fr-FR"/>
        </w:rPr>
      </w:pPr>
      <w:r w:rsidRPr="00350AAB">
        <w:rPr>
          <w:lang w:val="fr-FR"/>
        </w:rPr>
        <w:t>« Tableau 1</w:t>
      </w:r>
      <w:r w:rsidRPr="00350AAB">
        <w:rPr>
          <w:lang w:val="fr-FR"/>
        </w:rPr>
        <w:br/>
      </w:r>
      <w:r w:rsidRPr="00246BD4">
        <w:rPr>
          <w:b/>
          <w:lang w:val="fr-FR"/>
        </w:rPr>
        <w:t xml:space="preserve">Exemples de dispositifs et de solutions propres à </w:t>
      </w:r>
      <w:r w:rsidR="00246BD4">
        <w:rPr>
          <w:b/>
          <w:lang w:val="fr-FR"/>
        </w:rPr>
        <w:t>permettre l’essai d’un véhicule</w:t>
      </w:r>
      <w:r w:rsidR="00246BD4">
        <w:rPr>
          <w:b/>
          <w:lang w:val="fr-FR"/>
        </w:rPr>
        <w:br/>
      </w:r>
      <w:r w:rsidRPr="00246BD4">
        <w:rPr>
          <w:b/>
          <w:lang w:val="fr-FR"/>
        </w:rPr>
        <w:t>dans les limites d’accélération</w:t>
      </w:r>
    </w:p>
    <w:tbl>
      <w:tblPr>
        <w:tblW w:w="7366" w:type="dxa"/>
        <w:jc w:val="center"/>
        <w:tblLayout w:type="fixed"/>
        <w:tblCellMar>
          <w:left w:w="70" w:type="dxa"/>
          <w:right w:w="70" w:type="dxa"/>
        </w:tblCellMar>
        <w:tblLook w:val="04A0" w:firstRow="1" w:lastRow="0" w:firstColumn="1" w:lastColumn="0" w:noHBand="0" w:noVBand="1"/>
      </w:tblPr>
      <w:tblGrid>
        <w:gridCol w:w="421"/>
        <w:gridCol w:w="1562"/>
        <w:gridCol w:w="425"/>
        <w:gridCol w:w="2552"/>
        <w:gridCol w:w="2406"/>
      </w:tblGrid>
      <w:tr w:rsidR="00350AAB" w:rsidRPr="008948D1" w:rsidTr="000C1DC7">
        <w:trPr>
          <w:cantSplit/>
          <w:trHeight w:val="476"/>
          <w:tblHeader/>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350AAB" w:rsidRPr="008948D1" w:rsidRDefault="00350AAB" w:rsidP="008948D1">
            <w:pPr>
              <w:spacing w:before="80" w:after="80" w:line="200" w:lineRule="exact"/>
              <w:rPr>
                <w:b/>
                <w:bCs/>
                <w:i/>
                <w:color w:val="000000"/>
                <w:sz w:val="16"/>
                <w:szCs w:val="16"/>
              </w:rPr>
            </w:pPr>
            <w:r w:rsidRPr="008948D1">
              <w:rPr>
                <w:b/>
                <w:bCs/>
                <w:i/>
                <w:iCs/>
                <w:sz w:val="16"/>
                <w:szCs w:val="16"/>
                <w:lang w:val="fr-FR"/>
              </w:rPr>
              <w:t>N</w:t>
            </w:r>
            <w:r w:rsidRPr="008948D1">
              <w:rPr>
                <w:b/>
                <w:bCs/>
                <w:i/>
                <w:iCs/>
                <w:sz w:val="16"/>
                <w:szCs w:val="16"/>
                <w:vertAlign w:val="superscript"/>
                <w:lang w:val="fr-FR"/>
              </w:rPr>
              <w:t>o</w:t>
            </w:r>
          </w:p>
        </w:tc>
        <w:tc>
          <w:tcPr>
            <w:tcW w:w="1562" w:type="dxa"/>
            <w:tcBorders>
              <w:top w:val="single" w:sz="4" w:space="0" w:color="auto"/>
              <w:left w:val="nil"/>
              <w:bottom w:val="single" w:sz="12" w:space="0" w:color="auto"/>
              <w:right w:val="single" w:sz="4" w:space="0" w:color="auto"/>
            </w:tcBorders>
            <w:shd w:val="clear" w:color="auto" w:fill="FFFFFF"/>
            <w:vAlign w:val="center"/>
            <w:hideMark/>
          </w:tcPr>
          <w:p w:rsidR="00350AAB" w:rsidRPr="008948D1" w:rsidRDefault="00350AAB" w:rsidP="008948D1">
            <w:pPr>
              <w:spacing w:before="80" w:after="80" w:line="200" w:lineRule="exact"/>
              <w:rPr>
                <w:b/>
                <w:bCs/>
                <w:i/>
                <w:color w:val="000000"/>
                <w:sz w:val="16"/>
                <w:szCs w:val="16"/>
              </w:rPr>
            </w:pPr>
            <w:r w:rsidRPr="008948D1">
              <w:rPr>
                <w:b/>
                <w:bCs/>
                <w:i/>
                <w:iCs/>
                <w:sz w:val="16"/>
                <w:szCs w:val="16"/>
                <w:lang w:val="fr-FR"/>
              </w:rPr>
              <w:t>Effet</w:t>
            </w:r>
          </w:p>
        </w:tc>
        <w:tc>
          <w:tcPr>
            <w:tcW w:w="2977" w:type="dxa"/>
            <w:gridSpan w:val="2"/>
            <w:tcBorders>
              <w:top w:val="single" w:sz="4" w:space="0" w:color="auto"/>
              <w:left w:val="nil"/>
              <w:bottom w:val="single" w:sz="12" w:space="0" w:color="auto"/>
              <w:right w:val="single" w:sz="4" w:space="0" w:color="auto"/>
            </w:tcBorders>
            <w:shd w:val="clear" w:color="auto" w:fill="FFFFFF"/>
            <w:vAlign w:val="center"/>
            <w:hideMark/>
          </w:tcPr>
          <w:p w:rsidR="00350AAB" w:rsidRPr="008948D1" w:rsidRDefault="00350AAB" w:rsidP="00BF2F0E">
            <w:pPr>
              <w:spacing w:before="80" w:after="80" w:line="200" w:lineRule="exact"/>
              <w:ind w:firstLine="567"/>
              <w:jc w:val="both"/>
              <w:rPr>
                <w:b/>
                <w:bCs/>
                <w:i/>
                <w:color w:val="000000"/>
                <w:sz w:val="16"/>
                <w:szCs w:val="16"/>
              </w:rPr>
            </w:pPr>
            <w:r w:rsidRPr="008948D1">
              <w:rPr>
                <w:b/>
                <w:bCs/>
                <w:i/>
                <w:iCs/>
                <w:sz w:val="16"/>
                <w:szCs w:val="16"/>
                <w:lang w:val="fr-FR"/>
              </w:rPr>
              <w:t>Solution</w:t>
            </w:r>
          </w:p>
        </w:tc>
        <w:tc>
          <w:tcPr>
            <w:tcW w:w="2406" w:type="dxa"/>
            <w:tcBorders>
              <w:top w:val="single" w:sz="4" w:space="0" w:color="auto"/>
              <w:left w:val="nil"/>
              <w:bottom w:val="single" w:sz="12" w:space="0" w:color="auto"/>
              <w:right w:val="single" w:sz="4" w:space="0" w:color="auto"/>
            </w:tcBorders>
            <w:shd w:val="clear" w:color="auto" w:fill="FFFFFF"/>
            <w:vAlign w:val="center"/>
            <w:hideMark/>
          </w:tcPr>
          <w:p w:rsidR="00350AAB" w:rsidRPr="008948D1" w:rsidRDefault="00350AAB" w:rsidP="008948D1">
            <w:pPr>
              <w:spacing w:before="80" w:after="80" w:line="200" w:lineRule="exact"/>
              <w:rPr>
                <w:b/>
                <w:bCs/>
                <w:i/>
                <w:color w:val="000000"/>
                <w:sz w:val="16"/>
                <w:szCs w:val="16"/>
              </w:rPr>
            </w:pPr>
            <w:r w:rsidRPr="008948D1">
              <w:rPr>
                <w:b/>
                <w:bCs/>
                <w:i/>
                <w:iCs/>
                <w:sz w:val="16"/>
                <w:szCs w:val="16"/>
                <w:lang w:val="fr-FR"/>
              </w:rPr>
              <w:t>Dispositions supplémentaires</w:t>
            </w:r>
          </w:p>
        </w:tc>
      </w:tr>
      <w:tr w:rsidR="00350AAB" w:rsidRPr="00350AAB" w:rsidTr="000C1DC7">
        <w:trPr>
          <w:cantSplit/>
          <w:trHeight w:val="496"/>
          <w:tblHeader/>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1</w:t>
            </w:r>
          </w:p>
        </w:tc>
        <w:tc>
          <w:tcPr>
            <w:tcW w:w="1562" w:type="dxa"/>
            <w:vMerge w:val="restart"/>
            <w:tcBorders>
              <w:top w:val="single" w:sz="12" w:space="0" w:color="auto"/>
              <w:left w:val="single" w:sz="4" w:space="0" w:color="auto"/>
              <w:bottom w:val="nil"/>
              <w:right w:val="single" w:sz="4" w:space="0" w:color="auto"/>
            </w:tcBorders>
            <w:shd w:val="clear" w:color="auto" w:fill="FFFFFF"/>
            <w:vAlign w:val="center"/>
            <w:hideMark/>
          </w:tcPr>
          <w:p w:rsidR="00350AAB" w:rsidRPr="00350AAB" w:rsidRDefault="00350AAB" w:rsidP="008948D1">
            <w:pPr>
              <w:spacing w:before="40" w:after="120"/>
              <w:rPr>
                <w:b/>
                <w:bCs/>
                <w:color w:val="000000"/>
                <w:lang w:val="fr-FR"/>
              </w:rPr>
            </w:pPr>
            <w:r w:rsidRPr="00350AAB">
              <w:rPr>
                <w:b/>
                <w:lang w:val="fr-FR"/>
              </w:rPr>
              <w:t>Verrouillage d’un rapport de transmission discret</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1*</w:t>
            </w:r>
          </w:p>
        </w:tc>
        <w:tc>
          <w:tcPr>
            <w:tcW w:w="2552" w:type="dxa"/>
            <w:tcBorders>
              <w:top w:val="single" w:sz="12"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Un rapport de transmission discret peut être verrouillé par le conducteur.</w:t>
            </w:r>
          </w:p>
        </w:tc>
        <w:tc>
          <w:tcPr>
            <w:tcW w:w="2406" w:type="dxa"/>
            <w:tcBorders>
              <w:top w:val="single" w:sz="12"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rPr>
            </w:pPr>
            <w:r w:rsidRPr="00350AAB">
              <w:rPr>
                <w:b/>
                <w:lang w:val="fr-FR"/>
              </w:rPr>
              <w:t>aucune</w:t>
            </w:r>
          </w:p>
        </w:tc>
      </w:tr>
      <w:tr w:rsidR="00350AAB" w:rsidRPr="00350AAB" w:rsidTr="000C1DC7">
        <w:trPr>
          <w:cantSplit/>
          <w:trHeight w:val="1275"/>
          <w:tblHeader/>
          <w:jc w:val="center"/>
        </w:trPr>
        <w:tc>
          <w:tcPr>
            <w:tcW w:w="421" w:type="dxa"/>
            <w:vMerge/>
            <w:tcBorders>
              <w:top w:val="nil"/>
              <w:left w:val="single" w:sz="4" w:space="0" w:color="auto"/>
              <w:bottom w:val="single" w:sz="4" w:space="0" w:color="auto"/>
              <w:right w:val="single" w:sz="4" w:space="0" w:color="auto"/>
            </w:tcBorders>
            <w:vAlign w:val="center"/>
            <w:hideMark/>
          </w:tcPr>
          <w:p w:rsidR="00350AAB" w:rsidRPr="00350AAB" w:rsidRDefault="00350AAB" w:rsidP="008948D1">
            <w:pPr>
              <w:spacing w:before="40" w:after="120"/>
              <w:rPr>
                <w:b/>
                <w:bCs/>
                <w:color w:val="000000"/>
                <w:lang w:val="en-US" w:eastAsia="zh-CN"/>
              </w:rPr>
            </w:pPr>
          </w:p>
        </w:tc>
        <w:tc>
          <w:tcPr>
            <w:tcW w:w="1562" w:type="dxa"/>
            <w:vMerge/>
            <w:tcBorders>
              <w:top w:val="nil"/>
              <w:left w:val="single" w:sz="4" w:space="0" w:color="auto"/>
              <w:bottom w:val="single" w:sz="4" w:space="0" w:color="auto"/>
              <w:right w:val="single" w:sz="4" w:space="0" w:color="auto"/>
            </w:tcBorders>
            <w:vAlign w:val="center"/>
            <w:hideMark/>
          </w:tcPr>
          <w:p w:rsidR="00350AAB" w:rsidRPr="00350AAB" w:rsidRDefault="00350AAB" w:rsidP="008948D1">
            <w:pPr>
              <w:spacing w:before="40" w:after="120"/>
              <w:rPr>
                <w:b/>
                <w:bCs/>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2</w:t>
            </w:r>
          </w:p>
        </w:tc>
        <w:tc>
          <w:tcPr>
            <w:tcW w:w="2552"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Si un rapport de transmission discret est</w:t>
            </w:r>
            <w:r w:rsidRPr="00350AAB">
              <w:rPr>
                <w:b/>
                <w:bCs/>
                <w:lang w:val="fr-FR"/>
              </w:rPr>
              <w:t xml:space="preserve"> disponible sur le véhicule </w:t>
            </w:r>
            <w:r w:rsidRPr="00350AAB">
              <w:rPr>
                <w:b/>
                <w:lang w:val="fr-FR"/>
              </w:rPr>
              <w:t>et si le conducteur n’y a pas accès, le verrouillage peut être activé par le constructeur au moyen d’une fonction embarquée (cachée) ou d’un dispositif externe.</w:t>
            </w:r>
          </w:p>
        </w:tc>
        <w:tc>
          <w:tcPr>
            <w:tcW w:w="2406"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rPr>
            </w:pPr>
            <w:r w:rsidRPr="00350AAB">
              <w:rPr>
                <w:b/>
                <w:lang w:val="fr-FR"/>
              </w:rPr>
              <w:t>aucune</w:t>
            </w:r>
          </w:p>
        </w:tc>
      </w:tr>
      <w:tr w:rsidR="00350AAB" w:rsidRPr="00350AAB" w:rsidTr="000C1DC7">
        <w:trPr>
          <w:cantSplit/>
          <w:trHeight w:val="505"/>
          <w:tblHeader/>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0AAB" w:rsidRPr="00350AAB" w:rsidRDefault="00350AAB" w:rsidP="008948D1">
            <w:pPr>
              <w:keepNext/>
              <w:keepLines/>
              <w:spacing w:before="40" w:after="120"/>
              <w:rPr>
                <w:b/>
                <w:bCs/>
                <w:color w:val="000000"/>
              </w:rPr>
            </w:pPr>
            <w:r w:rsidRPr="00350AAB">
              <w:rPr>
                <w:b/>
                <w:lang w:val="fr-FR"/>
              </w:rPr>
              <w:t>2</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0AAB" w:rsidRPr="00350AAB" w:rsidRDefault="00350AAB" w:rsidP="008948D1">
            <w:pPr>
              <w:keepNext/>
              <w:keepLines/>
              <w:spacing w:before="40" w:after="120"/>
              <w:rPr>
                <w:b/>
                <w:color w:val="000000"/>
                <w:lang w:val="fr-FR"/>
              </w:rPr>
            </w:pPr>
            <w:r w:rsidRPr="00350AAB">
              <w:rPr>
                <w:b/>
                <w:lang w:val="fr-FR"/>
              </w:rPr>
              <w:t>Gestion commandée du passage des rapports : applicable aux transmissions qui ne peuvent être verrouillées, ou lorsque aucun rapport verrouillé ne donne un résultat d’essai valable.</w:t>
            </w:r>
          </w:p>
        </w:tc>
        <w:tc>
          <w:tcPr>
            <w:tcW w:w="425"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keepNext/>
              <w:keepLines/>
              <w:spacing w:before="40" w:after="120"/>
              <w:rPr>
                <w:b/>
                <w:bCs/>
                <w:color w:val="000000"/>
              </w:rPr>
            </w:pPr>
            <w:r w:rsidRPr="00350AAB">
              <w:rPr>
                <w:b/>
                <w:lang w:val="fr-FR"/>
              </w:rPr>
              <w:t>1*</w:t>
            </w:r>
          </w:p>
        </w:tc>
        <w:tc>
          <w:tcPr>
            <w:tcW w:w="2552"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keepNext/>
              <w:keepLines/>
              <w:spacing w:before="40" w:after="120"/>
              <w:rPr>
                <w:b/>
                <w:color w:val="000000"/>
                <w:lang w:val="fr-FR"/>
              </w:rPr>
            </w:pPr>
            <w:r w:rsidRPr="00350AAB">
              <w:rPr>
                <w:b/>
                <w:lang w:val="fr-FR"/>
              </w:rPr>
              <w:t>Le rétrogradage forcé est désactivé.</w:t>
            </w:r>
          </w:p>
        </w:tc>
        <w:tc>
          <w:tcPr>
            <w:tcW w:w="2406"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keepNext/>
              <w:keepLines/>
              <w:spacing w:before="40" w:after="120"/>
              <w:rPr>
                <w:b/>
                <w:color w:val="000000"/>
              </w:rPr>
            </w:pPr>
            <w:r w:rsidRPr="00350AAB">
              <w:rPr>
                <w:b/>
                <w:lang w:val="fr-FR"/>
              </w:rPr>
              <w:t>aucune</w:t>
            </w:r>
          </w:p>
        </w:tc>
      </w:tr>
      <w:tr w:rsidR="00350AAB" w:rsidRPr="00350AAB" w:rsidTr="000C1DC7">
        <w:trPr>
          <w:cantSplit/>
          <w:trHeight w:val="1120"/>
          <w:tblHeade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50AAB" w:rsidRPr="00350AAB" w:rsidRDefault="00350AAB" w:rsidP="008948D1">
            <w:pPr>
              <w:spacing w:before="40" w:after="120"/>
              <w:rPr>
                <w:b/>
                <w:bCs/>
                <w:color w:val="000000"/>
                <w:lang w:val="en-US" w:eastAsia="zh-CN"/>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350AAB" w:rsidRPr="00350AAB" w:rsidRDefault="00350AAB" w:rsidP="008948D1">
            <w:pPr>
              <w:spacing w:before="40" w:after="120"/>
              <w:rPr>
                <w:b/>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2</w:t>
            </w:r>
          </w:p>
        </w:tc>
        <w:tc>
          <w:tcPr>
            <w:tcW w:w="2552"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Le rapport peut changer au cours de l’essai et ce changement est commandé par l’activation d’une fonction interne ou d’un dispositif externe.</w:t>
            </w:r>
          </w:p>
        </w:tc>
        <w:tc>
          <w:tcPr>
            <w:tcW w:w="2406"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L’accélération** se situe entre a</w:t>
            </w:r>
            <w:r w:rsidRPr="00350AAB">
              <w:rPr>
                <w:b/>
                <w:vertAlign w:val="subscript"/>
                <w:lang w:val="fr-FR"/>
              </w:rPr>
              <w:t>urban</w:t>
            </w:r>
            <w:r w:rsidRPr="00350AAB">
              <w:rPr>
                <w:b/>
                <w:lang w:val="fr-FR"/>
              </w:rPr>
              <w:t xml:space="preserve"> et a</w:t>
            </w:r>
            <w:r w:rsidRPr="00350AAB">
              <w:rPr>
                <w:b/>
                <w:vertAlign w:val="subscript"/>
                <w:lang w:val="fr-FR"/>
              </w:rPr>
              <w:t>wot,ref</w:t>
            </w:r>
            <w:r w:rsidRPr="00350AAB">
              <w:rPr>
                <w:b/>
                <w:lang w:val="fr-FR"/>
              </w:rPr>
              <w:t>, mais ne dépasse pas 2,0 m/s².</w:t>
            </w:r>
          </w:p>
        </w:tc>
      </w:tr>
      <w:tr w:rsidR="00350AAB" w:rsidRPr="00350AAB" w:rsidTr="000C1DC7">
        <w:trPr>
          <w:cantSplit/>
          <w:trHeight w:val="1325"/>
          <w:tblHeader/>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3</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Conduite en charge partielle****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1</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 xml:space="preserve">L’accélération est limitée par un dispositif mécanique. </w:t>
            </w:r>
          </w:p>
        </w:tc>
        <w:tc>
          <w:tcPr>
            <w:tcW w:w="240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50AAB" w:rsidRPr="00350AAB" w:rsidRDefault="00350AAB" w:rsidP="008948D1">
            <w:pPr>
              <w:spacing w:before="40" w:after="120"/>
              <w:rPr>
                <w:b/>
                <w:color w:val="000000"/>
                <w:vertAlign w:val="subscript"/>
                <w:lang w:val="fr-FR"/>
              </w:rPr>
            </w:pPr>
            <w:r w:rsidRPr="00350AAB">
              <w:rPr>
                <w:b/>
                <w:lang w:val="fr-FR"/>
              </w:rPr>
              <w:t>L’accélération** se situe entre a</w:t>
            </w:r>
            <w:r w:rsidRPr="00350AAB">
              <w:rPr>
                <w:b/>
                <w:vertAlign w:val="subscript"/>
                <w:lang w:val="fr-FR"/>
              </w:rPr>
              <w:t>urban</w:t>
            </w:r>
            <w:r w:rsidRPr="00350AAB">
              <w:rPr>
                <w:b/>
                <w:lang w:val="fr-FR"/>
              </w:rPr>
              <w:t xml:space="preserve"> et a</w:t>
            </w:r>
            <w:r w:rsidRPr="00350AAB">
              <w:rPr>
                <w:b/>
                <w:vertAlign w:val="subscript"/>
                <w:lang w:val="fr-FR"/>
              </w:rPr>
              <w:t>wot,ref</w:t>
            </w:r>
            <w:r w:rsidRPr="00350AAB">
              <w:rPr>
                <w:b/>
                <w:lang w:val="fr-FR"/>
              </w:rPr>
              <w:t>, mais ne dépasse pas 2,0 m/s².</w:t>
            </w:r>
          </w:p>
          <w:p w:rsidR="00350AAB" w:rsidRPr="00350AAB" w:rsidRDefault="00350AAB" w:rsidP="008948D1">
            <w:pPr>
              <w:spacing w:before="40" w:after="120"/>
              <w:rPr>
                <w:b/>
                <w:color w:val="000000"/>
              </w:rPr>
            </w:pPr>
          </w:p>
        </w:tc>
      </w:tr>
      <w:tr w:rsidR="00350AAB" w:rsidRPr="00350AAB" w:rsidTr="000C1DC7">
        <w:trPr>
          <w:cantSplit/>
          <w:trHeight w:val="848"/>
          <w:tblHeader/>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350AAB" w:rsidRPr="00350AAB" w:rsidRDefault="00350AAB" w:rsidP="008948D1">
            <w:pPr>
              <w:spacing w:before="40" w:after="120"/>
              <w:rPr>
                <w:b/>
                <w:bCs/>
                <w:color w:val="000000"/>
                <w:lang w:eastAsia="zh-CN"/>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350AAB" w:rsidRPr="00350AAB" w:rsidRDefault="00350AAB" w:rsidP="008948D1">
            <w:pPr>
              <w:spacing w:before="40" w:after="120"/>
              <w:rPr>
                <w:b/>
                <w:bCs/>
                <w:color w:val="000000"/>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2</w:t>
            </w:r>
          </w:p>
        </w:tc>
        <w:tc>
          <w:tcPr>
            <w:tcW w:w="2552"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Programmation externe pour l’accélération à charge partielle ***</w:t>
            </w:r>
          </w:p>
        </w:tc>
        <w:tc>
          <w:tcPr>
            <w:tcW w:w="2406" w:type="dxa"/>
            <w:vMerge/>
            <w:tcBorders>
              <w:top w:val="nil"/>
              <w:left w:val="single" w:sz="4" w:space="0" w:color="auto"/>
              <w:bottom w:val="single" w:sz="4" w:space="0" w:color="auto"/>
              <w:right w:val="single" w:sz="4" w:space="0" w:color="auto"/>
            </w:tcBorders>
            <w:vAlign w:val="center"/>
            <w:hideMark/>
          </w:tcPr>
          <w:p w:rsidR="00350AAB" w:rsidRPr="00350AAB" w:rsidRDefault="00350AAB" w:rsidP="008948D1">
            <w:pPr>
              <w:spacing w:before="40" w:after="120"/>
              <w:rPr>
                <w:b/>
                <w:color w:val="000000"/>
                <w:lang w:val="fr-FR" w:eastAsia="zh-CN"/>
              </w:rPr>
            </w:pPr>
          </w:p>
        </w:tc>
      </w:tr>
      <w:tr w:rsidR="00350AAB" w:rsidRPr="00350AAB" w:rsidTr="000C1DC7">
        <w:trPr>
          <w:cantSplit/>
          <w:trHeight w:val="519"/>
          <w:tblHeader/>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4</w:t>
            </w:r>
          </w:p>
        </w:tc>
        <w:tc>
          <w:tcPr>
            <w:tcW w:w="1562"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Solution mixte (mode) : cette solution sera une combinaison des solutions précédentes formant un mode spécifique.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1*</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Le mode est disponible sur le véhicule et peut être sélectionné par le conducteur.</w:t>
            </w:r>
          </w:p>
        </w:tc>
        <w:tc>
          <w:tcPr>
            <w:tcW w:w="2406" w:type="dxa"/>
            <w:tcBorders>
              <w:top w:val="single" w:sz="4" w:space="0" w:color="auto"/>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rPr>
            </w:pPr>
            <w:r w:rsidRPr="00350AAB">
              <w:rPr>
                <w:b/>
                <w:lang w:val="fr-FR"/>
              </w:rPr>
              <w:t>aucune</w:t>
            </w:r>
          </w:p>
        </w:tc>
      </w:tr>
      <w:tr w:rsidR="00350AAB" w:rsidRPr="00350AAB" w:rsidTr="000C1DC7">
        <w:trPr>
          <w:cantSplit/>
          <w:trHeight w:val="834"/>
          <w:tblHeader/>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350AAB" w:rsidRPr="00350AAB" w:rsidRDefault="00350AAB" w:rsidP="008948D1">
            <w:pPr>
              <w:spacing w:before="40" w:after="120"/>
              <w:rPr>
                <w:b/>
                <w:bCs/>
                <w:color w:val="000000"/>
                <w:lang w:val="en-US" w:eastAsia="zh-CN"/>
              </w:rPr>
            </w:pPr>
          </w:p>
        </w:tc>
        <w:tc>
          <w:tcPr>
            <w:tcW w:w="1562" w:type="dxa"/>
            <w:vMerge/>
            <w:tcBorders>
              <w:top w:val="single" w:sz="4" w:space="0" w:color="auto"/>
              <w:left w:val="single" w:sz="4" w:space="0" w:color="auto"/>
              <w:bottom w:val="single" w:sz="12" w:space="0" w:color="auto"/>
              <w:right w:val="single" w:sz="4" w:space="0" w:color="auto"/>
            </w:tcBorders>
            <w:vAlign w:val="center"/>
            <w:hideMark/>
          </w:tcPr>
          <w:p w:rsidR="00350AAB" w:rsidRPr="00350AAB" w:rsidRDefault="00350AAB" w:rsidP="008948D1">
            <w:pPr>
              <w:spacing w:before="40" w:after="120"/>
              <w:rPr>
                <w:b/>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2</w:t>
            </w:r>
          </w:p>
        </w:tc>
        <w:tc>
          <w:tcPr>
            <w:tcW w:w="2552"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Le mode est disponible sur le véhicule et ne peut être activé que par le constructeur au moyen d’une fonction cachée ou d’un dispositif externe.</w:t>
            </w:r>
          </w:p>
        </w:tc>
        <w:tc>
          <w:tcPr>
            <w:tcW w:w="2406" w:type="dxa"/>
            <w:tcBorders>
              <w:top w:val="nil"/>
              <w:left w:val="nil"/>
              <w:bottom w:val="single" w:sz="4" w:space="0" w:color="auto"/>
              <w:right w:val="single" w:sz="4" w:space="0" w:color="auto"/>
            </w:tcBorders>
            <w:shd w:val="clear" w:color="auto" w:fill="FFFFFF"/>
            <w:vAlign w:val="center"/>
            <w:hideMark/>
          </w:tcPr>
          <w:p w:rsidR="00350AAB" w:rsidRPr="00350AAB" w:rsidRDefault="00350AAB" w:rsidP="008948D1">
            <w:pPr>
              <w:spacing w:before="40" w:after="120"/>
              <w:rPr>
                <w:b/>
                <w:color w:val="000000"/>
              </w:rPr>
            </w:pPr>
            <w:r w:rsidRPr="00350AAB">
              <w:rPr>
                <w:b/>
                <w:lang w:val="fr-FR"/>
              </w:rPr>
              <w:t>aucune</w:t>
            </w:r>
          </w:p>
        </w:tc>
      </w:tr>
      <w:tr w:rsidR="00350AAB" w:rsidRPr="00350AAB" w:rsidTr="000C1DC7">
        <w:trPr>
          <w:cantSplit/>
          <w:trHeight w:val="852"/>
          <w:tblHeader/>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350AAB" w:rsidRPr="00350AAB" w:rsidRDefault="00350AAB" w:rsidP="008948D1">
            <w:pPr>
              <w:spacing w:before="40" w:after="120"/>
              <w:rPr>
                <w:b/>
                <w:bCs/>
                <w:color w:val="000000"/>
                <w:lang w:val="en-US" w:eastAsia="zh-CN"/>
              </w:rPr>
            </w:pPr>
          </w:p>
        </w:tc>
        <w:tc>
          <w:tcPr>
            <w:tcW w:w="1562" w:type="dxa"/>
            <w:vMerge/>
            <w:tcBorders>
              <w:top w:val="single" w:sz="4" w:space="0" w:color="auto"/>
              <w:left w:val="single" w:sz="4" w:space="0" w:color="auto"/>
              <w:bottom w:val="single" w:sz="12" w:space="0" w:color="auto"/>
              <w:right w:val="single" w:sz="4" w:space="0" w:color="auto"/>
            </w:tcBorders>
            <w:vAlign w:val="center"/>
            <w:hideMark/>
          </w:tcPr>
          <w:p w:rsidR="00350AAB" w:rsidRPr="00350AAB" w:rsidRDefault="00350AAB" w:rsidP="008948D1">
            <w:pPr>
              <w:spacing w:before="40" w:after="120"/>
              <w:rPr>
                <w:b/>
                <w:color w:val="000000"/>
                <w:lang w:val="en-US"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350AAB" w:rsidRPr="00350AAB" w:rsidRDefault="00350AAB" w:rsidP="008948D1">
            <w:pPr>
              <w:spacing w:before="40" w:after="120"/>
              <w:rPr>
                <w:b/>
                <w:bCs/>
                <w:color w:val="000000"/>
              </w:rPr>
            </w:pPr>
            <w:r w:rsidRPr="00350AAB">
              <w:rPr>
                <w:b/>
                <w:lang w:val="fr-FR"/>
              </w:rPr>
              <w:t>3</w:t>
            </w:r>
          </w:p>
        </w:tc>
        <w:tc>
          <w:tcPr>
            <w:tcW w:w="2552" w:type="dxa"/>
            <w:tcBorders>
              <w:top w:val="single" w:sz="4" w:space="0" w:color="auto"/>
              <w:left w:val="nil"/>
              <w:bottom w:val="single" w:sz="12"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Le mode n’est pas disponible sur le véhicule et un logiciel externe prend le pas sur le logiciel interne.</w:t>
            </w:r>
          </w:p>
        </w:tc>
        <w:tc>
          <w:tcPr>
            <w:tcW w:w="2406" w:type="dxa"/>
            <w:tcBorders>
              <w:top w:val="single" w:sz="4" w:space="0" w:color="auto"/>
              <w:left w:val="nil"/>
              <w:bottom w:val="single" w:sz="12" w:space="0" w:color="auto"/>
              <w:right w:val="single" w:sz="4" w:space="0" w:color="auto"/>
            </w:tcBorders>
            <w:shd w:val="clear" w:color="auto" w:fill="FFFFFF"/>
            <w:vAlign w:val="center"/>
            <w:hideMark/>
          </w:tcPr>
          <w:p w:rsidR="00350AAB" w:rsidRPr="00350AAB" w:rsidRDefault="00350AAB" w:rsidP="008948D1">
            <w:pPr>
              <w:spacing w:before="40" w:after="120"/>
              <w:rPr>
                <w:b/>
                <w:color w:val="000000"/>
                <w:lang w:val="fr-FR"/>
              </w:rPr>
            </w:pPr>
            <w:r w:rsidRPr="00350AAB">
              <w:rPr>
                <w:b/>
                <w:lang w:val="fr-FR"/>
              </w:rPr>
              <w:t>L’accélération** se situe entre a</w:t>
            </w:r>
            <w:r w:rsidRPr="00350AAB">
              <w:rPr>
                <w:b/>
                <w:vertAlign w:val="subscript"/>
                <w:lang w:val="fr-FR"/>
              </w:rPr>
              <w:t>urban</w:t>
            </w:r>
            <w:r w:rsidRPr="00350AAB">
              <w:rPr>
                <w:b/>
                <w:lang w:val="fr-FR"/>
              </w:rPr>
              <w:t xml:space="preserve"> et a</w:t>
            </w:r>
            <w:r w:rsidRPr="00350AAB">
              <w:rPr>
                <w:b/>
                <w:vertAlign w:val="subscript"/>
                <w:lang w:val="fr-FR"/>
              </w:rPr>
              <w:t>wot,ref</w:t>
            </w:r>
            <w:r w:rsidRPr="00350AAB">
              <w:rPr>
                <w:b/>
                <w:lang w:val="fr-FR"/>
              </w:rPr>
              <w:t>, mais ne dépasse pas 2,0 m/s².</w:t>
            </w:r>
          </w:p>
        </w:tc>
      </w:tr>
    </w:tbl>
    <w:p w:rsidR="00350AAB" w:rsidRPr="008948D1" w:rsidRDefault="00350AAB" w:rsidP="008948D1">
      <w:pPr>
        <w:pStyle w:val="SingleTxtG"/>
        <w:spacing w:before="120" w:after="0"/>
        <w:jc w:val="left"/>
        <w:rPr>
          <w:b/>
          <w:sz w:val="18"/>
          <w:szCs w:val="18"/>
          <w:lang w:val="fr-FR"/>
        </w:rPr>
      </w:pPr>
      <w:r w:rsidRPr="008948D1">
        <w:rPr>
          <w:b/>
          <w:sz w:val="18"/>
          <w:szCs w:val="18"/>
          <w:lang w:val="fr-FR"/>
        </w:rPr>
        <w:t>*</w:t>
      </w:r>
      <w:r w:rsidR="008948D1" w:rsidRPr="008948D1">
        <w:rPr>
          <w:b/>
          <w:sz w:val="18"/>
          <w:szCs w:val="18"/>
          <w:lang w:val="fr-FR"/>
        </w:rPr>
        <w:tab/>
      </w:r>
      <w:r w:rsidRPr="008948D1">
        <w:rPr>
          <w:b/>
          <w:sz w:val="18"/>
          <w:szCs w:val="18"/>
          <w:lang w:val="fr-FR"/>
        </w:rPr>
        <w:t>Observation : il s’agit d’une situation type, déjà prévue dans le texte du Règlement.</w:t>
      </w:r>
    </w:p>
    <w:p w:rsidR="00350AAB" w:rsidRPr="008948D1" w:rsidRDefault="00350AAB" w:rsidP="008948D1">
      <w:pPr>
        <w:pStyle w:val="SingleTxtG"/>
        <w:spacing w:after="0"/>
        <w:jc w:val="left"/>
        <w:rPr>
          <w:b/>
          <w:sz w:val="18"/>
          <w:szCs w:val="18"/>
          <w:lang w:val="fr-FR"/>
        </w:rPr>
      </w:pPr>
      <w:r w:rsidRPr="008948D1">
        <w:rPr>
          <w:b/>
          <w:sz w:val="18"/>
          <w:szCs w:val="18"/>
          <w:lang w:val="fr-FR"/>
        </w:rPr>
        <w:t>**</w:t>
      </w:r>
      <w:r w:rsidR="008948D1" w:rsidRPr="008948D1">
        <w:rPr>
          <w:b/>
          <w:sz w:val="18"/>
          <w:szCs w:val="18"/>
          <w:lang w:val="fr-FR"/>
        </w:rPr>
        <w:tab/>
      </w:r>
      <w:r w:rsidRPr="008948D1">
        <w:rPr>
          <w:b/>
          <w:sz w:val="18"/>
          <w:szCs w:val="18"/>
          <w:lang w:val="fr-FR"/>
        </w:rPr>
        <w:t>Applicable aux véhicules des catégories M</w:t>
      </w:r>
      <w:r w:rsidRPr="008948D1">
        <w:rPr>
          <w:b/>
          <w:sz w:val="18"/>
          <w:szCs w:val="18"/>
          <w:vertAlign w:val="subscript"/>
          <w:lang w:val="fr-FR"/>
        </w:rPr>
        <w:t>1</w:t>
      </w:r>
      <w:r w:rsidRPr="008948D1">
        <w:rPr>
          <w:b/>
          <w:sz w:val="18"/>
          <w:szCs w:val="18"/>
          <w:lang w:val="fr-FR"/>
        </w:rPr>
        <w:t>, N</w:t>
      </w:r>
      <w:r w:rsidRPr="008948D1">
        <w:rPr>
          <w:b/>
          <w:sz w:val="18"/>
          <w:szCs w:val="18"/>
          <w:vertAlign w:val="subscript"/>
          <w:lang w:val="fr-FR"/>
        </w:rPr>
        <w:t>1</w:t>
      </w:r>
      <w:r w:rsidRPr="008948D1">
        <w:rPr>
          <w:b/>
          <w:sz w:val="18"/>
          <w:szCs w:val="18"/>
          <w:lang w:val="fr-FR"/>
        </w:rPr>
        <w:t xml:space="preserve"> et M</w:t>
      </w:r>
      <w:r w:rsidRPr="008948D1">
        <w:rPr>
          <w:b/>
          <w:sz w:val="18"/>
          <w:szCs w:val="18"/>
          <w:vertAlign w:val="subscript"/>
          <w:lang w:val="fr-FR"/>
        </w:rPr>
        <w:t>2</w:t>
      </w:r>
      <w:r w:rsidRPr="008948D1">
        <w:rPr>
          <w:b/>
          <w:sz w:val="18"/>
          <w:szCs w:val="18"/>
          <w:lang w:val="fr-FR"/>
        </w:rPr>
        <w:t xml:space="preserve"> ≤ 3 500 kg. </w:t>
      </w:r>
    </w:p>
    <w:p w:rsidR="00350AAB" w:rsidRPr="008948D1" w:rsidRDefault="00350AAB" w:rsidP="008948D1">
      <w:pPr>
        <w:pStyle w:val="SingleTxtG"/>
        <w:spacing w:after="0"/>
        <w:jc w:val="left"/>
        <w:rPr>
          <w:b/>
          <w:sz w:val="18"/>
          <w:szCs w:val="18"/>
          <w:lang w:val="fr-FR"/>
        </w:rPr>
      </w:pPr>
      <w:r w:rsidRPr="008948D1">
        <w:rPr>
          <w:b/>
          <w:sz w:val="18"/>
          <w:szCs w:val="18"/>
          <w:lang w:val="fr-FR"/>
        </w:rPr>
        <w:t>***</w:t>
      </w:r>
      <w:r w:rsidR="008948D1" w:rsidRPr="008948D1">
        <w:rPr>
          <w:b/>
          <w:sz w:val="18"/>
          <w:szCs w:val="18"/>
          <w:lang w:val="fr-FR"/>
        </w:rPr>
        <w:tab/>
      </w:r>
      <w:r w:rsidRPr="008948D1">
        <w:rPr>
          <w:b/>
          <w:sz w:val="18"/>
          <w:szCs w:val="18"/>
          <w:lang w:val="fr-FR"/>
        </w:rPr>
        <w:t>On réalise la charge partielle en simulant la restriction de la course de l’accélérateur. Il n’est pas permis de perturber la gestion du moteur.</w:t>
      </w:r>
    </w:p>
    <w:p w:rsidR="00350AAB" w:rsidRPr="008948D1" w:rsidRDefault="00350AAB" w:rsidP="008948D1">
      <w:pPr>
        <w:pStyle w:val="SingleTxtG"/>
        <w:spacing w:after="0"/>
        <w:jc w:val="left"/>
        <w:rPr>
          <w:b/>
          <w:sz w:val="18"/>
          <w:szCs w:val="18"/>
          <w:lang w:val="fr-FR"/>
        </w:rPr>
      </w:pPr>
      <w:r w:rsidRPr="008948D1">
        <w:rPr>
          <w:b/>
          <w:sz w:val="18"/>
          <w:szCs w:val="18"/>
          <w:lang w:val="fr-FR"/>
        </w:rPr>
        <w:t>****</w:t>
      </w:r>
      <w:r w:rsidR="008948D1" w:rsidRPr="008948D1">
        <w:rPr>
          <w:b/>
          <w:sz w:val="18"/>
          <w:szCs w:val="18"/>
          <w:lang w:val="fr-FR"/>
        </w:rPr>
        <w:tab/>
      </w:r>
      <w:r w:rsidRPr="008948D1">
        <w:rPr>
          <w:b/>
          <w:sz w:val="18"/>
          <w:szCs w:val="18"/>
          <w:lang w:val="fr-FR"/>
        </w:rPr>
        <w:t xml:space="preserve">Réservé aux véhicules électriques purs, selon la définition de la série 07 d’amendements au Règlement </w:t>
      </w:r>
      <w:r w:rsidR="000C1DC7" w:rsidRPr="000C1DC7">
        <w:rPr>
          <w:rFonts w:eastAsia="MS Mincho"/>
          <w:b/>
          <w:sz w:val="18"/>
          <w:szCs w:val="18"/>
          <w:lang w:val="fr-FR"/>
        </w:rPr>
        <w:t>n</w:t>
      </w:r>
      <w:r w:rsidR="000C1DC7" w:rsidRPr="000C1DC7">
        <w:rPr>
          <w:rFonts w:eastAsia="MS Mincho"/>
          <w:b/>
          <w:sz w:val="18"/>
          <w:szCs w:val="18"/>
          <w:vertAlign w:val="superscript"/>
          <w:lang w:val="fr-FR"/>
        </w:rPr>
        <w:t>o</w:t>
      </w:r>
      <w:r w:rsidR="000C1DC7">
        <w:rPr>
          <w:b/>
          <w:sz w:val="18"/>
          <w:szCs w:val="18"/>
          <w:lang w:val="fr-FR"/>
        </w:rPr>
        <w:t> </w:t>
      </w:r>
      <w:r w:rsidRPr="008948D1">
        <w:rPr>
          <w:b/>
          <w:sz w:val="18"/>
          <w:szCs w:val="18"/>
          <w:lang w:val="fr-FR"/>
        </w:rPr>
        <w:t>83, paragraphe</w:t>
      </w:r>
      <w:r w:rsidR="00D60E72">
        <w:rPr>
          <w:b/>
          <w:sz w:val="18"/>
          <w:szCs w:val="18"/>
          <w:lang w:val="fr-FR"/>
        </w:rPr>
        <w:t> </w:t>
      </w:r>
      <w:r w:rsidRPr="008948D1">
        <w:rPr>
          <w:b/>
          <w:sz w:val="18"/>
          <w:szCs w:val="18"/>
          <w:lang w:val="fr-FR"/>
        </w:rPr>
        <w:t>2.30</w:t>
      </w:r>
      <w:r w:rsidR="000C1DC7">
        <w:rPr>
          <w:b/>
          <w:sz w:val="18"/>
          <w:szCs w:val="18"/>
          <w:lang w:val="fr-FR"/>
        </w:rPr>
        <w:t>.</w:t>
      </w:r>
    </w:p>
    <w:p w:rsidR="00350AAB" w:rsidRPr="00350AAB" w:rsidRDefault="00350AAB" w:rsidP="008948D1">
      <w:pPr>
        <w:pStyle w:val="SingleTxtG"/>
        <w:keepNext/>
        <w:spacing w:before="120"/>
        <w:rPr>
          <w:lang w:val="fr-FR"/>
        </w:rPr>
      </w:pPr>
      <w:r w:rsidRPr="008948D1">
        <w:rPr>
          <w:i/>
          <w:lang w:val="fr-FR"/>
        </w:rPr>
        <w:t>Annexe 7, paragraphe 2.5.1</w:t>
      </w:r>
      <w:r w:rsidRPr="00350AAB">
        <w:rPr>
          <w:lang w:val="fr-FR"/>
        </w:rPr>
        <w:t>, modifier comme suit :</w:t>
      </w:r>
    </w:p>
    <w:p w:rsidR="00350AAB" w:rsidRPr="002F4432" w:rsidRDefault="00350AAB" w:rsidP="008948D1">
      <w:pPr>
        <w:pStyle w:val="SingleTxtG"/>
        <w:keepNext/>
        <w:kinsoku/>
        <w:overflowPunct/>
        <w:autoSpaceDE/>
        <w:autoSpaceDN/>
        <w:adjustRightInd/>
        <w:snapToGrid/>
        <w:ind w:left="2268" w:hanging="1134"/>
        <w:rPr>
          <w:rFonts w:eastAsia="Times New Roman"/>
        </w:rPr>
      </w:pPr>
      <w:r w:rsidRPr="00350AAB">
        <w:rPr>
          <w:lang w:val="fr-FR"/>
        </w:rPr>
        <w:t>« 2.5.1</w:t>
      </w:r>
      <w:r w:rsidRPr="00350AAB">
        <w:rPr>
          <w:lang w:val="fr-FR"/>
        </w:rPr>
        <w:tab/>
        <w:t>…</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Dans des conditions de transmission non bloquée, l’essai peut comprendre le passage à un rapport inférieur et à une accélération plus forte. Par contre, le passage à un rapport supérieur avec une accélération plus faible n’est pas admis.</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lang w:val="fr-FR"/>
        </w:rPr>
        <w:t>Dans la mesure du possible, le constructeur doit veiller à éviter qu’un changement de vitesse aboutisse à des conditions non conformes aux conditions limites. Il est permis pour cela d’installer et d’utiliser un dispositif électronique ou mécanique, en changeant par exemple la position du sélecteur. Si aucune de ces solutions ne peut être mise en œuvre, la raison doit en être consignée et détaillée dans le rapport technique.</w:t>
      </w:r>
    </w:p>
    <w:p w:rsidR="00350AAB" w:rsidRPr="00350AAB" w:rsidRDefault="00350AAB" w:rsidP="008948D1">
      <w:pPr>
        <w:kinsoku/>
        <w:overflowPunct/>
        <w:autoSpaceDE/>
        <w:autoSpaceDN/>
        <w:adjustRightInd/>
        <w:snapToGrid/>
        <w:spacing w:before="120" w:after="120"/>
        <w:ind w:left="2268" w:right="1134"/>
        <w:jc w:val="both"/>
        <w:rPr>
          <w:lang w:val="fr-FR"/>
        </w:rPr>
      </w:pPr>
      <w:r w:rsidRPr="00350AAB">
        <w:rPr>
          <w:b/>
          <w:lang w:val="fr-FR"/>
        </w:rPr>
        <w:t>Le tableau</w:t>
      </w:r>
      <w:r w:rsidR="00A824EF">
        <w:rPr>
          <w:b/>
          <w:lang w:val="fr-FR"/>
        </w:rPr>
        <w:t> </w:t>
      </w:r>
      <w:r w:rsidRPr="00350AAB">
        <w:rPr>
          <w:b/>
          <w:lang w:val="fr-FR"/>
        </w:rPr>
        <w:t>1 de l’appendice de l’annexe</w:t>
      </w:r>
      <w:r w:rsidR="008948D1">
        <w:rPr>
          <w:b/>
          <w:lang w:val="fr-FR"/>
        </w:rPr>
        <w:t> </w:t>
      </w:r>
      <w:r w:rsidRPr="00350AAB">
        <w:rPr>
          <w:b/>
          <w:lang w:val="fr-FR"/>
        </w:rPr>
        <w:t xml:space="preserve">3 donne des exemples de solutions valables pour le contrôle du rétrogradage. </w:t>
      </w:r>
      <w:r w:rsidRPr="00350AAB">
        <w:rPr>
          <w:b/>
          <w:bCs/>
          <w:lang w:val="fr-FR"/>
        </w:rPr>
        <w:t>La solution choisie par le constructeur doit être consignée dans le procès-verbal d’essai.</w:t>
      </w:r>
      <w:r w:rsidRPr="00350AAB">
        <w:rPr>
          <w:lang w:val="fr-FR"/>
        </w:rPr>
        <w:t> ».</w:t>
      </w:r>
    </w:p>
    <w:p w:rsidR="00350AAB" w:rsidRPr="00350AAB" w:rsidRDefault="00350AAB" w:rsidP="00246BD4">
      <w:pPr>
        <w:pStyle w:val="HChG"/>
      </w:pPr>
      <w:r w:rsidRPr="00350AAB">
        <w:rPr>
          <w:lang w:val="fr-FR"/>
        </w:rPr>
        <w:br w:type="page"/>
      </w:r>
      <w:r w:rsidRPr="00350AAB">
        <w:t>Annexe IV</w:t>
      </w:r>
    </w:p>
    <w:p w:rsidR="00350AAB" w:rsidRPr="00350AAB" w:rsidRDefault="0040656C" w:rsidP="00246BD4">
      <w:pPr>
        <w:pStyle w:val="HChG"/>
        <w:rPr>
          <w:lang w:val="fr-FR"/>
        </w:rPr>
      </w:pPr>
      <w:r>
        <w:tab/>
      </w:r>
      <w:r w:rsidR="00350AAB" w:rsidRPr="00350AAB">
        <w:rPr>
          <w:lang w:val="fr-FR"/>
        </w:rPr>
        <w:t>Groupes de travail informels relevant du GRB</w:t>
      </w:r>
    </w:p>
    <w:tbl>
      <w:tblPr>
        <w:tblW w:w="9639" w:type="dxa"/>
        <w:tblLayout w:type="fixed"/>
        <w:tblCellMar>
          <w:left w:w="57" w:type="dxa"/>
          <w:right w:w="57" w:type="dxa"/>
        </w:tblCellMar>
        <w:tblLook w:val="01E0" w:firstRow="1" w:lastRow="1" w:firstColumn="1" w:lastColumn="1" w:noHBand="0" w:noVBand="0"/>
      </w:tblPr>
      <w:tblGrid>
        <w:gridCol w:w="1873"/>
        <w:gridCol w:w="3332"/>
        <w:gridCol w:w="3357"/>
        <w:gridCol w:w="1077"/>
      </w:tblGrid>
      <w:tr w:rsidR="00350AAB" w:rsidRPr="00350AAB" w:rsidTr="00B645D5">
        <w:tc>
          <w:tcPr>
            <w:tcW w:w="1873" w:type="dxa"/>
            <w:tcBorders>
              <w:top w:val="single" w:sz="4" w:space="0" w:color="auto"/>
              <w:bottom w:val="single" w:sz="12" w:space="0" w:color="auto"/>
            </w:tcBorders>
            <w:shd w:val="clear" w:color="auto" w:fill="auto"/>
          </w:tcPr>
          <w:p w:rsidR="00350AAB" w:rsidRPr="00350AAB" w:rsidRDefault="00350AAB" w:rsidP="00246BD4">
            <w:pPr>
              <w:spacing w:before="80" w:after="80" w:line="200" w:lineRule="exact"/>
              <w:rPr>
                <w:i/>
                <w:sz w:val="16"/>
                <w:szCs w:val="16"/>
                <w:highlight w:val="cyan"/>
              </w:rPr>
            </w:pPr>
            <w:r w:rsidRPr="00350AAB">
              <w:rPr>
                <w:i/>
                <w:sz w:val="16"/>
                <w:szCs w:val="16"/>
              </w:rPr>
              <w:t xml:space="preserve">Groupe informel </w:t>
            </w:r>
          </w:p>
        </w:tc>
        <w:tc>
          <w:tcPr>
            <w:tcW w:w="3332" w:type="dxa"/>
            <w:tcBorders>
              <w:top w:val="single" w:sz="4" w:space="0" w:color="auto"/>
              <w:bottom w:val="single" w:sz="12" w:space="0" w:color="auto"/>
            </w:tcBorders>
            <w:shd w:val="clear" w:color="auto" w:fill="auto"/>
          </w:tcPr>
          <w:p w:rsidR="00350AAB" w:rsidRPr="00350AAB" w:rsidRDefault="00350AAB" w:rsidP="00D25619">
            <w:pPr>
              <w:spacing w:before="80" w:after="80" w:line="200" w:lineRule="exact"/>
              <w:rPr>
                <w:i/>
                <w:sz w:val="16"/>
                <w:szCs w:val="16"/>
                <w:lang w:val="fr-FR"/>
              </w:rPr>
            </w:pPr>
            <w:r w:rsidRPr="00350AAB">
              <w:rPr>
                <w:i/>
                <w:sz w:val="16"/>
                <w:szCs w:val="16"/>
                <w:lang w:val="fr-FR"/>
              </w:rPr>
              <w:t xml:space="preserve">Président(s) et Coprésident(s) </w:t>
            </w:r>
          </w:p>
        </w:tc>
        <w:tc>
          <w:tcPr>
            <w:tcW w:w="3357" w:type="dxa"/>
            <w:tcBorders>
              <w:top w:val="single" w:sz="4" w:space="0" w:color="auto"/>
              <w:bottom w:val="single" w:sz="12" w:space="0" w:color="auto"/>
            </w:tcBorders>
            <w:shd w:val="clear" w:color="auto" w:fill="auto"/>
          </w:tcPr>
          <w:p w:rsidR="00350AAB" w:rsidRPr="00350AAB" w:rsidRDefault="00350AAB" w:rsidP="00246BD4">
            <w:pPr>
              <w:spacing w:before="80" w:after="80" w:line="200" w:lineRule="exact"/>
              <w:rPr>
                <w:i/>
                <w:sz w:val="16"/>
                <w:szCs w:val="16"/>
              </w:rPr>
            </w:pPr>
            <w:r w:rsidRPr="00350AAB">
              <w:rPr>
                <w:i/>
                <w:sz w:val="16"/>
                <w:szCs w:val="16"/>
              </w:rPr>
              <w:t>Secrétaire</w:t>
            </w:r>
          </w:p>
        </w:tc>
        <w:tc>
          <w:tcPr>
            <w:tcW w:w="1077" w:type="dxa"/>
            <w:tcBorders>
              <w:top w:val="single" w:sz="4" w:space="0" w:color="auto"/>
              <w:bottom w:val="single" w:sz="12" w:space="0" w:color="auto"/>
            </w:tcBorders>
          </w:tcPr>
          <w:p w:rsidR="00350AAB" w:rsidRPr="00350AAB" w:rsidRDefault="00E660CC" w:rsidP="00246BD4">
            <w:pPr>
              <w:spacing w:before="80" w:after="80" w:line="200" w:lineRule="exact"/>
              <w:rPr>
                <w:i/>
                <w:iCs/>
                <w:sz w:val="16"/>
                <w:szCs w:val="16"/>
              </w:rPr>
            </w:pPr>
            <w:r>
              <w:rPr>
                <w:i/>
                <w:iCs/>
                <w:sz w:val="16"/>
                <w:szCs w:val="16"/>
              </w:rPr>
              <w:t>Date</w:t>
            </w:r>
            <w:r>
              <w:rPr>
                <w:i/>
                <w:iCs/>
                <w:sz w:val="16"/>
                <w:szCs w:val="16"/>
              </w:rPr>
              <w:br/>
            </w:r>
            <w:r w:rsidR="00246BD4">
              <w:rPr>
                <w:i/>
                <w:iCs/>
                <w:sz w:val="16"/>
                <w:szCs w:val="16"/>
              </w:rPr>
              <w:t>d’expiration</w:t>
            </w:r>
            <w:r w:rsidR="00246BD4">
              <w:rPr>
                <w:i/>
                <w:iCs/>
                <w:sz w:val="16"/>
                <w:szCs w:val="16"/>
              </w:rPr>
              <w:br/>
            </w:r>
            <w:r w:rsidR="00350AAB" w:rsidRPr="00350AAB">
              <w:rPr>
                <w:i/>
                <w:iCs/>
                <w:sz w:val="16"/>
                <w:szCs w:val="16"/>
              </w:rPr>
              <w:t>du mandat</w:t>
            </w:r>
          </w:p>
        </w:tc>
      </w:tr>
      <w:tr w:rsidR="00350AAB" w:rsidRPr="00350AAB" w:rsidTr="00B645D5">
        <w:tc>
          <w:tcPr>
            <w:tcW w:w="1873" w:type="dxa"/>
            <w:shd w:val="clear" w:color="auto" w:fill="auto"/>
            <w:tcMar>
              <w:top w:w="113" w:type="dxa"/>
              <w:bottom w:w="113" w:type="dxa"/>
            </w:tcMar>
          </w:tcPr>
          <w:p w:rsidR="00350AAB" w:rsidRPr="00350AAB" w:rsidRDefault="00350AAB" w:rsidP="00246BD4">
            <w:pPr>
              <w:spacing w:before="40" w:after="120"/>
              <w:rPr>
                <w:lang w:val="fr-FR"/>
              </w:rPr>
            </w:pPr>
            <w:r w:rsidRPr="00350AAB">
              <w:rPr>
                <w:lang w:val="fr-FR"/>
              </w:rPr>
              <w:t>Groupe informel chargé d’élaborer un RTM sur les véhicules à moteur silencieux</w:t>
            </w:r>
          </w:p>
        </w:tc>
        <w:tc>
          <w:tcPr>
            <w:tcW w:w="3332" w:type="dxa"/>
            <w:shd w:val="clear" w:color="auto" w:fill="auto"/>
            <w:tcMar>
              <w:top w:w="113" w:type="dxa"/>
              <w:bottom w:w="113" w:type="dxa"/>
            </w:tcMar>
            <w:vAlign w:val="center"/>
          </w:tcPr>
          <w:p w:rsidR="00350AAB" w:rsidRPr="00350AAB" w:rsidRDefault="00350AAB" w:rsidP="00246BD4">
            <w:pPr>
              <w:spacing w:before="40" w:after="120"/>
            </w:pPr>
            <w:r w:rsidRPr="00350AAB">
              <w:t>M. Ezana Wondimneh (États-Unis d’Amérique)</w:t>
            </w:r>
            <w:r w:rsidRPr="00350AAB">
              <w:br/>
              <w:t>Tél.: +1 202 366 21 17</w:t>
            </w:r>
            <w:r w:rsidRPr="00350AAB">
              <w:br/>
              <w:t>Courriel: Ezana.wondimneh@dot.gov</w:t>
            </w:r>
          </w:p>
          <w:p w:rsidR="00350AAB" w:rsidRPr="00350AAB" w:rsidRDefault="00350AAB" w:rsidP="002173C3">
            <w:pPr>
              <w:spacing w:before="40" w:after="120"/>
              <w:rPr>
                <w:lang w:eastAsia="ja-JP"/>
              </w:rPr>
            </w:pPr>
            <w:r w:rsidRPr="002F4432">
              <w:rPr>
                <w:lang w:eastAsia="ja-JP"/>
              </w:rPr>
              <w:t>M. Ichiro Sakamoto (Japan)</w:t>
            </w:r>
            <w:r w:rsidR="002173C3" w:rsidRPr="002F4432">
              <w:rPr>
                <w:lang w:eastAsia="ja-JP"/>
              </w:rPr>
              <w:br/>
            </w:r>
            <w:r w:rsidRPr="002F4432">
              <w:rPr>
                <w:lang w:eastAsia="ja-JP"/>
              </w:rPr>
              <w:t xml:space="preserve">Tél. : </w:t>
            </w:r>
            <w:r w:rsidRPr="002F4432">
              <w:t>+81 422 41 66 18</w:t>
            </w:r>
            <w:r w:rsidR="002173C3" w:rsidRPr="002F4432">
              <w:br/>
            </w:r>
            <w:r w:rsidRPr="00350AAB">
              <w:t>Télécopie : +81 422 76 86 04</w:t>
            </w:r>
            <w:r w:rsidR="002173C3">
              <w:br/>
            </w:r>
            <w:r w:rsidRPr="00350AAB">
              <w:t xml:space="preserve">Courriel : </w:t>
            </w:r>
            <w:r w:rsidRPr="00350AAB">
              <w:rPr>
                <w:lang w:eastAsia="ja-JP"/>
              </w:rPr>
              <w:t>i-saka@ntsel.go.jp</w:t>
            </w:r>
          </w:p>
        </w:tc>
        <w:tc>
          <w:tcPr>
            <w:tcW w:w="3357" w:type="dxa"/>
            <w:shd w:val="clear" w:color="auto" w:fill="auto"/>
            <w:tcMar>
              <w:top w:w="113" w:type="dxa"/>
              <w:bottom w:w="113" w:type="dxa"/>
            </w:tcMar>
          </w:tcPr>
          <w:p w:rsidR="00350AAB" w:rsidRPr="00350AAB" w:rsidRDefault="00350AAB" w:rsidP="002173C3">
            <w:pPr>
              <w:spacing w:before="40" w:after="120"/>
              <w:rPr>
                <w:lang w:val="fr-FR"/>
              </w:rPr>
            </w:pPr>
            <w:r w:rsidRPr="00350AAB">
              <w:rPr>
                <w:lang w:val="fr-FR"/>
              </w:rPr>
              <w:t>M.</w:t>
            </w:r>
            <w:r w:rsidR="00246BD4">
              <w:rPr>
                <w:lang w:val="fr-FR"/>
              </w:rPr>
              <w:t> </w:t>
            </w:r>
            <w:r w:rsidRPr="00350AAB">
              <w:rPr>
                <w:lang w:val="fr-FR"/>
              </w:rPr>
              <w:t>Andreas Vosinis (DG</w:t>
            </w:r>
            <w:r w:rsidR="00246BD4">
              <w:rPr>
                <w:lang w:val="fr-FR"/>
              </w:rPr>
              <w:t> </w:t>
            </w:r>
            <w:r w:rsidRPr="00350AAB">
              <w:rPr>
                <w:lang w:val="fr-FR"/>
              </w:rPr>
              <w:t>Croissance, Commission Européenne)</w:t>
            </w:r>
            <w:r w:rsidRPr="00350AAB">
              <w:rPr>
                <w:lang w:val="fr-FR"/>
              </w:rPr>
              <w:br/>
              <w:t xml:space="preserve">Tél : + 32 2 2992116 </w:t>
            </w:r>
            <w:r w:rsidR="002173C3">
              <w:rPr>
                <w:lang w:val="fr-FR"/>
              </w:rPr>
              <w:br/>
            </w:r>
            <w:r w:rsidRPr="00350AAB">
              <w:rPr>
                <w:lang w:val="fr-FR"/>
              </w:rPr>
              <w:t xml:space="preserve">Courriel : andreas.vosinis@ec.europa.eu </w:t>
            </w:r>
          </w:p>
        </w:tc>
        <w:tc>
          <w:tcPr>
            <w:tcW w:w="1077" w:type="dxa"/>
          </w:tcPr>
          <w:p w:rsidR="00350AAB" w:rsidRPr="00350AAB" w:rsidRDefault="00350AAB" w:rsidP="00350AAB">
            <w:r w:rsidRPr="00350AAB">
              <w:rPr>
                <w:lang w:val="fr-FR"/>
              </w:rPr>
              <w:t>Décem</w:t>
            </w:r>
            <w:r w:rsidRPr="00350AAB">
              <w:t>bre 2018</w:t>
            </w:r>
          </w:p>
        </w:tc>
      </w:tr>
      <w:tr w:rsidR="00350AAB" w:rsidRPr="00350AAB" w:rsidTr="00B645D5">
        <w:tc>
          <w:tcPr>
            <w:tcW w:w="1873" w:type="dxa"/>
            <w:tcBorders>
              <w:bottom w:val="single" w:sz="12" w:space="0" w:color="auto"/>
            </w:tcBorders>
            <w:shd w:val="clear" w:color="auto" w:fill="auto"/>
            <w:tcMar>
              <w:top w:w="113" w:type="dxa"/>
              <w:bottom w:w="113" w:type="dxa"/>
            </w:tcMar>
          </w:tcPr>
          <w:p w:rsidR="00350AAB" w:rsidRPr="00350AAB" w:rsidRDefault="00350AAB" w:rsidP="00246BD4">
            <w:pPr>
              <w:spacing w:before="40" w:after="120"/>
              <w:rPr>
                <w:lang w:val="fr-FR"/>
              </w:rPr>
            </w:pPr>
            <w:r w:rsidRPr="00350AAB">
              <w:rPr>
                <w:lang w:val="fr-FR"/>
              </w:rPr>
              <w:t>Prescriptions supplémentaires concernant la mesure des émissions sonores (ASEP)</w:t>
            </w:r>
          </w:p>
        </w:tc>
        <w:tc>
          <w:tcPr>
            <w:tcW w:w="3332" w:type="dxa"/>
            <w:tcBorders>
              <w:bottom w:val="single" w:sz="12" w:space="0" w:color="auto"/>
            </w:tcBorders>
            <w:shd w:val="clear" w:color="auto" w:fill="auto"/>
            <w:tcMar>
              <w:top w:w="113" w:type="dxa"/>
              <w:bottom w:w="113" w:type="dxa"/>
            </w:tcMar>
          </w:tcPr>
          <w:p w:rsidR="00350AAB" w:rsidRPr="00350AAB" w:rsidRDefault="00350AAB" w:rsidP="00246BD4">
            <w:pPr>
              <w:spacing w:before="40" w:after="120"/>
              <w:rPr>
                <w:lang w:val="fr-FR"/>
              </w:rPr>
            </w:pPr>
            <w:r w:rsidRPr="00350AAB">
              <w:rPr>
                <w:lang w:val="fr-FR"/>
              </w:rPr>
              <w:t>M</w:t>
            </w:r>
            <w:r w:rsidRPr="00246BD4">
              <w:rPr>
                <w:vertAlign w:val="superscript"/>
                <w:lang w:val="fr-FR"/>
              </w:rPr>
              <w:t>me</w:t>
            </w:r>
            <w:r w:rsidR="00246BD4">
              <w:rPr>
                <w:lang w:val="fr-FR"/>
              </w:rPr>
              <w:t> </w:t>
            </w:r>
            <w:r w:rsidRPr="00350AAB">
              <w:rPr>
                <w:lang w:val="fr-FR"/>
              </w:rPr>
              <w:t>Louis-Ferdinand Pardo (France)</w:t>
            </w:r>
            <w:r w:rsidR="00B645D5">
              <w:rPr>
                <w:lang w:val="fr-FR"/>
              </w:rPr>
              <w:br/>
            </w:r>
            <w:r w:rsidRPr="00350AAB">
              <w:rPr>
                <w:lang w:val="fr-FR"/>
              </w:rPr>
              <w:t>Tél. : +33 1 69 80 17 66</w:t>
            </w:r>
            <w:r w:rsidR="00B645D5">
              <w:rPr>
                <w:lang w:val="fr-FR"/>
              </w:rPr>
              <w:br/>
            </w:r>
            <w:r w:rsidRPr="00350AAB">
              <w:rPr>
                <w:lang w:val="fr-FR"/>
              </w:rPr>
              <w:t>Télécopie : +33 1 69 80 17 09</w:t>
            </w:r>
            <w:r w:rsidR="00B645D5">
              <w:rPr>
                <w:lang w:val="fr-FR"/>
              </w:rPr>
              <w:br/>
            </w:r>
            <w:r w:rsidRPr="00350AAB">
              <w:rPr>
                <w:lang w:val="fr-FR"/>
              </w:rPr>
              <w:t>Courriel : louis</w:t>
            </w:r>
            <w:r w:rsidR="00B645D5">
              <w:rPr>
                <w:lang w:val="fr-FR"/>
              </w:rPr>
              <w:noBreakHyphen/>
            </w:r>
            <w:r w:rsidRPr="00350AAB">
              <w:rPr>
                <w:lang w:val="fr-FR"/>
              </w:rPr>
              <w:t>ferdinand.pardo@utaceram.com</w:t>
            </w:r>
          </w:p>
          <w:p w:rsidR="00350AAB" w:rsidRPr="00350AAB" w:rsidRDefault="00246BD4" w:rsidP="00246BD4">
            <w:pPr>
              <w:spacing w:before="40" w:after="120"/>
              <w:rPr>
                <w:lang w:val="fr-FR"/>
              </w:rPr>
            </w:pPr>
            <w:r w:rsidRPr="00246BD4">
              <w:t>M</w:t>
            </w:r>
            <w:r w:rsidR="00350AAB" w:rsidRPr="00246BD4">
              <w:t>. Dongming Xie (China)</w:t>
            </w:r>
            <w:r w:rsidR="00B645D5">
              <w:br/>
            </w:r>
            <w:r w:rsidR="00350AAB" w:rsidRPr="002F4432">
              <w:t>Tél. : +86 22 843 79284</w:t>
            </w:r>
            <w:r w:rsidR="00B645D5" w:rsidRPr="002F4432">
              <w:br/>
            </w:r>
            <w:r w:rsidR="00350AAB" w:rsidRPr="00350AAB">
              <w:rPr>
                <w:lang w:val="fr-FR"/>
              </w:rPr>
              <w:t>Télécopie : +86 22 84379259</w:t>
            </w:r>
            <w:r w:rsidR="00B645D5">
              <w:rPr>
                <w:lang w:val="fr-FR"/>
              </w:rPr>
              <w:br/>
            </w:r>
            <w:r w:rsidR="00350AAB" w:rsidRPr="00350AAB">
              <w:rPr>
                <w:lang w:val="fr-FR"/>
              </w:rPr>
              <w:t>Courriel : xiedongming@catarc.ac.cn</w:t>
            </w:r>
          </w:p>
          <w:p w:rsidR="00350AAB" w:rsidRPr="00350AAB" w:rsidRDefault="00350AAB" w:rsidP="00D25619">
            <w:pPr>
              <w:spacing w:before="40" w:after="120"/>
              <w:rPr>
                <w:lang w:val="fr-FR"/>
              </w:rPr>
            </w:pPr>
            <w:r w:rsidRPr="00350AAB">
              <w:t>M. Kazuhiro Okamoto (Japan)</w:t>
            </w:r>
            <w:r w:rsidR="00B645D5">
              <w:br/>
            </w:r>
            <w:r w:rsidRPr="00350AAB">
              <w:t>Tél.: +81 422 41 3227</w:t>
            </w:r>
            <w:r w:rsidR="00B645D5">
              <w:br/>
            </w:r>
            <w:r w:rsidRPr="00350AAB">
              <w:rPr>
                <w:lang w:val="fr-FR"/>
              </w:rPr>
              <w:t>Télécopie : +81 422 41 3232</w:t>
            </w:r>
            <w:r w:rsidR="00B645D5">
              <w:rPr>
                <w:lang w:val="fr-FR"/>
              </w:rPr>
              <w:br/>
            </w:r>
            <w:r w:rsidRPr="00350AAB">
              <w:rPr>
                <w:lang w:val="fr-FR"/>
              </w:rPr>
              <w:t>Courriel : k-okamot@shinsa.ntsel.go.jp</w:t>
            </w:r>
          </w:p>
        </w:tc>
        <w:tc>
          <w:tcPr>
            <w:tcW w:w="3357" w:type="dxa"/>
            <w:tcBorders>
              <w:bottom w:val="single" w:sz="12" w:space="0" w:color="auto"/>
            </w:tcBorders>
            <w:shd w:val="clear" w:color="auto" w:fill="FFFFFF" w:themeFill="background1"/>
            <w:tcMar>
              <w:top w:w="113" w:type="dxa"/>
              <w:bottom w:w="113" w:type="dxa"/>
            </w:tcMar>
          </w:tcPr>
          <w:p w:rsidR="00350AAB" w:rsidRPr="00350AAB" w:rsidRDefault="00350AAB" w:rsidP="00B645D5">
            <w:pPr>
              <w:spacing w:before="40" w:after="120"/>
            </w:pPr>
            <w:r w:rsidRPr="00350AAB">
              <w:t>M</w:t>
            </w:r>
            <w:r w:rsidRPr="00246BD4">
              <w:rPr>
                <w:vertAlign w:val="superscript"/>
              </w:rPr>
              <w:t>me</w:t>
            </w:r>
            <w:r w:rsidR="00246BD4" w:rsidRPr="00246BD4">
              <w:t> </w:t>
            </w:r>
            <w:r w:rsidRPr="00350AAB">
              <w:t>Françoise Silvani</w:t>
            </w:r>
            <w:r w:rsidR="00B645D5">
              <w:br/>
            </w:r>
            <w:r w:rsidRPr="00350AAB">
              <w:t>(OICA)</w:t>
            </w:r>
            <w:r w:rsidR="00B645D5">
              <w:br/>
            </w:r>
            <w:r w:rsidRPr="00350AAB">
              <w:t>Tél. : +33 1 76 85 05 92</w:t>
            </w:r>
            <w:r w:rsidR="00B645D5">
              <w:br/>
            </w:r>
            <w:r w:rsidRPr="00350AAB">
              <w:t>Télécopie : +33 1 76 86 92 89</w:t>
            </w:r>
            <w:r w:rsidR="00B645D5">
              <w:br/>
            </w:r>
            <w:r w:rsidRPr="00350AAB">
              <w:t>Courriel : francoise.silvani@renault.com</w:t>
            </w:r>
            <w:r w:rsidR="002E4E52">
              <w:t xml:space="preserve"> </w:t>
            </w:r>
          </w:p>
        </w:tc>
        <w:tc>
          <w:tcPr>
            <w:tcW w:w="1077" w:type="dxa"/>
            <w:tcBorders>
              <w:bottom w:val="single" w:sz="12" w:space="0" w:color="auto"/>
            </w:tcBorders>
          </w:tcPr>
          <w:p w:rsidR="00350AAB" w:rsidRPr="00350AAB" w:rsidRDefault="00350AAB" w:rsidP="00350AAB">
            <w:pPr>
              <w:rPr>
                <w:vertAlign w:val="superscript"/>
              </w:rPr>
            </w:pPr>
            <w:r w:rsidRPr="00350AAB">
              <w:t>Septembre 2019</w:t>
            </w:r>
          </w:p>
        </w:tc>
      </w:tr>
    </w:tbl>
    <w:p w:rsidR="00F9573C" w:rsidRPr="00350AAB" w:rsidRDefault="00350AAB" w:rsidP="00350AAB">
      <w:pPr>
        <w:pStyle w:val="SingleTxtG"/>
        <w:spacing w:before="240" w:after="0"/>
        <w:jc w:val="center"/>
        <w:rPr>
          <w:u w:val="single"/>
        </w:rPr>
      </w:pPr>
      <w:r>
        <w:rPr>
          <w:u w:val="single"/>
        </w:rPr>
        <w:tab/>
      </w:r>
      <w:r>
        <w:rPr>
          <w:u w:val="single"/>
        </w:rPr>
        <w:tab/>
      </w:r>
      <w:r>
        <w:rPr>
          <w:u w:val="single"/>
        </w:rPr>
        <w:tab/>
      </w:r>
    </w:p>
    <w:sectPr w:rsidR="00F9573C" w:rsidRPr="00350AAB" w:rsidSect="00350A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148" w:rsidRDefault="00352148" w:rsidP="00F95C08">
      <w:pPr>
        <w:spacing w:line="240" w:lineRule="auto"/>
      </w:pPr>
    </w:p>
  </w:endnote>
  <w:endnote w:type="continuationSeparator" w:id="0">
    <w:p w:rsidR="00352148" w:rsidRPr="00AC3823" w:rsidRDefault="00352148" w:rsidP="00AC3823">
      <w:pPr>
        <w:pStyle w:val="Footer"/>
      </w:pPr>
    </w:p>
  </w:endnote>
  <w:endnote w:type="continuationNotice" w:id="1">
    <w:p w:rsidR="00352148" w:rsidRDefault="003521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8" w:rsidRPr="00350AAB" w:rsidRDefault="00352148" w:rsidP="00350AAB">
    <w:pPr>
      <w:pStyle w:val="Footer"/>
      <w:tabs>
        <w:tab w:val="right" w:pos="9638"/>
      </w:tabs>
    </w:pPr>
    <w:r w:rsidRPr="00350AAB">
      <w:rPr>
        <w:b/>
        <w:sz w:val="18"/>
      </w:rPr>
      <w:fldChar w:fldCharType="begin"/>
    </w:r>
    <w:r w:rsidRPr="00350AAB">
      <w:rPr>
        <w:b/>
        <w:sz w:val="18"/>
      </w:rPr>
      <w:instrText xml:space="preserve"> PAGE  \* MERGEFORMAT </w:instrText>
    </w:r>
    <w:r w:rsidRPr="00350AAB">
      <w:rPr>
        <w:b/>
        <w:sz w:val="18"/>
      </w:rPr>
      <w:fldChar w:fldCharType="separate"/>
    </w:r>
    <w:r w:rsidR="001B2D15">
      <w:rPr>
        <w:b/>
        <w:noProof/>
        <w:sz w:val="18"/>
      </w:rPr>
      <w:t>2</w:t>
    </w:r>
    <w:r w:rsidRPr="00350AAB">
      <w:rPr>
        <w:b/>
        <w:sz w:val="18"/>
      </w:rPr>
      <w:fldChar w:fldCharType="end"/>
    </w:r>
    <w:r>
      <w:rPr>
        <w:b/>
        <w:sz w:val="18"/>
      </w:rPr>
      <w:tab/>
    </w:r>
    <w:r>
      <w:t>GE.18-03540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8" w:rsidRPr="00350AAB" w:rsidRDefault="00352148" w:rsidP="00350AAB">
    <w:pPr>
      <w:pStyle w:val="Footer"/>
      <w:tabs>
        <w:tab w:val="right" w:pos="9638"/>
      </w:tabs>
      <w:rPr>
        <w:b/>
        <w:sz w:val="18"/>
      </w:rPr>
    </w:pPr>
    <w:r>
      <w:t>GE.18-03540</w:t>
    </w:r>
    <w:r>
      <w:tab/>
    </w:r>
    <w:r w:rsidRPr="00350AAB">
      <w:rPr>
        <w:b/>
        <w:sz w:val="18"/>
      </w:rPr>
      <w:fldChar w:fldCharType="begin"/>
    </w:r>
    <w:r w:rsidRPr="00350AAB">
      <w:rPr>
        <w:b/>
        <w:sz w:val="18"/>
      </w:rPr>
      <w:instrText xml:space="preserve"> PAGE  \* MERGEFORMAT </w:instrText>
    </w:r>
    <w:r w:rsidRPr="00350AAB">
      <w:rPr>
        <w:b/>
        <w:sz w:val="18"/>
      </w:rPr>
      <w:fldChar w:fldCharType="separate"/>
    </w:r>
    <w:r w:rsidR="001B2D15">
      <w:rPr>
        <w:b/>
        <w:noProof/>
        <w:sz w:val="18"/>
      </w:rPr>
      <w:t>5</w:t>
    </w:r>
    <w:r w:rsidRPr="00350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8" w:rsidRPr="00350AAB" w:rsidRDefault="00352148" w:rsidP="00350AAB">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18-03540  (F)    280318    300518</w:t>
    </w:r>
    <w:r>
      <w:rPr>
        <w:sz w:val="20"/>
      </w:rPr>
      <w:br/>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sidRPr="00350AA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148" w:rsidRPr="00AC3823" w:rsidRDefault="00352148" w:rsidP="00AC3823">
      <w:pPr>
        <w:pStyle w:val="Footer"/>
        <w:tabs>
          <w:tab w:val="right" w:pos="2155"/>
        </w:tabs>
        <w:spacing w:after="80" w:line="240" w:lineRule="atLeast"/>
        <w:ind w:left="680"/>
        <w:rPr>
          <w:u w:val="single"/>
        </w:rPr>
      </w:pPr>
      <w:r>
        <w:rPr>
          <w:u w:val="single"/>
        </w:rPr>
        <w:tab/>
      </w:r>
    </w:p>
  </w:footnote>
  <w:footnote w:type="continuationSeparator" w:id="0">
    <w:p w:rsidR="00352148" w:rsidRPr="00AC3823" w:rsidRDefault="00352148" w:rsidP="00AC3823">
      <w:pPr>
        <w:pStyle w:val="Footer"/>
        <w:tabs>
          <w:tab w:val="right" w:pos="2155"/>
        </w:tabs>
        <w:spacing w:after="80" w:line="240" w:lineRule="atLeast"/>
        <w:ind w:left="680"/>
        <w:rPr>
          <w:u w:val="single"/>
        </w:rPr>
      </w:pPr>
      <w:r>
        <w:rPr>
          <w:u w:val="single"/>
        </w:rPr>
        <w:tab/>
      </w:r>
    </w:p>
  </w:footnote>
  <w:footnote w:type="continuationNotice" w:id="1">
    <w:p w:rsidR="00352148" w:rsidRPr="00AC3823" w:rsidRDefault="00352148">
      <w:pPr>
        <w:spacing w:line="240" w:lineRule="auto"/>
        <w:rPr>
          <w:sz w:val="2"/>
          <w:szCs w:val="2"/>
        </w:rPr>
      </w:pPr>
    </w:p>
  </w:footnote>
  <w:footnote w:id="2">
    <w:p w:rsidR="00352148" w:rsidRDefault="00352148" w:rsidP="00350AAB">
      <w:pPr>
        <w:pStyle w:val="FootnoteText"/>
      </w:pPr>
      <w:r>
        <w:tab/>
      </w:r>
      <w:r w:rsidRPr="00D703E2">
        <w:rPr>
          <w:rStyle w:val="FootnoteReference"/>
        </w:rPr>
        <w:footnoteRef/>
      </w:r>
      <w:r>
        <w:tab/>
      </w:r>
      <w:r>
        <w:rPr>
          <w:lang w:val="en-US"/>
        </w:rPr>
        <w:t>Biffer la mention inutile</w:t>
      </w:r>
      <w:r w:rsidRPr="00DE1F4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8" w:rsidRPr="00350AAB" w:rsidRDefault="001B2D15">
    <w:pPr>
      <w:pStyle w:val="Header"/>
    </w:pPr>
    <w:r>
      <w:fldChar w:fldCharType="begin"/>
    </w:r>
    <w:r>
      <w:instrText xml:space="preserve"> TITLE  \* MERGEFORMAT </w:instrText>
    </w:r>
    <w:r>
      <w:fldChar w:fldCharType="separate"/>
    </w:r>
    <w:r w:rsidR="00C510A6">
      <w:t>ECE/TRANS/WP.29/GRB/65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48" w:rsidRPr="00350AAB" w:rsidRDefault="001B2D15" w:rsidP="00350AAB">
    <w:pPr>
      <w:pStyle w:val="Header"/>
      <w:jc w:val="right"/>
    </w:pPr>
    <w:r>
      <w:fldChar w:fldCharType="begin"/>
    </w:r>
    <w:r>
      <w:instrText xml:space="preserve"> TITLE  \* MERGEFORMAT </w:instrText>
    </w:r>
    <w:r>
      <w:fldChar w:fldCharType="separate"/>
    </w:r>
    <w:r w:rsidR="00C510A6">
      <w:t>ECE/TRANS/WP.29/GRB/65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DA7B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25FA23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7FE66B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0"/>
  </w:num>
  <w:num w:numId="17">
    <w:abstractNumId w:val="24"/>
  </w:num>
  <w:num w:numId="18">
    <w:abstractNumId w:val="11"/>
  </w:num>
  <w:num w:numId="19">
    <w:abstractNumId w:val="14"/>
  </w:num>
  <w:num w:numId="20">
    <w:abstractNumId w:val="19"/>
  </w:num>
  <w:num w:numId="21">
    <w:abstractNumId w:val="21"/>
  </w:num>
  <w:num w:numId="22">
    <w:abstractNumId w:val="15"/>
  </w:num>
  <w:num w:numId="23">
    <w:abstractNumId w:val="16"/>
  </w:num>
  <w:num w:numId="24">
    <w:abstractNumId w:val="13"/>
  </w:num>
  <w:num w:numId="25">
    <w:abstractNumId w:val="22"/>
  </w:num>
  <w:num w:numId="26">
    <w:abstractNumId w:val="23"/>
  </w:num>
  <w:num w:numId="27">
    <w:abstractNumId w:val="12"/>
  </w:num>
  <w:num w:numId="28">
    <w:abstractNumId w:val="18"/>
  </w:num>
  <w:num w:numId="29">
    <w:abstractNumId w:val="20"/>
  </w:num>
  <w:num w:numId="30">
    <w:abstractNumId w:val="20"/>
  </w:num>
  <w:num w:numId="31">
    <w:abstractNumId w:val="20"/>
  </w:num>
  <w:num w:numId="32">
    <w:abstractNumId w:val="20"/>
  </w:num>
  <w:num w:numId="33">
    <w:abstractNumId w:val="17"/>
  </w:num>
  <w:num w:numId="34">
    <w:abstractNumId w:val="17"/>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0C"/>
    <w:rsid w:val="00017F94"/>
    <w:rsid w:val="00023842"/>
    <w:rsid w:val="000334F9"/>
    <w:rsid w:val="00045FEB"/>
    <w:rsid w:val="0007796D"/>
    <w:rsid w:val="000B7790"/>
    <w:rsid w:val="000C1DC7"/>
    <w:rsid w:val="00111F2F"/>
    <w:rsid w:val="0014365E"/>
    <w:rsid w:val="00143C66"/>
    <w:rsid w:val="00176178"/>
    <w:rsid w:val="001B2D15"/>
    <w:rsid w:val="001F525A"/>
    <w:rsid w:val="002173C3"/>
    <w:rsid w:val="00223272"/>
    <w:rsid w:val="00246BD4"/>
    <w:rsid w:val="0024779E"/>
    <w:rsid w:val="00257168"/>
    <w:rsid w:val="00267BF7"/>
    <w:rsid w:val="002744B8"/>
    <w:rsid w:val="002832AC"/>
    <w:rsid w:val="002D7C93"/>
    <w:rsid w:val="002E2D0C"/>
    <w:rsid w:val="002E4E52"/>
    <w:rsid w:val="002F4432"/>
    <w:rsid w:val="00305801"/>
    <w:rsid w:val="00350AAB"/>
    <w:rsid w:val="00352148"/>
    <w:rsid w:val="003916DE"/>
    <w:rsid w:val="0040656C"/>
    <w:rsid w:val="00441C3B"/>
    <w:rsid w:val="00446FE5"/>
    <w:rsid w:val="00452396"/>
    <w:rsid w:val="004837D8"/>
    <w:rsid w:val="004E468C"/>
    <w:rsid w:val="005505B7"/>
    <w:rsid w:val="00573BE5"/>
    <w:rsid w:val="00586ED3"/>
    <w:rsid w:val="00596AA9"/>
    <w:rsid w:val="006D6A65"/>
    <w:rsid w:val="0071601D"/>
    <w:rsid w:val="00752F50"/>
    <w:rsid w:val="007A231C"/>
    <w:rsid w:val="007A62E6"/>
    <w:rsid w:val="007F20FA"/>
    <w:rsid w:val="0080684C"/>
    <w:rsid w:val="008564E2"/>
    <w:rsid w:val="00871C75"/>
    <w:rsid w:val="008776DC"/>
    <w:rsid w:val="008938E4"/>
    <w:rsid w:val="008948D1"/>
    <w:rsid w:val="008972C2"/>
    <w:rsid w:val="008C42B3"/>
    <w:rsid w:val="008F7D11"/>
    <w:rsid w:val="00903F96"/>
    <w:rsid w:val="009446C0"/>
    <w:rsid w:val="009705C8"/>
    <w:rsid w:val="00993442"/>
    <w:rsid w:val="009C1CF4"/>
    <w:rsid w:val="009C37F5"/>
    <w:rsid w:val="009C40B3"/>
    <w:rsid w:val="009F6B74"/>
    <w:rsid w:val="00A30353"/>
    <w:rsid w:val="00A824EF"/>
    <w:rsid w:val="00AA3F17"/>
    <w:rsid w:val="00AC3823"/>
    <w:rsid w:val="00AE323C"/>
    <w:rsid w:val="00AF0CB5"/>
    <w:rsid w:val="00B00181"/>
    <w:rsid w:val="00B00B0D"/>
    <w:rsid w:val="00B47A03"/>
    <w:rsid w:val="00B645D5"/>
    <w:rsid w:val="00B765F7"/>
    <w:rsid w:val="00BA0CA9"/>
    <w:rsid w:val="00BF2F0E"/>
    <w:rsid w:val="00C02897"/>
    <w:rsid w:val="00C50D35"/>
    <w:rsid w:val="00C510A6"/>
    <w:rsid w:val="00C53830"/>
    <w:rsid w:val="00C97039"/>
    <w:rsid w:val="00D02708"/>
    <w:rsid w:val="00D25619"/>
    <w:rsid w:val="00D3439C"/>
    <w:rsid w:val="00D60E72"/>
    <w:rsid w:val="00DB1831"/>
    <w:rsid w:val="00DD1485"/>
    <w:rsid w:val="00DD3BFD"/>
    <w:rsid w:val="00DD7F69"/>
    <w:rsid w:val="00DF6678"/>
    <w:rsid w:val="00E0299A"/>
    <w:rsid w:val="00E243D7"/>
    <w:rsid w:val="00E27901"/>
    <w:rsid w:val="00E660CC"/>
    <w:rsid w:val="00E85C74"/>
    <w:rsid w:val="00EA6547"/>
    <w:rsid w:val="00EF2E22"/>
    <w:rsid w:val="00F35BAF"/>
    <w:rsid w:val="00F660DF"/>
    <w:rsid w:val="00F94664"/>
    <w:rsid w:val="00F9573C"/>
    <w:rsid w:val="00F95C08"/>
    <w:rsid w:val="00FF6D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7AC10E-9274-4406-BCB7-95FB9DA4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TRL Head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1 Char,TRL Head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350AAB"/>
  </w:style>
  <w:style w:type="table" w:customStyle="1" w:styleId="Grilledutableau1">
    <w:name w:val="Grille du tableau1"/>
    <w:basedOn w:val="TableNormal"/>
    <w:next w:val="TableGrid"/>
    <w:rsid w:val="00350AA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350AAB"/>
    <w:rPr>
      <w:rFonts w:ascii="Times New Roman" w:eastAsiaTheme="minorHAnsi" w:hAnsi="Times New Roman" w:cs="Times New Roman"/>
      <w:sz w:val="20"/>
      <w:szCs w:val="20"/>
      <w:lang w:eastAsia="en-US"/>
    </w:rPr>
  </w:style>
  <w:style w:type="table" w:styleId="Table3Deffects1">
    <w:name w:val="Table 3D effects 1"/>
    <w:basedOn w:val="TableNormal"/>
    <w:semiHidden/>
    <w:rsid w:val="00350AAB"/>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0AAB"/>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0AAB"/>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0AAB"/>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0AAB"/>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0AAB"/>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0AAB"/>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0AAB"/>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0AAB"/>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0AAB"/>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0AAB"/>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0AAB"/>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50AAB"/>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350AAB"/>
    <w:rPr>
      <w:rFonts w:ascii="Times New Roman" w:eastAsiaTheme="minorHAnsi" w:hAnsi="Times New Roman" w:cs="Times New Roman"/>
      <w:b/>
      <w:sz w:val="24"/>
      <w:szCs w:val="20"/>
      <w:lang w:eastAsia="en-US"/>
    </w:rPr>
  </w:style>
  <w:style w:type="character" w:customStyle="1" w:styleId="HChGChar">
    <w:name w:val="_ H _Ch_G Char"/>
    <w:link w:val="HChG"/>
    <w:rsid w:val="00350AAB"/>
    <w:rPr>
      <w:rFonts w:ascii="Times New Roman" w:eastAsiaTheme="minorHAnsi" w:hAnsi="Times New Roman" w:cs="Times New Roman"/>
      <w:b/>
      <w:sz w:val="28"/>
      <w:szCs w:val="20"/>
      <w:lang w:eastAsia="en-US"/>
    </w:rPr>
  </w:style>
  <w:style w:type="paragraph" w:styleId="Revision">
    <w:name w:val="Revision"/>
    <w:hidden/>
    <w:uiPriority w:val="99"/>
    <w:semiHidden/>
    <w:rsid w:val="00350AAB"/>
    <w:pPr>
      <w:spacing w:after="0" w:line="240" w:lineRule="auto"/>
    </w:pPr>
    <w:rPr>
      <w:rFonts w:ascii="Times New Roman" w:hAnsi="Times New Roman" w:cs="Times New Roman"/>
      <w:sz w:val="20"/>
      <w:szCs w:val="20"/>
      <w:lang w:val="en-GB" w:eastAsia="en-US"/>
    </w:rPr>
  </w:style>
  <w:style w:type="paragraph" w:styleId="TOC1">
    <w:name w:val="toc 1"/>
    <w:basedOn w:val="Normal"/>
    <w:next w:val="Normal"/>
    <w:autoRedefine/>
    <w:uiPriority w:val="39"/>
    <w:rsid w:val="00350AAB"/>
    <w:pPr>
      <w:tabs>
        <w:tab w:val="left" w:pos="440"/>
        <w:tab w:val="left" w:pos="660"/>
        <w:tab w:val="right" w:leader="dot" w:pos="8505"/>
      </w:tabs>
      <w:spacing w:after="120"/>
      <w:ind w:left="1134" w:hanging="1134"/>
    </w:pPr>
  </w:style>
  <w:style w:type="paragraph" w:customStyle="1" w:styleId="SingleTxtGR">
    <w:name w:val="_ Single Txt_GR"/>
    <w:basedOn w:val="Normal"/>
    <w:qFormat/>
    <w:rsid w:val="009C37F5"/>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6567</Words>
  <Characters>37436</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ECE/TRANS/WP.29/GRB/65</vt:lpstr>
      <vt:lpstr>ECE/TRANS/WP.29/GRB/65</vt:lpstr>
    </vt:vector>
  </TitlesOfParts>
  <Company>DCM</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ECE/TRANS/WP.29/GRB/65</dc:title>
  <dc:subject/>
  <dc:creator>Annie BEAUNEE</dc:creator>
  <cp:keywords/>
  <cp:lastModifiedBy>Benedicte Boudol</cp:lastModifiedBy>
  <cp:revision>2</cp:revision>
  <cp:lastPrinted>2018-05-30T08:37:00Z</cp:lastPrinted>
  <dcterms:created xsi:type="dcterms:W3CDTF">2018-06-06T08:22:00Z</dcterms:created>
  <dcterms:modified xsi:type="dcterms:W3CDTF">2018-06-06T08:22:00Z</dcterms:modified>
</cp:coreProperties>
</file>