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7CF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7CFD" w:rsidP="00CC7CFD">
            <w:pPr>
              <w:jc w:val="right"/>
            </w:pPr>
            <w:r w:rsidRPr="00CC7CFD">
              <w:rPr>
                <w:sz w:val="40"/>
              </w:rPr>
              <w:t>ECE</w:t>
            </w:r>
            <w:r>
              <w:t>/TRANS/WP.29/GRB/2018/2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7CFD" w:rsidP="00C97039">
            <w:pPr>
              <w:spacing w:before="240"/>
            </w:pPr>
            <w:proofErr w:type="spellStart"/>
            <w:r>
              <w:t>Distr</w:t>
            </w:r>
            <w:proofErr w:type="spellEnd"/>
            <w:r>
              <w:t>. générale</w:t>
            </w:r>
          </w:p>
          <w:p w:rsidR="00CC7CFD" w:rsidRDefault="00CC7CFD" w:rsidP="00CC7CFD">
            <w:pPr>
              <w:spacing w:line="240" w:lineRule="exact"/>
            </w:pPr>
            <w:r>
              <w:t>8 novembre 2017</w:t>
            </w:r>
          </w:p>
          <w:p w:rsidR="00CC7CFD" w:rsidRDefault="00CC7CFD" w:rsidP="00CC7CFD">
            <w:pPr>
              <w:spacing w:line="240" w:lineRule="exact"/>
            </w:pPr>
            <w:r>
              <w:t>Français</w:t>
            </w:r>
          </w:p>
          <w:p w:rsidR="00CC7CFD" w:rsidRPr="00DB58B5" w:rsidRDefault="00CC7CFD" w:rsidP="00CC7CF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534E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C7CFD" w:rsidRDefault="00CC7CFD" w:rsidP="00AF0CB5">
      <w:pPr>
        <w:spacing w:before="120"/>
        <w:rPr>
          <w:b/>
          <w:sz w:val="24"/>
          <w:szCs w:val="24"/>
        </w:rPr>
      </w:pPr>
      <w:r w:rsidRPr="00685843">
        <w:rPr>
          <w:b/>
          <w:sz w:val="24"/>
          <w:szCs w:val="24"/>
        </w:rPr>
        <w:t>Forum mondial de l</w:t>
      </w:r>
      <w:r w:rsidR="002534E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17802" w:rsidRDefault="00317802" w:rsidP="00317802">
      <w:pPr>
        <w:spacing w:before="120" w:after="120" w:line="240" w:lineRule="exact"/>
        <w:rPr>
          <w:b/>
        </w:rPr>
      </w:pPr>
      <w:r>
        <w:rPr>
          <w:b/>
        </w:rPr>
        <w:t>Groupe de travail du bruit</w:t>
      </w:r>
    </w:p>
    <w:p w:rsidR="00CC7CFD" w:rsidRDefault="00CC7CFD" w:rsidP="00257168">
      <w:pPr>
        <w:spacing w:before="120" w:line="240" w:lineRule="exact"/>
        <w:rPr>
          <w:b/>
        </w:rPr>
      </w:pPr>
      <w:bookmarkStart w:id="0" w:name="_GoBack"/>
      <w:bookmarkEnd w:id="0"/>
      <w:r w:rsidRPr="00CC7CFD">
        <w:rPr>
          <w:b/>
          <w:lang w:val="fr-FR"/>
        </w:rPr>
        <w:t>Soixante-septième</w:t>
      </w:r>
      <w:r w:rsidRPr="00CC7CFD">
        <w:rPr>
          <w:b/>
        </w:rPr>
        <w:t xml:space="preserve"> </w:t>
      </w:r>
      <w:r>
        <w:rPr>
          <w:b/>
        </w:rPr>
        <w:t>session</w:t>
      </w:r>
    </w:p>
    <w:p w:rsidR="00CC7CFD" w:rsidRDefault="00CC7CFD" w:rsidP="00257168">
      <w:pPr>
        <w:spacing w:line="240" w:lineRule="exact"/>
      </w:pPr>
      <w:r>
        <w:t xml:space="preserve">Genève, </w:t>
      </w:r>
      <w:r w:rsidRPr="00CC7CFD">
        <w:rPr>
          <w:lang w:val="fr-FR"/>
        </w:rPr>
        <w:t>24-26 janvier 2018</w:t>
      </w:r>
    </w:p>
    <w:p w:rsidR="00CC7CFD" w:rsidRDefault="00CC7CFD" w:rsidP="00257168">
      <w:pPr>
        <w:spacing w:line="240" w:lineRule="exact"/>
      </w:pPr>
      <w:r>
        <w:t xml:space="preserve">Point </w:t>
      </w:r>
      <w:r>
        <w:rPr>
          <w:lang w:val="fr-FR"/>
        </w:rPr>
        <w:t xml:space="preserve">4 a) </w:t>
      </w:r>
      <w:r>
        <w:t>de l</w:t>
      </w:r>
      <w:r w:rsidR="002534E9">
        <w:t>’</w:t>
      </w:r>
      <w:r>
        <w:t>ordre du jour provisoire</w:t>
      </w:r>
    </w:p>
    <w:p w:rsidR="00CC7CFD" w:rsidRDefault="00CC7CFD" w:rsidP="00CC7CFD">
      <w:pPr>
        <w:rPr>
          <w:b/>
        </w:rPr>
      </w:pPr>
      <w:r>
        <w:rPr>
          <w:b/>
          <w:bCs/>
          <w:lang w:val="fr-FR"/>
        </w:rPr>
        <w:t>Règlement n</w:t>
      </w:r>
      <w:r>
        <w:rPr>
          <w:b/>
          <w:bCs/>
          <w:vertAlign w:val="superscript"/>
          <w:lang w:val="fr-FR"/>
        </w:rPr>
        <w:t>o</w:t>
      </w:r>
      <w:r>
        <w:rPr>
          <w:b/>
          <w:bCs/>
          <w:lang w:val="fr-FR"/>
        </w:rPr>
        <w:t xml:space="preserve"> 51 (Bruit des véhicules des catégories M et N) :</w:t>
      </w:r>
    </w:p>
    <w:p w:rsidR="00F9573C" w:rsidRDefault="00CC7CFD" w:rsidP="00CC7CFD">
      <w:pPr>
        <w:rPr>
          <w:b/>
          <w:bCs/>
          <w:lang w:val="fr-FR"/>
        </w:rPr>
      </w:pPr>
      <w:r>
        <w:rPr>
          <w:b/>
          <w:bCs/>
          <w:lang w:val="fr-FR"/>
        </w:rPr>
        <w:t>Extension</w:t>
      </w:r>
    </w:p>
    <w:p w:rsidR="00CC7CFD" w:rsidRPr="00A56656" w:rsidRDefault="00CC7CFD" w:rsidP="00CC7CFD">
      <w:pPr>
        <w:pStyle w:val="HChG"/>
        <w:rPr>
          <w:rFonts w:eastAsia="Times New Roman"/>
        </w:rPr>
      </w:pPr>
      <w:r>
        <w:rPr>
          <w:lang w:val="fr-FR"/>
        </w:rPr>
        <w:tab/>
      </w:r>
      <w:r>
        <w:rPr>
          <w:lang w:val="fr-FR"/>
        </w:rPr>
        <w:tab/>
        <w:t xml:space="preserve">Proposition de complément 4 à la série </w:t>
      </w:r>
      <w:r w:rsidR="00E02CBC">
        <w:rPr>
          <w:lang w:val="fr-FR"/>
        </w:rPr>
        <w:t>0</w:t>
      </w:r>
      <w:r>
        <w:rPr>
          <w:lang w:val="fr-FR"/>
        </w:rPr>
        <w:t>3 d</w:t>
      </w:r>
      <w:r w:rsidR="002534E9">
        <w:rPr>
          <w:lang w:val="fr-FR"/>
        </w:rPr>
        <w:t>’</w:t>
      </w:r>
      <w:r>
        <w:rPr>
          <w:lang w:val="fr-FR"/>
        </w:rPr>
        <w:t xml:space="preserve">amendements au Règlement </w:t>
      </w:r>
      <w:r w:rsidRPr="00CC7CFD">
        <w:rPr>
          <w:rFonts w:eastAsia="MS Mincho"/>
          <w:szCs w:val="22"/>
          <w:lang w:val="fr-FR"/>
        </w:rPr>
        <w:t>n</w:t>
      </w:r>
      <w:r w:rsidRPr="00CC7CFD">
        <w:rPr>
          <w:rFonts w:eastAsia="MS Mincho"/>
          <w:szCs w:val="22"/>
          <w:vertAlign w:val="superscript"/>
          <w:lang w:val="fr-FR"/>
        </w:rPr>
        <w:t>o</w:t>
      </w:r>
      <w:r>
        <w:rPr>
          <w:lang w:val="fr-FR"/>
        </w:rPr>
        <w:t> 51 (Bruit des véhicules des catégories M et N)</w:t>
      </w:r>
    </w:p>
    <w:p w:rsidR="00CC7CFD" w:rsidRPr="00A56656" w:rsidRDefault="00CC7CFD" w:rsidP="00CC7CFD">
      <w:pPr>
        <w:pStyle w:val="H1G"/>
      </w:pPr>
      <w:r>
        <w:rPr>
          <w:lang w:val="fr-FR"/>
        </w:rPr>
        <w:tab/>
      </w:r>
      <w:r>
        <w:rPr>
          <w:lang w:val="fr-FR"/>
        </w:rPr>
        <w:tab/>
        <w:t>Communication de l</w:t>
      </w:r>
      <w:r w:rsidR="002534E9">
        <w:rPr>
          <w:lang w:val="fr-FR"/>
        </w:rPr>
        <w:t>’</w:t>
      </w:r>
      <w:r>
        <w:rPr>
          <w:lang w:val="fr-FR"/>
        </w:rPr>
        <w:t>expert de l</w:t>
      </w:r>
      <w:r w:rsidR="002534E9">
        <w:rPr>
          <w:lang w:val="fr-FR"/>
        </w:rPr>
        <w:t>’</w:t>
      </w:r>
      <w:r>
        <w:rPr>
          <w:lang w:val="fr-FR"/>
        </w:rPr>
        <w:t xml:space="preserve">Organisation internationale </w:t>
      </w:r>
      <w:r>
        <w:rPr>
          <w:lang w:val="fr-FR"/>
        </w:rPr>
        <w:br/>
        <w:t>des constructeurs d</w:t>
      </w:r>
      <w:r w:rsidR="002534E9">
        <w:rPr>
          <w:lang w:val="fr-FR"/>
        </w:rPr>
        <w:t>’</w:t>
      </w:r>
      <w:r>
        <w:rPr>
          <w:lang w:val="fr-FR"/>
        </w:rPr>
        <w:t>automobiles</w:t>
      </w:r>
      <w:r w:rsidRPr="00CC7CFD">
        <w:rPr>
          <w:rStyle w:val="FootnoteReference"/>
          <w:b w:val="0"/>
          <w:sz w:val="20"/>
          <w:vertAlign w:val="baseline"/>
        </w:rPr>
        <w:footnoteReference w:customMarkFollows="1" w:id="2"/>
        <w:t>*</w:t>
      </w:r>
    </w:p>
    <w:p w:rsidR="00CC7CFD" w:rsidRDefault="00CC7CFD" w:rsidP="00CC7CFD">
      <w:pPr>
        <w:pStyle w:val="SingleTxtG"/>
        <w:ind w:firstLine="567"/>
        <w:rPr>
          <w:lang w:val="fr-FR"/>
        </w:rPr>
      </w:pPr>
      <w:r>
        <w:rPr>
          <w:lang w:val="fr-FR"/>
        </w:rPr>
        <w:t>Le texte ci-après, établi par les experts de l</w:t>
      </w:r>
      <w:r w:rsidR="002534E9">
        <w:rPr>
          <w:lang w:val="fr-FR"/>
        </w:rPr>
        <w:t>’</w:t>
      </w:r>
      <w:r>
        <w:rPr>
          <w:lang w:val="fr-FR"/>
        </w:rPr>
        <w:t>Organisation internationale des constructeurs d</w:t>
      </w:r>
      <w:r w:rsidR="002534E9">
        <w:rPr>
          <w:lang w:val="fr-FR"/>
        </w:rPr>
        <w:t>’</w:t>
      </w:r>
      <w:r>
        <w:rPr>
          <w:lang w:val="fr-FR"/>
        </w:rPr>
        <w:t>automobiles, a pour objet de mettre à jour et de réviser la série 03 d</w:t>
      </w:r>
      <w:r w:rsidR="002534E9">
        <w:rPr>
          <w:lang w:val="fr-FR"/>
        </w:rPr>
        <w:t>’</w:t>
      </w:r>
      <w:r>
        <w:rPr>
          <w:lang w:val="fr-FR"/>
        </w:rPr>
        <w:t>amendements au Règlement n</w:t>
      </w:r>
      <w:r>
        <w:rPr>
          <w:vertAlign w:val="superscript"/>
          <w:lang w:val="fr-FR"/>
        </w:rPr>
        <w:t>o</w:t>
      </w:r>
      <w:r>
        <w:rPr>
          <w:lang w:val="fr-FR"/>
        </w:rPr>
        <w:t> 51. Les modifications proposées se fondent sur le projet de complément 3 à la série 03 d</w:t>
      </w:r>
      <w:r w:rsidR="002534E9">
        <w:rPr>
          <w:lang w:val="fr-FR"/>
        </w:rPr>
        <w:t>’</w:t>
      </w:r>
      <w:r>
        <w:rPr>
          <w:lang w:val="fr-FR"/>
        </w:rPr>
        <w:t>amendements au Règlement n</w:t>
      </w:r>
      <w:r>
        <w:rPr>
          <w:vertAlign w:val="superscript"/>
          <w:lang w:val="fr-FR"/>
        </w:rPr>
        <w:t>o</w:t>
      </w:r>
      <w:r>
        <w:rPr>
          <w:lang w:val="fr-FR"/>
        </w:rPr>
        <w:t> 51, qui a été adopté par le Groupe de travail du bruit sur sa soixante-sixième session (annexe II du document ECE/TRANS/WP.29/GRB/64). Les modifications qu</w:t>
      </w:r>
      <w:r w:rsidR="002534E9">
        <w:rPr>
          <w:lang w:val="fr-FR"/>
        </w:rPr>
        <w:t>’</w:t>
      </w:r>
      <w:r>
        <w:rPr>
          <w:lang w:val="fr-FR"/>
        </w:rPr>
        <w:t>il est proposé d</w:t>
      </w:r>
      <w:r w:rsidR="002534E9">
        <w:rPr>
          <w:lang w:val="fr-FR"/>
        </w:rPr>
        <w:t>’</w:t>
      </w:r>
      <w:r>
        <w:rPr>
          <w:lang w:val="fr-FR"/>
        </w:rPr>
        <w:t>apporter figurent en caractères gras pour les ajouts et biffés pour les suppressions.</w:t>
      </w:r>
    </w:p>
    <w:p w:rsidR="00CC7CFD" w:rsidRPr="009A03A7" w:rsidRDefault="00CC7CFD" w:rsidP="00CC7CFD">
      <w:pPr>
        <w:pStyle w:val="HChG"/>
      </w:pPr>
      <w:r>
        <w:rPr>
          <w:lang w:val="fr-FR"/>
        </w:rPr>
        <w:br w:type="page"/>
      </w:r>
      <w:r>
        <w:rPr>
          <w:lang w:val="fr-FR"/>
        </w:rPr>
        <w:lastRenderedPageBreak/>
        <w:tab/>
        <w:t xml:space="preserve">I. </w:t>
      </w:r>
      <w:r>
        <w:rPr>
          <w:lang w:val="fr-FR"/>
        </w:rPr>
        <w:tab/>
        <w:t>Proposition</w:t>
      </w:r>
    </w:p>
    <w:p w:rsidR="00CC7CFD" w:rsidRDefault="00CC7CFD" w:rsidP="00CC7CFD">
      <w:pPr>
        <w:pStyle w:val="SingleTxtG"/>
        <w:rPr>
          <w:i/>
        </w:rPr>
      </w:pPr>
      <w:r>
        <w:rPr>
          <w:i/>
          <w:iCs/>
          <w:lang w:val="fr-FR"/>
        </w:rPr>
        <w:t>Annexe 3</w:t>
      </w:r>
      <w:r>
        <w:rPr>
          <w:lang w:val="fr-FR"/>
        </w:rPr>
        <w:t>,</w:t>
      </w:r>
    </w:p>
    <w:p w:rsidR="00CC7CFD" w:rsidRPr="009A03A7" w:rsidRDefault="00CC7CFD" w:rsidP="00CC7CFD">
      <w:pPr>
        <w:pStyle w:val="SingleTxtG"/>
      </w:pPr>
      <w:r>
        <w:rPr>
          <w:i/>
          <w:iCs/>
          <w:lang w:val="fr-FR"/>
        </w:rPr>
        <w:t>Paragraphe 3.1.2.1.4.1</w:t>
      </w:r>
      <w:r>
        <w:rPr>
          <w:lang w:val="fr-FR"/>
        </w:rPr>
        <w:t>, ajouter un nouveau point e), libellé comme suit :</w:t>
      </w:r>
    </w:p>
    <w:p w:rsidR="00CC7CFD" w:rsidRDefault="00CC7CFD" w:rsidP="00CC7CFD">
      <w:pPr>
        <w:pStyle w:val="SingleTxtG"/>
        <w:ind w:left="2268" w:hanging="1134"/>
      </w:pPr>
      <w:r>
        <w:rPr>
          <w:lang w:val="fr-FR"/>
        </w:rPr>
        <w:t xml:space="preserve">« 3.1.2.1.4.1 </w:t>
      </w:r>
      <w:r>
        <w:rPr>
          <w:lang w:val="fr-FR"/>
        </w:rPr>
        <w:tab/>
        <w:t>Véhicules équipés d</w:t>
      </w:r>
      <w:r w:rsidR="002534E9">
        <w:rPr>
          <w:lang w:val="fr-FR"/>
        </w:rPr>
        <w:t>’</w:t>
      </w:r>
      <w:r>
        <w:rPr>
          <w:lang w:val="fr-FR"/>
        </w:rPr>
        <w:t>une boîte de vitesses manuelle, d</w:t>
      </w:r>
      <w:r w:rsidR="002534E9">
        <w:rPr>
          <w:lang w:val="fr-FR"/>
        </w:rPr>
        <w:t>’</w:t>
      </w:r>
      <w:r>
        <w:rPr>
          <w:lang w:val="fr-FR"/>
        </w:rPr>
        <w:t>une boîte de vitesses automatique, d</w:t>
      </w:r>
      <w:r w:rsidR="002534E9">
        <w:rPr>
          <w:lang w:val="fr-FR"/>
        </w:rPr>
        <w:t>’</w:t>
      </w:r>
      <w:r>
        <w:rPr>
          <w:lang w:val="fr-FR"/>
        </w:rPr>
        <w:t>une transmission adaptative ou d</w:t>
      </w:r>
      <w:r w:rsidR="002534E9">
        <w:rPr>
          <w:lang w:val="fr-FR"/>
        </w:rPr>
        <w:t>’</w:t>
      </w:r>
      <w:r>
        <w:rPr>
          <w:lang w:val="fr-FR"/>
        </w:rPr>
        <w:t>une transmission à variation continue (TVC) et soumis à l</w:t>
      </w:r>
      <w:r w:rsidR="002534E9">
        <w:rPr>
          <w:lang w:val="fr-FR"/>
        </w:rPr>
        <w:t>’</w:t>
      </w:r>
      <w:r>
        <w:rPr>
          <w:lang w:val="fr-FR"/>
        </w:rPr>
        <w:t>essai rapports bloqués</w:t>
      </w:r>
    </w:p>
    <w:p w:rsidR="00CC7CFD" w:rsidRDefault="00CC7CFD" w:rsidP="00CC7CFD">
      <w:pPr>
        <w:pStyle w:val="SingleTxtG"/>
        <w:ind w:left="2268"/>
      </w:pPr>
      <w:r>
        <w:rPr>
          <w:lang w:val="fr-FR"/>
        </w:rPr>
        <w:tab/>
        <w:t xml:space="preserve">… </w:t>
      </w:r>
    </w:p>
    <w:p w:rsidR="00CC7CFD" w:rsidRPr="00CC7CFD" w:rsidRDefault="00CC7CFD" w:rsidP="00CC7CFD">
      <w:pPr>
        <w:pStyle w:val="SingleTxtG"/>
        <w:ind w:left="2835" w:hanging="567"/>
        <w:rPr>
          <w:b/>
        </w:rPr>
      </w:pPr>
      <w:r w:rsidRPr="00CC7CFD">
        <w:rPr>
          <w:b/>
          <w:lang w:val="fr-FR"/>
        </w:rPr>
        <w:t>e)</w:t>
      </w:r>
      <w:r w:rsidRPr="00CC7CFD">
        <w:rPr>
          <w:b/>
          <w:lang w:val="fr-FR"/>
        </w:rPr>
        <w:tab/>
        <w:t>Si aucun rapport de transmission n</w:t>
      </w:r>
      <w:r w:rsidR="002534E9">
        <w:rPr>
          <w:b/>
          <w:lang w:val="fr-FR"/>
        </w:rPr>
        <w:t>’</w:t>
      </w:r>
      <w:r w:rsidRPr="00CC7CFD">
        <w:rPr>
          <w:b/>
          <w:lang w:val="fr-FR"/>
        </w:rPr>
        <w:t>est disponible avec une accélération inférieure à 2,0 m/s², le constructeur doit, dans la mesure du possible, s</w:t>
      </w:r>
      <w:r w:rsidR="002534E9">
        <w:rPr>
          <w:b/>
          <w:lang w:val="fr-FR"/>
        </w:rPr>
        <w:t>’</w:t>
      </w:r>
      <w:r w:rsidRPr="00CC7CFD">
        <w:rPr>
          <w:b/>
          <w:lang w:val="fr-FR"/>
        </w:rPr>
        <w:t>efforcer d</w:t>
      </w:r>
      <w:r w:rsidR="002534E9">
        <w:rPr>
          <w:b/>
          <w:lang w:val="fr-FR"/>
        </w:rPr>
        <w:t>’</w:t>
      </w:r>
      <w:r w:rsidRPr="00CC7CFD">
        <w:rPr>
          <w:b/>
          <w:lang w:val="fr-FR"/>
        </w:rPr>
        <w:t xml:space="preserve">éviter toute accélération </w:t>
      </w:r>
      <w:proofErr w:type="spellStart"/>
      <w:r w:rsidRPr="00CC7CFD">
        <w:rPr>
          <w:b/>
          <w:lang w:val="fr-FR"/>
        </w:rPr>
        <w:t>a</w:t>
      </w:r>
      <w:r w:rsidRPr="00CC7CFD">
        <w:rPr>
          <w:b/>
          <w:vertAlign w:val="subscript"/>
          <w:lang w:val="fr-FR"/>
        </w:rPr>
        <w:t>wot</w:t>
      </w:r>
      <w:proofErr w:type="spellEnd"/>
      <w:r w:rsidRPr="00CC7CFD">
        <w:rPr>
          <w:b/>
          <w:lang w:val="fr-FR"/>
        </w:rPr>
        <w:t xml:space="preserve"> test supérieure à 2</w:t>
      </w:r>
      <w:r w:rsidR="00167582">
        <w:rPr>
          <w:b/>
          <w:lang w:val="fr-FR"/>
        </w:rPr>
        <w:t>,</w:t>
      </w:r>
      <w:r w:rsidRPr="00CC7CFD">
        <w:rPr>
          <w:b/>
          <w:lang w:val="fr-FR"/>
        </w:rPr>
        <w:t>0 m/s².</w:t>
      </w:r>
    </w:p>
    <w:p w:rsidR="00CC7CFD" w:rsidRPr="00CC7CFD" w:rsidRDefault="00CC7CFD" w:rsidP="00CC7CFD">
      <w:pPr>
        <w:pStyle w:val="SingleTxtG"/>
        <w:ind w:left="2835"/>
        <w:rPr>
          <w:b/>
        </w:rPr>
      </w:pPr>
      <w:r w:rsidRPr="00CC7CFD">
        <w:rPr>
          <w:b/>
          <w:lang w:val="fr-FR"/>
        </w:rPr>
        <w:tab/>
        <w:t>Le tableau 1 de l</w:t>
      </w:r>
      <w:r w:rsidR="002534E9">
        <w:rPr>
          <w:b/>
          <w:lang w:val="fr-FR"/>
        </w:rPr>
        <w:t>’</w:t>
      </w:r>
      <w:r w:rsidRPr="00CC7CFD">
        <w:rPr>
          <w:b/>
          <w:lang w:val="fr-FR"/>
        </w:rPr>
        <w:t>appendice de l</w:t>
      </w:r>
      <w:r w:rsidR="002534E9">
        <w:rPr>
          <w:b/>
          <w:lang w:val="fr-FR"/>
        </w:rPr>
        <w:t>’</w:t>
      </w:r>
      <w:r w:rsidRPr="00CC7CFD">
        <w:rPr>
          <w:b/>
          <w:lang w:val="fr-FR"/>
        </w:rPr>
        <w:t xml:space="preserve">annexe 3 donne des exemples de solutions valables pour le contrôle du </w:t>
      </w:r>
      <w:proofErr w:type="spellStart"/>
      <w:r w:rsidRPr="00CC7CFD">
        <w:rPr>
          <w:b/>
          <w:lang w:val="fr-FR"/>
        </w:rPr>
        <w:t>rétrogradage</w:t>
      </w:r>
      <w:proofErr w:type="spellEnd"/>
      <w:r w:rsidRPr="00CC7CFD">
        <w:rPr>
          <w:b/>
          <w:lang w:val="fr-FR"/>
        </w:rPr>
        <w:t xml:space="preserve"> ou pour éviter les accélérations supérieures à 2,0 m/s². Dans chaque cas, la solution choisie par le constructeur doit être consignée dans le procès-verbal d</w:t>
      </w:r>
      <w:r w:rsidR="002534E9">
        <w:rPr>
          <w:b/>
          <w:lang w:val="fr-FR"/>
        </w:rPr>
        <w:t>’</w:t>
      </w:r>
      <w:r w:rsidRPr="00CC7CFD">
        <w:rPr>
          <w:b/>
          <w:lang w:val="fr-FR"/>
        </w:rPr>
        <w:t>essai.</w:t>
      </w:r>
      <w:r w:rsidRPr="00CC7CFD">
        <w:rPr>
          <w:lang w:val="fr-FR"/>
        </w:rPr>
        <w:t> »</w:t>
      </w:r>
      <w:r>
        <w:rPr>
          <w:lang w:val="fr-FR"/>
        </w:rPr>
        <w:t>.</w:t>
      </w:r>
    </w:p>
    <w:p w:rsidR="00CC7CFD" w:rsidRPr="009A03A7" w:rsidRDefault="00CC7CFD" w:rsidP="00CC7CFD">
      <w:pPr>
        <w:pStyle w:val="SingleTxtG"/>
      </w:pPr>
      <w:r>
        <w:rPr>
          <w:i/>
          <w:iCs/>
          <w:lang w:val="fr-FR"/>
        </w:rPr>
        <w:t>Paragraphe 3.1.2.1.4.2</w:t>
      </w:r>
      <w:r>
        <w:rPr>
          <w:lang w:val="fr-FR"/>
        </w:rPr>
        <w:t xml:space="preserve">, </w:t>
      </w:r>
      <w:proofErr w:type="gramStart"/>
      <w:r>
        <w:rPr>
          <w:lang w:val="fr-FR"/>
        </w:rPr>
        <w:t>modifier</w:t>
      </w:r>
      <w:proofErr w:type="gramEnd"/>
      <w:r>
        <w:rPr>
          <w:lang w:val="fr-FR"/>
        </w:rPr>
        <w:t xml:space="preserve"> comme suit :</w:t>
      </w:r>
    </w:p>
    <w:p w:rsidR="00CC7CFD" w:rsidRPr="009A03A7" w:rsidRDefault="00D566FA" w:rsidP="00CC7CFD">
      <w:pPr>
        <w:pStyle w:val="SingleTxtG"/>
        <w:ind w:left="2268" w:hanging="1134"/>
      </w:pPr>
      <w:r>
        <w:rPr>
          <w:lang w:val="fr-FR"/>
        </w:rPr>
        <w:t>« </w:t>
      </w:r>
      <w:r w:rsidR="00CC7CFD">
        <w:rPr>
          <w:lang w:val="fr-FR"/>
        </w:rPr>
        <w:t xml:space="preserve">3.1.2.1.4.2 </w:t>
      </w:r>
      <w:r w:rsidR="00CC7CFD">
        <w:rPr>
          <w:lang w:val="fr-FR"/>
        </w:rPr>
        <w:tab/>
        <w:t>Véhicules équipés d</w:t>
      </w:r>
      <w:r w:rsidR="002534E9">
        <w:rPr>
          <w:lang w:val="fr-FR"/>
        </w:rPr>
        <w:t>’</w:t>
      </w:r>
      <w:r w:rsidR="00CC7CFD">
        <w:rPr>
          <w:lang w:val="fr-FR"/>
        </w:rPr>
        <w:t>une boîte de vitesses automatique, d</w:t>
      </w:r>
      <w:r w:rsidR="002534E9">
        <w:rPr>
          <w:lang w:val="fr-FR"/>
        </w:rPr>
        <w:t>’</w:t>
      </w:r>
      <w:r w:rsidR="00CC7CFD">
        <w:rPr>
          <w:lang w:val="fr-FR"/>
        </w:rPr>
        <w:t>une transmission adaptative ou d</w:t>
      </w:r>
      <w:r w:rsidR="002534E9">
        <w:rPr>
          <w:lang w:val="fr-FR"/>
        </w:rPr>
        <w:t>’</w:t>
      </w:r>
      <w:r w:rsidR="00CC7CFD">
        <w:rPr>
          <w:lang w:val="fr-FR"/>
        </w:rPr>
        <w:t>une transmission à variation continue (TVC) et soumis à l</w:t>
      </w:r>
      <w:r w:rsidR="002534E9">
        <w:rPr>
          <w:lang w:val="fr-FR"/>
        </w:rPr>
        <w:t>’</w:t>
      </w:r>
      <w:r w:rsidR="00CC7CFD">
        <w:rPr>
          <w:lang w:val="fr-FR"/>
        </w:rPr>
        <w:t>essai rapports non bloqués</w:t>
      </w:r>
      <w:r>
        <w:rPr>
          <w:lang w:val="fr-FR"/>
        </w:rPr>
        <w:t> </w:t>
      </w:r>
      <w:r w:rsidR="00CC7CFD">
        <w:rPr>
          <w:lang w:val="fr-FR"/>
        </w:rPr>
        <w:t>:</w:t>
      </w:r>
    </w:p>
    <w:p w:rsidR="00CC7CFD" w:rsidRPr="009A03A7" w:rsidRDefault="00D566FA" w:rsidP="00CC7CFD">
      <w:pPr>
        <w:spacing w:after="120"/>
        <w:ind w:left="2268" w:right="1134"/>
        <w:jc w:val="both"/>
      </w:pPr>
      <w:r>
        <w:rPr>
          <w:lang w:val="fr-FR"/>
        </w:rPr>
        <w:t>…</w:t>
      </w:r>
    </w:p>
    <w:p w:rsidR="00CC7CFD" w:rsidRPr="009A03A7" w:rsidRDefault="00CC7CFD" w:rsidP="00CC7CFD">
      <w:pPr>
        <w:pStyle w:val="SingleTxtG"/>
        <w:ind w:left="2268"/>
      </w:pPr>
      <w:r>
        <w:rPr>
          <w:lang w:val="fr-FR"/>
        </w:rPr>
        <w:t>Il est donc autorisé d</w:t>
      </w:r>
      <w:r w:rsidR="002534E9">
        <w:rPr>
          <w:lang w:val="fr-FR"/>
        </w:rPr>
        <w:t>’</w:t>
      </w:r>
      <w:r>
        <w:rPr>
          <w:lang w:val="fr-FR"/>
        </w:rPr>
        <w:t>installer et d</w:t>
      </w:r>
      <w:r w:rsidR="002534E9">
        <w:rPr>
          <w:lang w:val="fr-FR"/>
        </w:rPr>
        <w:t>’</w:t>
      </w:r>
      <w:r>
        <w:rPr>
          <w:lang w:val="fr-FR"/>
        </w:rPr>
        <w:t xml:space="preserve">utiliser un dispositif électronique ou mécanique, voire de changer la position du sélecteur, pour empêcher le </w:t>
      </w:r>
      <w:proofErr w:type="spellStart"/>
      <w:r>
        <w:rPr>
          <w:lang w:val="fr-FR"/>
        </w:rPr>
        <w:t>rétrogradage</w:t>
      </w:r>
      <w:proofErr w:type="spellEnd"/>
      <w:r>
        <w:rPr>
          <w:lang w:val="fr-FR"/>
        </w:rPr>
        <w:t xml:space="preserve"> sur un rapport qui n</w:t>
      </w:r>
      <w:r w:rsidR="002534E9">
        <w:rPr>
          <w:lang w:val="fr-FR"/>
        </w:rPr>
        <w:t>’</w:t>
      </w:r>
      <w:r>
        <w:rPr>
          <w:lang w:val="fr-FR"/>
        </w:rPr>
        <w:t>est généralement pas utilisé dans les conditions d</w:t>
      </w:r>
      <w:r w:rsidR="002534E9">
        <w:rPr>
          <w:lang w:val="fr-FR"/>
        </w:rPr>
        <w:t>’</w:t>
      </w:r>
      <w:r>
        <w:rPr>
          <w:lang w:val="fr-FR"/>
        </w:rPr>
        <w:t>essai spécifiées en conduite urbaine.</w:t>
      </w:r>
    </w:p>
    <w:p w:rsidR="00CC7CFD" w:rsidRPr="009A03A7" w:rsidRDefault="00CC7CFD" w:rsidP="00CC7CFD">
      <w:pPr>
        <w:pStyle w:val="SingleTxtG"/>
        <w:ind w:left="2268"/>
      </w:pPr>
      <w:r>
        <w:rPr>
          <w:lang w:val="fr-FR"/>
        </w:rPr>
        <w:t xml:space="preserve">Dans la mesure du possible, le constructeur doit prendre des mesures pour éviter toute accélération </w:t>
      </w:r>
      <w:proofErr w:type="spellStart"/>
      <w:r>
        <w:rPr>
          <w:lang w:val="fr-FR"/>
        </w:rPr>
        <w:t>a</w:t>
      </w:r>
      <w:r>
        <w:rPr>
          <w:vertAlign w:val="subscript"/>
          <w:lang w:val="fr-FR"/>
        </w:rPr>
        <w:t>wot</w:t>
      </w:r>
      <w:proofErr w:type="spellEnd"/>
      <w:r>
        <w:rPr>
          <w:lang w:val="fr-FR"/>
        </w:rPr>
        <w:t xml:space="preserve"> test supérieure à 2,0 m/s</w:t>
      </w:r>
      <w:r w:rsidRPr="005F5B86">
        <w:rPr>
          <w:vertAlign w:val="superscript"/>
          <w:lang w:val="fr-FR"/>
        </w:rPr>
        <w:t>2</w:t>
      </w:r>
      <w:r>
        <w:rPr>
          <w:lang w:val="fr-FR"/>
        </w:rPr>
        <w:t>.</w:t>
      </w:r>
    </w:p>
    <w:p w:rsidR="00CC7CFD" w:rsidRPr="00CC7CFD" w:rsidRDefault="00CC7CFD" w:rsidP="00CC7CFD">
      <w:pPr>
        <w:pStyle w:val="SingleTxtG"/>
        <w:ind w:left="2268"/>
        <w:rPr>
          <w:b/>
        </w:rPr>
      </w:pPr>
      <w:r w:rsidRPr="00CC7CFD">
        <w:rPr>
          <w:b/>
          <w:lang w:val="fr-FR"/>
        </w:rPr>
        <w:t>Le tableau</w:t>
      </w:r>
      <w:r w:rsidR="00D566FA">
        <w:rPr>
          <w:b/>
          <w:lang w:val="fr-FR"/>
        </w:rPr>
        <w:t xml:space="preserve"> </w:t>
      </w:r>
      <w:r w:rsidRPr="00CC7CFD">
        <w:rPr>
          <w:b/>
          <w:lang w:val="fr-FR"/>
        </w:rPr>
        <w:t>1 de l</w:t>
      </w:r>
      <w:r w:rsidR="002534E9">
        <w:rPr>
          <w:b/>
          <w:lang w:val="fr-FR"/>
        </w:rPr>
        <w:t>’</w:t>
      </w:r>
      <w:r w:rsidRPr="00CC7CFD">
        <w:rPr>
          <w:b/>
          <w:lang w:val="fr-FR"/>
        </w:rPr>
        <w:t>appendice de l</w:t>
      </w:r>
      <w:r w:rsidR="002534E9">
        <w:rPr>
          <w:b/>
          <w:lang w:val="fr-FR"/>
        </w:rPr>
        <w:t>’</w:t>
      </w:r>
      <w:r w:rsidRPr="00CC7CFD">
        <w:rPr>
          <w:b/>
          <w:lang w:val="fr-FR"/>
        </w:rPr>
        <w:t>annexe</w:t>
      </w:r>
      <w:r>
        <w:rPr>
          <w:b/>
          <w:lang w:val="fr-FR"/>
        </w:rPr>
        <w:t xml:space="preserve"> </w:t>
      </w:r>
      <w:r w:rsidRPr="00CC7CFD">
        <w:rPr>
          <w:b/>
          <w:lang w:val="fr-FR"/>
        </w:rPr>
        <w:t xml:space="preserve">3 donne des exemples de solutions valables pour le contrôle du </w:t>
      </w:r>
      <w:proofErr w:type="spellStart"/>
      <w:r w:rsidRPr="00CC7CFD">
        <w:rPr>
          <w:b/>
          <w:lang w:val="fr-FR"/>
        </w:rPr>
        <w:t>rétrogradage</w:t>
      </w:r>
      <w:proofErr w:type="spellEnd"/>
      <w:r w:rsidRPr="00CC7CFD">
        <w:rPr>
          <w:b/>
          <w:lang w:val="fr-FR"/>
        </w:rPr>
        <w:t xml:space="preserve"> ou pour éviter les accélérations supérieures à 2,0 m/s². Dans chaque cas, la solution choisie par le constructeur doit être consignée dans le procès-verbal d</w:t>
      </w:r>
      <w:r w:rsidR="002534E9">
        <w:rPr>
          <w:b/>
          <w:lang w:val="fr-FR"/>
        </w:rPr>
        <w:t>’</w:t>
      </w:r>
      <w:r w:rsidRPr="00CC7CFD">
        <w:rPr>
          <w:b/>
          <w:lang w:val="fr-FR"/>
        </w:rPr>
        <w:t>essai.</w:t>
      </w:r>
    </w:p>
    <w:p w:rsidR="00CC7CFD" w:rsidRPr="009A03A7" w:rsidRDefault="00E02CBC" w:rsidP="00CC7CFD">
      <w:pPr>
        <w:spacing w:after="120"/>
        <w:ind w:left="2268" w:right="1134"/>
        <w:jc w:val="both"/>
        <w:rPr>
          <w:b/>
        </w:rPr>
      </w:pPr>
      <w:r>
        <w:rPr>
          <w:lang w:val="fr-FR"/>
        </w:rPr>
        <w:tab/>
        <w:t>… ».</w:t>
      </w:r>
    </w:p>
    <w:p w:rsidR="00CC7CFD" w:rsidRPr="009A03A7" w:rsidRDefault="00CC7CFD" w:rsidP="00D566FA">
      <w:pPr>
        <w:pStyle w:val="SingleTxtG"/>
        <w:rPr>
          <w:b/>
        </w:rPr>
      </w:pPr>
      <w:r>
        <w:rPr>
          <w:i/>
          <w:iCs/>
          <w:lang w:val="fr-FR"/>
        </w:rPr>
        <w:t>Paragraphe 3.1.2.1.4.3</w:t>
      </w:r>
      <w:r>
        <w:rPr>
          <w:lang w:val="fr-FR"/>
        </w:rPr>
        <w:t xml:space="preserve">, </w:t>
      </w:r>
      <w:proofErr w:type="gramStart"/>
      <w:r>
        <w:rPr>
          <w:lang w:val="fr-FR"/>
        </w:rPr>
        <w:t>modifier</w:t>
      </w:r>
      <w:proofErr w:type="gramEnd"/>
      <w:r>
        <w:rPr>
          <w:lang w:val="fr-FR"/>
        </w:rPr>
        <w:t xml:space="preserve"> comme suit</w:t>
      </w:r>
      <w:r w:rsidR="00D566FA">
        <w:rPr>
          <w:lang w:val="fr-FR"/>
        </w:rPr>
        <w:t> </w:t>
      </w:r>
      <w:r>
        <w:rPr>
          <w:lang w:val="fr-FR"/>
        </w:rPr>
        <w:t>:</w:t>
      </w:r>
    </w:p>
    <w:p w:rsidR="00CC7CFD" w:rsidRPr="009A03A7" w:rsidRDefault="00D566FA" w:rsidP="00D566FA">
      <w:pPr>
        <w:pStyle w:val="SingleTxtG"/>
        <w:ind w:left="2268" w:hanging="1134"/>
      </w:pPr>
      <w:r>
        <w:rPr>
          <w:lang w:val="fr-FR"/>
        </w:rPr>
        <w:t>« </w:t>
      </w:r>
      <w:r w:rsidR="00CC7CFD">
        <w:rPr>
          <w:lang w:val="fr-FR"/>
        </w:rPr>
        <w:t>3.1.2.1.4.3</w:t>
      </w:r>
      <w:r w:rsidR="00CC7CFD">
        <w:rPr>
          <w:lang w:val="fr-FR"/>
        </w:rPr>
        <w:tab/>
        <w:t>Véhicules avec un seul rapport, similaires, mais non exclusivement, aux véhicules électriques à batterie (VEB) et aux véhicules à pile à combustible.</w:t>
      </w:r>
    </w:p>
    <w:p w:rsidR="00CC7CFD" w:rsidRPr="009A03A7" w:rsidRDefault="00CC7CFD" w:rsidP="00D566FA">
      <w:pPr>
        <w:pStyle w:val="SingleTxtG"/>
        <w:ind w:left="2268"/>
      </w:pPr>
      <w:r>
        <w:rPr>
          <w:lang w:val="fr-FR"/>
        </w:rPr>
        <w:t>…</w:t>
      </w:r>
    </w:p>
    <w:p w:rsidR="00CC7CFD" w:rsidRPr="009A03A7" w:rsidRDefault="00CC7CFD" w:rsidP="00D566FA">
      <w:pPr>
        <w:pStyle w:val="SingleTxtG"/>
        <w:ind w:left="2268"/>
      </w:pPr>
      <w:r>
        <w:rPr>
          <w:lang w:val="fr-FR"/>
        </w:rPr>
        <w:t xml:space="preserve">Dans la mesure du possible, le constructeur doit prendre des mesures pour éviter toute accélération </w:t>
      </w:r>
      <w:proofErr w:type="spellStart"/>
      <w:r>
        <w:rPr>
          <w:lang w:val="fr-FR"/>
        </w:rPr>
        <w:t>a</w:t>
      </w:r>
      <w:r>
        <w:rPr>
          <w:vertAlign w:val="subscript"/>
          <w:lang w:val="fr-FR"/>
        </w:rPr>
        <w:t>wot</w:t>
      </w:r>
      <w:proofErr w:type="spellEnd"/>
      <w:r w:rsidR="00E02CBC">
        <w:rPr>
          <w:vertAlign w:val="subscript"/>
          <w:lang w:val="fr-FR"/>
        </w:rPr>
        <w:t> </w:t>
      </w:r>
      <w:r w:rsidRPr="00E02CBC">
        <w:rPr>
          <w:vertAlign w:val="subscript"/>
          <w:lang w:val="fr-FR"/>
        </w:rPr>
        <w:t>test</w:t>
      </w:r>
      <w:r>
        <w:rPr>
          <w:lang w:val="fr-FR"/>
        </w:rPr>
        <w:t xml:space="preserve"> supérieure à 2,0 m/s</w:t>
      </w:r>
      <w:r>
        <w:rPr>
          <w:vertAlign w:val="superscript"/>
          <w:lang w:val="fr-FR"/>
        </w:rPr>
        <w:t>2</w:t>
      </w:r>
      <w:r w:rsidR="00D566FA">
        <w:rPr>
          <w:lang w:val="fr-FR"/>
        </w:rPr>
        <w:t>.</w:t>
      </w:r>
    </w:p>
    <w:p w:rsidR="00CC7CFD" w:rsidRPr="009A03A7" w:rsidRDefault="00CC7CFD" w:rsidP="00D566FA">
      <w:pPr>
        <w:pStyle w:val="SingleTxtG"/>
        <w:ind w:left="2268"/>
        <w:rPr>
          <w:b/>
        </w:rPr>
      </w:pPr>
      <w:r>
        <w:rPr>
          <w:b/>
          <w:bCs/>
          <w:lang w:val="fr-FR"/>
        </w:rPr>
        <w:t>Le tableau 1 de l</w:t>
      </w:r>
      <w:r w:rsidR="002534E9">
        <w:rPr>
          <w:b/>
          <w:bCs/>
          <w:lang w:val="fr-FR"/>
        </w:rPr>
        <w:t>’</w:t>
      </w:r>
      <w:r>
        <w:rPr>
          <w:b/>
          <w:bCs/>
          <w:lang w:val="fr-FR"/>
        </w:rPr>
        <w:t>appendice de l</w:t>
      </w:r>
      <w:r w:rsidR="002534E9">
        <w:rPr>
          <w:b/>
          <w:bCs/>
          <w:lang w:val="fr-FR"/>
        </w:rPr>
        <w:t>’</w:t>
      </w:r>
      <w:r>
        <w:rPr>
          <w:b/>
          <w:bCs/>
          <w:lang w:val="fr-FR"/>
        </w:rPr>
        <w:t>annexe 3 donne des exemples de solutions propres à éviter les accélérations supérieures à 2,0 m/s².</w:t>
      </w:r>
      <w:r>
        <w:rPr>
          <w:lang w:val="fr-FR"/>
        </w:rPr>
        <w:t xml:space="preserve"> </w:t>
      </w:r>
      <w:r>
        <w:rPr>
          <w:b/>
          <w:bCs/>
          <w:lang w:val="fr-FR"/>
        </w:rPr>
        <w:t>La solution choisie par le constructeur doit être consignée dans le procès-verbal d</w:t>
      </w:r>
      <w:r w:rsidR="002534E9">
        <w:rPr>
          <w:b/>
          <w:bCs/>
          <w:lang w:val="fr-FR"/>
        </w:rPr>
        <w:t>’</w:t>
      </w:r>
      <w:r>
        <w:rPr>
          <w:b/>
          <w:bCs/>
          <w:lang w:val="fr-FR"/>
        </w:rPr>
        <w:t>essai.</w:t>
      </w:r>
    </w:p>
    <w:p w:rsidR="00CC7CFD" w:rsidRPr="009A03A7" w:rsidRDefault="00D566FA" w:rsidP="00D566FA">
      <w:pPr>
        <w:pStyle w:val="SingleTxtG"/>
        <w:ind w:left="2268"/>
        <w:rPr>
          <w:b/>
        </w:rPr>
      </w:pPr>
      <w:r>
        <w:rPr>
          <w:lang w:val="fr-FR"/>
        </w:rPr>
        <w:tab/>
        <w:t>… ».</w:t>
      </w:r>
    </w:p>
    <w:p w:rsidR="00CC7CFD" w:rsidRPr="009A03A7" w:rsidRDefault="00CC7CFD" w:rsidP="00CC7CFD">
      <w:pPr>
        <w:pStyle w:val="SingleTxtG"/>
      </w:pPr>
      <w:r>
        <w:rPr>
          <w:i/>
          <w:iCs/>
          <w:lang w:val="fr-FR"/>
        </w:rPr>
        <w:t>Paragraphe 3.1.2.2.1.2</w:t>
      </w:r>
      <w:r>
        <w:rPr>
          <w:lang w:val="fr-FR"/>
        </w:rPr>
        <w:t xml:space="preserve">, </w:t>
      </w:r>
      <w:proofErr w:type="gramStart"/>
      <w:r>
        <w:rPr>
          <w:lang w:val="fr-FR"/>
        </w:rPr>
        <w:t>modifier</w:t>
      </w:r>
      <w:proofErr w:type="gramEnd"/>
      <w:r>
        <w:rPr>
          <w:lang w:val="fr-FR"/>
        </w:rPr>
        <w:t xml:space="preserve"> comme suit</w:t>
      </w:r>
      <w:r w:rsidR="00D566FA">
        <w:rPr>
          <w:lang w:val="fr-FR"/>
        </w:rPr>
        <w:t> </w:t>
      </w:r>
      <w:r>
        <w:rPr>
          <w:lang w:val="fr-FR"/>
        </w:rPr>
        <w:t>:</w:t>
      </w:r>
    </w:p>
    <w:p w:rsidR="00CC7CFD" w:rsidRPr="009A03A7" w:rsidRDefault="00D566FA" w:rsidP="00D566FA">
      <w:pPr>
        <w:pStyle w:val="SingleTxtG"/>
        <w:ind w:left="2268" w:hanging="1134"/>
      </w:pPr>
      <w:r>
        <w:rPr>
          <w:lang w:val="fr-FR"/>
        </w:rPr>
        <w:t>« </w:t>
      </w:r>
      <w:r w:rsidR="00CC7CFD">
        <w:rPr>
          <w:lang w:val="fr-FR"/>
        </w:rPr>
        <w:t>3.1.2.2.1.2</w:t>
      </w:r>
      <w:r w:rsidR="00CC7CFD">
        <w:rPr>
          <w:lang w:val="fr-FR"/>
        </w:rPr>
        <w:tab/>
        <w:t>Transmissions automatiques, transmissions adaptatives ou transmissions à variation continue soumises à essai rapports non bloqués</w:t>
      </w:r>
    </w:p>
    <w:p w:rsidR="00CC7CFD" w:rsidRPr="009A03A7" w:rsidRDefault="00CC7CFD" w:rsidP="00D566FA">
      <w:pPr>
        <w:pStyle w:val="SingleTxtG"/>
        <w:ind w:left="2268"/>
      </w:pPr>
      <w:r>
        <w:rPr>
          <w:lang w:val="fr-FR"/>
        </w:rPr>
        <w:lastRenderedPageBreak/>
        <w:t xml:space="preserve">Le </w:t>
      </w:r>
      <w:r w:rsidRPr="00D566FA">
        <w:t>sélecteur</w:t>
      </w:r>
      <w:r>
        <w:rPr>
          <w:lang w:val="fr-FR"/>
        </w:rPr>
        <w:t xml:space="preserve"> de vitesse est placé en mode automatique intégral.</w:t>
      </w:r>
    </w:p>
    <w:p w:rsidR="00CC7CFD" w:rsidRPr="009A03A7" w:rsidRDefault="00CC7CFD" w:rsidP="00D566FA">
      <w:pPr>
        <w:pStyle w:val="SingleTxtG"/>
        <w:ind w:left="2268"/>
      </w:pPr>
      <w:r>
        <w:rPr>
          <w:lang w:val="fr-FR"/>
        </w:rPr>
        <w:t>Au cours de l</w:t>
      </w:r>
      <w:r w:rsidR="002534E9">
        <w:rPr>
          <w:lang w:val="fr-FR"/>
        </w:rPr>
        <w:t>’</w:t>
      </w:r>
      <w:r>
        <w:rPr>
          <w:lang w:val="fr-FR"/>
        </w:rPr>
        <w:t>essai, il peut y avoir passage à un rapport inférieur et à une accélération plus forte. Par contre, le passage à un rapport supérieur avec une accélération plus faible n</w:t>
      </w:r>
      <w:r w:rsidR="002534E9">
        <w:rPr>
          <w:lang w:val="fr-FR"/>
        </w:rPr>
        <w:t>’</w:t>
      </w:r>
      <w:r>
        <w:rPr>
          <w:lang w:val="fr-FR"/>
        </w:rPr>
        <w:t>est pas admis. Dans tous les cas, il faut éviter de passer à un rapport qui n</w:t>
      </w:r>
      <w:r w:rsidR="002534E9">
        <w:rPr>
          <w:lang w:val="fr-FR"/>
        </w:rPr>
        <w:t>’</w:t>
      </w:r>
      <w:r>
        <w:rPr>
          <w:lang w:val="fr-FR"/>
        </w:rPr>
        <w:t>est généralement pas utilisé dans la situation spécifiée par le constructeur en ce qui concerne la conduite urbaine.</w:t>
      </w:r>
    </w:p>
    <w:p w:rsidR="00CC7CFD" w:rsidRPr="009A03A7" w:rsidRDefault="00CC7CFD" w:rsidP="00D566FA">
      <w:pPr>
        <w:pStyle w:val="SingleTxtG"/>
        <w:ind w:left="2268"/>
      </w:pPr>
      <w:r>
        <w:rPr>
          <w:lang w:val="fr-FR"/>
        </w:rPr>
        <w:t>Il est donc permis d</w:t>
      </w:r>
      <w:r w:rsidR="002534E9">
        <w:rPr>
          <w:lang w:val="fr-FR"/>
        </w:rPr>
        <w:t>’</w:t>
      </w:r>
      <w:r>
        <w:rPr>
          <w:lang w:val="fr-FR"/>
        </w:rPr>
        <w:t>installer et d</w:t>
      </w:r>
      <w:r w:rsidR="002534E9">
        <w:rPr>
          <w:lang w:val="fr-FR"/>
        </w:rPr>
        <w:t>’</w:t>
      </w:r>
      <w:r>
        <w:rPr>
          <w:lang w:val="fr-FR"/>
        </w:rPr>
        <w:t xml:space="preserve">utiliser un dispositif électronique ou mécanique, voire de changer la position du sélecteur, pour éviter tout </w:t>
      </w:r>
      <w:proofErr w:type="spellStart"/>
      <w:r>
        <w:rPr>
          <w:lang w:val="fr-FR"/>
        </w:rPr>
        <w:t>rétrogradage</w:t>
      </w:r>
      <w:proofErr w:type="spellEnd"/>
      <w:r>
        <w:rPr>
          <w:lang w:val="fr-FR"/>
        </w:rPr>
        <w:t xml:space="preserve"> sur un rapport inhabituel en conduite urbaine, conformément aux spécifications du constructeur.</w:t>
      </w:r>
    </w:p>
    <w:p w:rsidR="00CC7CFD" w:rsidRPr="009A03A7" w:rsidRDefault="00CC7CFD" w:rsidP="00D566FA">
      <w:pPr>
        <w:pStyle w:val="SingleTxtG"/>
        <w:ind w:left="2268"/>
        <w:rPr>
          <w:b/>
        </w:rPr>
      </w:pPr>
      <w:r>
        <w:rPr>
          <w:b/>
          <w:bCs/>
          <w:lang w:val="fr-FR"/>
        </w:rPr>
        <w:t>Le tableau 1 de l</w:t>
      </w:r>
      <w:r w:rsidR="002534E9">
        <w:rPr>
          <w:b/>
          <w:bCs/>
          <w:lang w:val="fr-FR"/>
        </w:rPr>
        <w:t>’</w:t>
      </w:r>
      <w:r>
        <w:rPr>
          <w:b/>
          <w:bCs/>
          <w:lang w:val="fr-FR"/>
        </w:rPr>
        <w:t>appendice de l</w:t>
      </w:r>
      <w:r w:rsidR="002534E9">
        <w:rPr>
          <w:b/>
          <w:bCs/>
          <w:lang w:val="fr-FR"/>
        </w:rPr>
        <w:t>’</w:t>
      </w:r>
      <w:r>
        <w:rPr>
          <w:b/>
          <w:bCs/>
          <w:lang w:val="fr-FR"/>
        </w:rPr>
        <w:t xml:space="preserve">annexe 3 donne des exemples de solutions </w:t>
      </w:r>
      <w:r w:rsidRPr="004D7145">
        <w:rPr>
          <w:b/>
          <w:bCs/>
          <w:lang w:val="fr-FR"/>
        </w:rPr>
        <w:t>valables pour le</w:t>
      </w:r>
      <w:r>
        <w:rPr>
          <w:b/>
          <w:bCs/>
          <w:lang w:val="fr-FR"/>
        </w:rPr>
        <w:t xml:space="preserve"> contrôle du </w:t>
      </w:r>
      <w:proofErr w:type="spellStart"/>
      <w:r>
        <w:rPr>
          <w:b/>
          <w:bCs/>
          <w:lang w:val="fr-FR"/>
        </w:rPr>
        <w:t>rétrogradage</w:t>
      </w:r>
      <w:proofErr w:type="spellEnd"/>
      <w:r>
        <w:rPr>
          <w:b/>
          <w:bCs/>
          <w:lang w:val="fr-FR"/>
        </w:rPr>
        <w:t>.</w:t>
      </w:r>
      <w:r>
        <w:rPr>
          <w:lang w:val="fr-FR"/>
        </w:rPr>
        <w:t xml:space="preserve"> </w:t>
      </w:r>
      <w:r>
        <w:rPr>
          <w:b/>
          <w:bCs/>
          <w:lang w:val="fr-FR"/>
        </w:rPr>
        <w:t>La</w:t>
      </w:r>
      <w:r w:rsidRPr="004D7145">
        <w:rPr>
          <w:b/>
          <w:bCs/>
          <w:lang w:val="fr-FR"/>
        </w:rPr>
        <w:t xml:space="preserve"> solution choisie par le constructeur </w:t>
      </w:r>
      <w:r>
        <w:rPr>
          <w:b/>
          <w:bCs/>
          <w:lang w:val="fr-FR"/>
        </w:rPr>
        <w:t>doit être consignée dans le procès-verbal d</w:t>
      </w:r>
      <w:r w:rsidR="002534E9">
        <w:rPr>
          <w:b/>
          <w:bCs/>
          <w:lang w:val="fr-FR"/>
        </w:rPr>
        <w:t>’</w:t>
      </w:r>
      <w:r>
        <w:rPr>
          <w:b/>
          <w:bCs/>
          <w:lang w:val="fr-FR"/>
        </w:rPr>
        <w:t>essai.</w:t>
      </w:r>
      <w:r>
        <w:rPr>
          <w:lang w:val="fr-FR"/>
        </w:rPr>
        <w:t xml:space="preserve"> </w:t>
      </w:r>
    </w:p>
    <w:p w:rsidR="00CC7CFD" w:rsidRDefault="00CC7CFD" w:rsidP="00D566FA">
      <w:pPr>
        <w:pStyle w:val="SingleTxtG"/>
        <w:ind w:left="2268"/>
      </w:pPr>
      <w:r>
        <w:rPr>
          <w:lang w:val="fr-FR"/>
        </w:rPr>
        <w:tab/>
        <w:t>…</w:t>
      </w:r>
      <w:r w:rsidR="00D566FA">
        <w:rPr>
          <w:lang w:val="fr-FR"/>
        </w:rPr>
        <w:t> »</w:t>
      </w:r>
      <w:r w:rsidR="00F85DE5">
        <w:rPr>
          <w:lang w:val="fr-FR"/>
        </w:rPr>
        <w:t>.</w:t>
      </w:r>
    </w:p>
    <w:p w:rsidR="00CC7CFD" w:rsidRDefault="00CC7CFD" w:rsidP="00D566FA">
      <w:pPr>
        <w:pStyle w:val="SingleTxtG"/>
      </w:pPr>
      <w:r>
        <w:rPr>
          <w:i/>
          <w:iCs/>
          <w:lang w:val="fr-FR"/>
        </w:rPr>
        <w:t>Appendice de l</w:t>
      </w:r>
      <w:r w:rsidR="002534E9">
        <w:rPr>
          <w:i/>
          <w:iCs/>
          <w:lang w:val="fr-FR"/>
        </w:rPr>
        <w:t>’</w:t>
      </w:r>
      <w:r>
        <w:rPr>
          <w:i/>
          <w:iCs/>
          <w:lang w:val="fr-FR"/>
        </w:rPr>
        <w:t>annexe 3</w:t>
      </w:r>
      <w:r>
        <w:rPr>
          <w:lang w:val="fr-FR"/>
        </w:rPr>
        <w:t>, ajouter à la fin le tableau suivant</w:t>
      </w:r>
      <w:r w:rsidR="00D566FA">
        <w:rPr>
          <w:lang w:val="fr-FR"/>
        </w:rPr>
        <w:t> </w:t>
      </w:r>
      <w:r>
        <w:rPr>
          <w:lang w:val="fr-FR"/>
        </w:rPr>
        <w:t>:</w:t>
      </w:r>
    </w:p>
    <w:p w:rsidR="00CC7CFD" w:rsidRPr="00E02CBC" w:rsidRDefault="00D566FA" w:rsidP="00D566FA">
      <w:pPr>
        <w:pStyle w:val="SingleTxtG"/>
        <w:jc w:val="left"/>
      </w:pPr>
      <w:r>
        <w:rPr>
          <w:rStyle w:val="Heading1Char"/>
        </w:rPr>
        <w:t>« </w:t>
      </w:r>
      <w:r w:rsidR="00CC7CFD">
        <w:rPr>
          <w:lang w:val="fr-FR"/>
        </w:rPr>
        <w:t>Tableau 1</w:t>
      </w:r>
      <w:r>
        <w:rPr>
          <w:lang w:val="fr-FR"/>
        </w:rPr>
        <w:br/>
      </w:r>
      <w:r w:rsidR="00CC7CFD" w:rsidRPr="00E02CBC">
        <w:rPr>
          <w:lang w:val="fr-FR"/>
        </w:rPr>
        <w:t>Exemples de dispositifs et de solutions propres à permettre l</w:t>
      </w:r>
      <w:r w:rsidR="002534E9" w:rsidRPr="00E02CBC">
        <w:rPr>
          <w:lang w:val="fr-FR"/>
        </w:rPr>
        <w:t>’</w:t>
      </w:r>
      <w:r w:rsidR="00CC7CFD" w:rsidRPr="00E02CBC">
        <w:rPr>
          <w:lang w:val="fr-FR"/>
        </w:rPr>
        <w:t>essai d</w:t>
      </w:r>
      <w:r w:rsidR="002534E9" w:rsidRPr="00E02CBC">
        <w:rPr>
          <w:lang w:val="fr-FR"/>
        </w:rPr>
        <w:t>’</w:t>
      </w:r>
      <w:r w:rsidR="00CC7CFD" w:rsidRPr="00E02CBC">
        <w:rPr>
          <w:lang w:val="fr-FR"/>
        </w:rPr>
        <w:t>un véhicule dans les limites d</w:t>
      </w:r>
      <w:r w:rsidR="002534E9" w:rsidRPr="00E02CBC">
        <w:rPr>
          <w:lang w:val="fr-FR"/>
        </w:rPr>
        <w:t>’</w:t>
      </w:r>
      <w:r w:rsidR="00CC7CFD" w:rsidRPr="00E02CBC">
        <w:rPr>
          <w:lang w:val="fr-FR"/>
        </w:rPr>
        <w:t>accélération</w:t>
      </w:r>
    </w:p>
    <w:tbl>
      <w:tblPr>
        <w:tblW w:w="7366" w:type="dxa"/>
        <w:jc w:val="center"/>
        <w:tblLayout w:type="fixed"/>
        <w:tblCellMar>
          <w:left w:w="70" w:type="dxa"/>
          <w:right w:w="70" w:type="dxa"/>
        </w:tblCellMar>
        <w:tblLook w:val="04A0" w:firstRow="1" w:lastRow="0" w:firstColumn="1" w:lastColumn="0" w:noHBand="0" w:noVBand="1"/>
      </w:tblPr>
      <w:tblGrid>
        <w:gridCol w:w="421"/>
        <w:gridCol w:w="1417"/>
        <w:gridCol w:w="425"/>
        <w:gridCol w:w="2410"/>
        <w:gridCol w:w="2693"/>
      </w:tblGrid>
      <w:tr w:rsidR="00CC7CFD" w:rsidRPr="00443821" w:rsidTr="009C27B3">
        <w:trPr>
          <w:cantSplit/>
          <w:trHeight w:val="476"/>
          <w:tblHeader/>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CC7CFD" w:rsidRPr="00443821" w:rsidRDefault="00CC7CFD" w:rsidP="009C27B3">
            <w:pPr>
              <w:suppressAutoHyphens w:val="0"/>
              <w:spacing w:line="240" w:lineRule="auto"/>
              <w:jc w:val="center"/>
              <w:rPr>
                <w:b/>
                <w:bCs/>
                <w:i/>
                <w:color w:val="000000"/>
              </w:rPr>
            </w:pPr>
            <w:r>
              <w:rPr>
                <w:b/>
                <w:bCs/>
                <w:i/>
                <w:iCs/>
                <w:lang w:val="fr-FR"/>
              </w:rPr>
              <w:t>N</w:t>
            </w:r>
            <w:r w:rsidRPr="00443821">
              <w:rPr>
                <w:b/>
                <w:bCs/>
                <w:i/>
                <w:iCs/>
                <w:vertAlign w:val="superscript"/>
                <w:lang w:val="fr-FR"/>
              </w:rPr>
              <w:t>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rsidR="00CC7CFD" w:rsidRPr="00443821" w:rsidRDefault="00CC7CFD" w:rsidP="009C27B3">
            <w:pPr>
              <w:suppressAutoHyphens w:val="0"/>
              <w:spacing w:line="240" w:lineRule="auto"/>
              <w:jc w:val="center"/>
              <w:rPr>
                <w:b/>
                <w:bCs/>
                <w:i/>
                <w:color w:val="000000"/>
              </w:rPr>
            </w:pPr>
            <w:r w:rsidRPr="00443821">
              <w:rPr>
                <w:b/>
                <w:bCs/>
                <w:i/>
                <w:iCs/>
                <w:lang w:val="fr-FR"/>
              </w:rPr>
              <w:t>Effet</w:t>
            </w:r>
          </w:p>
        </w:tc>
        <w:tc>
          <w:tcPr>
            <w:tcW w:w="2835" w:type="dxa"/>
            <w:gridSpan w:val="2"/>
            <w:tcBorders>
              <w:top w:val="single" w:sz="4" w:space="0" w:color="auto"/>
              <w:left w:val="nil"/>
              <w:bottom w:val="single" w:sz="12" w:space="0" w:color="auto"/>
              <w:right w:val="single" w:sz="4" w:space="0" w:color="auto"/>
            </w:tcBorders>
            <w:shd w:val="clear" w:color="auto" w:fill="FFFFFF"/>
            <w:vAlign w:val="center"/>
            <w:hideMark/>
          </w:tcPr>
          <w:p w:rsidR="00CC7CFD" w:rsidRPr="00443821" w:rsidRDefault="00CC7CFD" w:rsidP="009C27B3">
            <w:pPr>
              <w:suppressAutoHyphens w:val="0"/>
              <w:spacing w:line="240" w:lineRule="auto"/>
              <w:jc w:val="center"/>
              <w:rPr>
                <w:b/>
                <w:bCs/>
                <w:i/>
                <w:color w:val="000000"/>
              </w:rPr>
            </w:pPr>
            <w:r>
              <w:rPr>
                <w:b/>
                <w:bCs/>
                <w:i/>
                <w:iCs/>
                <w:lang w:val="fr-FR"/>
              </w:rPr>
              <w:t>Solution</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CC7CFD" w:rsidRPr="00443821" w:rsidRDefault="00CC7CFD" w:rsidP="009C27B3">
            <w:pPr>
              <w:suppressAutoHyphens w:val="0"/>
              <w:spacing w:line="240" w:lineRule="auto"/>
              <w:jc w:val="center"/>
              <w:rPr>
                <w:b/>
                <w:bCs/>
                <w:i/>
                <w:color w:val="000000"/>
              </w:rPr>
            </w:pPr>
            <w:r w:rsidRPr="00443821">
              <w:rPr>
                <w:b/>
                <w:bCs/>
                <w:i/>
                <w:iCs/>
                <w:lang w:val="fr-FR"/>
              </w:rPr>
              <w:t>Dispositions supplémentaires</w:t>
            </w:r>
          </w:p>
        </w:tc>
      </w:tr>
      <w:tr w:rsidR="00CC7CFD" w:rsidRPr="00443821" w:rsidTr="009C27B3">
        <w:trPr>
          <w:cantSplit/>
          <w:trHeight w:val="496"/>
          <w:tblHeader/>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bCs/>
                <w:color w:val="000000"/>
              </w:rPr>
            </w:pPr>
            <w:r w:rsidRPr="00443821">
              <w:rPr>
                <w:lang w:val="fr-FR"/>
              </w:rPr>
              <w:t>Verrouillage d</w:t>
            </w:r>
            <w:r w:rsidR="002534E9">
              <w:rPr>
                <w:lang w:val="fr-FR"/>
              </w:rPr>
              <w:t>’</w:t>
            </w:r>
            <w:r w:rsidRPr="00443821">
              <w:rPr>
                <w:lang w:val="fr-FR"/>
              </w:rPr>
              <w:t>un rapport de transmission discret</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1*</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Un rapport de transmission discret peut être verrouillé par le conducteur.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aucune</w:t>
            </w:r>
          </w:p>
        </w:tc>
      </w:tr>
      <w:tr w:rsidR="00CC7CFD" w:rsidRPr="00443821" w:rsidTr="002534E9">
        <w:trPr>
          <w:cantSplit/>
          <w:trHeight w:val="1275"/>
          <w:tblHeader/>
          <w:jc w:val="center"/>
        </w:trPr>
        <w:tc>
          <w:tcPr>
            <w:tcW w:w="421" w:type="dxa"/>
            <w:vMerge/>
            <w:tcBorders>
              <w:top w:val="nil"/>
              <w:left w:val="single" w:sz="4" w:space="0" w:color="auto"/>
              <w:bottom w:val="single" w:sz="4"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bCs/>
                <w:color w:val="000000"/>
                <w:lang w:val="en-US" w:eastAsia="zh-CN"/>
              </w:rPr>
            </w:pPr>
          </w:p>
        </w:tc>
        <w:tc>
          <w:tcPr>
            <w:tcW w:w="1417" w:type="dxa"/>
            <w:vMerge/>
            <w:tcBorders>
              <w:top w:val="nil"/>
              <w:left w:val="single" w:sz="4" w:space="0" w:color="auto"/>
              <w:bottom w:val="single" w:sz="4"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bCs/>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2</w:t>
            </w:r>
          </w:p>
        </w:tc>
        <w:tc>
          <w:tcPr>
            <w:tcW w:w="2410"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Pr>
                <w:lang w:val="fr-FR"/>
              </w:rPr>
              <w:t>Si u</w:t>
            </w:r>
            <w:r w:rsidRPr="00443821">
              <w:rPr>
                <w:lang w:val="fr-FR"/>
              </w:rPr>
              <w:t>n rapport de transmission</w:t>
            </w:r>
            <w:r w:rsidRPr="00D86A08">
              <w:rPr>
                <w:lang w:val="fr-FR"/>
              </w:rPr>
              <w:t xml:space="preserve"> discret est</w:t>
            </w:r>
            <w:r w:rsidRPr="00D86A08">
              <w:rPr>
                <w:bCs/>
                <w:lang w:val="fr-FR"/>
              </w:rPr>
              <w:t xml:space="preserve"> disponible sur le véhicule </w:t>
            </w:r>
            <w:r w:rsidRPr="00D86A08">
              <w:rPr>
                <w:lang w:val="fr-FR"/>
              </w:rPr>
              <w:t>et si le conducteu</w:t>
            </w:r>
            <w:r>
              <w:rPr>
                <w:lang w:val="fr-FR"/>
              </w:rPr>
              <w:t>r n</w:t>
            </w:r>
            <w:r w:rsidR="002534E9">
              <w:rPr>
                <w:lang w:val="fr-FR"/>
              </w:rPr>
              <w:t>’</w:t>
            </w:r>
            <w:r>
              <w:rPr>
                <w:lang w:val="fr-FR"/>
              </w:rPr>
              <w:t>y a pas accès, l</w:t>
            </w:r>
            <w:r w:rsidRPr="00443821">
              <w:rPr>
                <w:lang w:val="fr-FR"/>
              </w:rPr>
              <w:t>e verrouillage peut être activé par le constructeur au moyen d</w:t>
            </w:r>
            <w:r w:rsidR="002534E9">
              <w:rPr>
                <w:lang w:val="fr-FR"/>
              </w:rPr>
              <w:t>’</w:t>
            </w:r>
            <w:r w:rsidRPr="00443821">
              <w:rPr>
                <w:lang w:val="fr-FR"/>
              </w:rPr>
              <w:t>une fonction embarquée (cachée) ou d</w:t>
            </w:r>
            <w:r w:rsidR="002534E9">
              <w:rPr>
                <w:lang w:val="fr-FR"/>
              </w:rPr>
              <w:t>’</w:t>
            </w:r>
            <w:r w:rsidRPr="00443821">
              <w:rPr>
                <w:lang w:val="fr-FR"/>
              </w:rPr>
              <w:t>un dispositif externe.</w:t>
            </w:r>
          </w:p>
        </w:tc>
        <w:tc>
          <w:tcPr>
            <w:tcW w:w="2693"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aucune</w:t>
            </w:r>
          </w:p>
        </w:tc>
      </w:tr>
      <w:tr w:rsidR="00CC7CFD" w:rsidRPr="00443821" w:rsidTr="002534E9">
        <w:trPr>
          <w:cantSplit/>
          <w:trHeight w:val="505"/>
          <w:tblHeader/>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7CFD" w:rsidRPr="00443821" w:rsidRDefault="00CC7CFD" w:rsidP="00E02CBC">
            <w:pPr>
              <w:suppressAutoHyphens w:val="0"/>
              <w:spacing w:before="40" w:afterLines="40" w:after="96" w:line="240" w:lineRule="auto"/>
              <w:rPr>
                <w:color w:val="000000"/>
              </w:rPr>
            </w:pPr>
            <w:r w:rsidRPr="00443821">
              <w:rPr>
                <w:lang w:val="fr-FR"/>
              </w:rPr>
              <w:t>Gestion commandée du passage des rapports</w:t>
            </w:r>
            <w:r w:rsidR="002534E9">
              <w:rPr>
                <w:lang w:val="fr-FR"/>
              </w:rPr>
              <w:t> </w:t>
            </w:r>
            <w:r w:rsidRPr="00443821">
              <w:rPr>
                <w:lang w:val="fr-FR"/>
              </w:rPr>
              <w:t>: applicable aux transmissions qui ne peuvent être verrouillées, ou lorsqu</w:t>
            </w:r>
            <w:r w:rsidR="00E02CBC">
              <w:rPr>
                <w:lang w:val="fr-FR"/>
              </w:rPr>
              <w:t xml:space="preserve">e </w:t>
            </w:r>
            <w:r w:rsidRPr="00443821">
              <w:rPr>
                <w:lang w:val="fr-FR"/>
              </w:rPr>
              <w:t>aucun rapport verrouillé ne donne un résultat d</w:t>
            </w:r>
            <w:r w:rsidR="002534E9">
              <w:rPr>
                <w:lang w:val="fr-FR"/>
              </w:rPr>
              <w:t>’</w:t>
            </w:r>
            <w:r w:rsidRPr="00443821">
              <w:rPr>
                <w:lang w:val="fr-FR"/>
              </w:rPr>
              <w:t>essai valable.</w:t>
            </w:r>
          </w:p>
        </w:tc>
        <w:tc>
          <w:tcPr>
            <w:tcW w:w="425"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1*</w:t>
            </w:r>
          </w:p>
        </w:tc>
        <w:tc>
          <w:tcPr>
            <w:tcW w:w="2410"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 xml:space="preserve">Le </w:t>
            </w:r>
            <w:proofErr w:type="spellStart"/>
            <w:r w:rsidRPr="00443821">
              <w:rPr>
                <w:lang w:val="fr-FR"/>
              </w:rPr>
              <w:t>rétrogradage</w:t>
            </w:r>
            <w:proofErr w:type="spellEnd"/>
            <w:r w:rsidRPr="00443821">
              <w:rPr>
                <w:lang w:val="fr-FR"/>
              </w:rPr>
              <w:t xml:space="preserve"> forcé est désactivé.</w:t>
            </w:r>
          </w:p>
        </w:tc>
        <w:tc>
          <w:tcPr>
            <w:tcW w:w="2693"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aucune</w:t>
            </w:r>
          </w:p>
        </w:tc>
      </w:tr>
      <w:tr w:rsidR="00CC7CFD" w:rsidRPr="00443821" w:rsidTr="002534E9">
        <w:trPr>
          <w:cantSplit/>
          <w:trHeight w:val="1120"/>
          <w:tblHeade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bCs/>
                <w:color w:val="000000"/>
                <w:lang w:val="en-US"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2</w:t>
            </w:r>
          </w:p>
        </w:tc>
        <w:tc>
          <w:tcPr>
            <w:tcW w:w="2410"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Le rapport peut changer au cours de l</w:t>
            </w:r>
            <w:r w:rsidR="002534E9">
              <w:rPr>
                <w:lang w:val="fr-FR"/>
              </w:rPr>
              <w:t>’</w:t>
            </w:r>
            <w:r w:rsidRPr="00443821">
              <w:rPr>
                <w:lang w:val="fr-FR"/>
              </w:rPr>
              <w:t>essai et ce changement est commandé par l</w:t>
            </w:r>
            <w:r w:rsidR="002534E9">
              <w:rPr>
                <w:lang w:val="fr-FR"/>
              </w:rPr>
              <w:t>’</w:t>
            </w:r>
            <w:r w:rsidRPr="00443821">
              <w:rPr>
                <w:lang w:val="fr-FR"/>
              </w:rPr>
              <w:t>activation d</w:t>
            </w:r>
            <w:r w:rsidR="002534E9">
              <w:rPr>
                <w:lang w:val="fr-FR"/>
              </w:rPr>
              <w:t>’</w:t>
            </w:r>
            <w:r w:rsidRPr="00443821">
              <w:rPr>
                <w:lang w:val="fr-FR"/>
              </w:rPr>
              <w:t>une fonction interne ou d</w:t>
            </w:r>
            <w:r w:rsidR="002534E9">
              <w:rPr>
                <w:lang w:val="fr-FR"/>
              </w:rPr>
              <w:t>’</w:t>
            </w:r>
            <w:r w:rsidRPr="00443821">
              <w:rPr>
                <w:lang w:val="fr-FR"/>
              </w:rPr>
              <w:t>un dispositif externe.</w:t>
            </w:r>
          </w:p>
        </w:tc>
        <w:tc>
          <w:tcPr>
            <w:tcW w:w="2693"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E02CBC">
            <w:pPr>
              <w:suppressAutoHyphens w:val="0"/>
              <w:spacing w:before="40" w:afterLines="40" w:after="96" w:line="240" w:lineRule="auto"/>
              <w:rPr>
                <w:color w:val="000000"/>
              </w:rPr>
            </w:pPr>
            <w:r w:rsidRPr="00443821">
              <w:rPr>
                <w:lang w:val="fr-FR"/>
              </w:rPr>
              <w:t>L</w:t>
            </w:r>
            <w:r w:rsidR="002534E9">
              <w:rPr>
                <w:lang w:val="fr-FR"/>
              </w:rPr>
              <w:t>’</w:t>
            </w:r>
            <w:r w:rsidRPr="00443821">
              <w:rPr>
                <w:lang w:val="fr-FR"/>
              </w:rPr>
              <w:t xml:space="preserve">accélération** se situe entre </w:t>
            </w:r>
            <w:proofErr w:type="spellStart"/>
            <w:r w:rsidRPr="00443821">
              <w:rPr>
                <w:lang w:val="fr-FR"/>
              </w:rPr>
              <w:t>a</w:t>
            </w:r>
            <w:r w:rsidR="00E02CBC">
              <w:rPr>
                <w:vertAlign w:val="subscript"/>
                <w:lang w:val="fr-FR"/>
              </w:rPr>
              <w:t>urban</w:t>
            </w:r>
            <w:proofErr w:type="spellEnd"/>
            <w:r w:rsidRPr="00443821">
              <w:rPr>
                <w:lang w:val="fr-FR"/>
              </w:rPr>
              <w:t xml:space="preserve"> et</w:t>
            </w:r>
            <w:r>
              <w:rPr>
                <w:lang w:val="fr-FR"/>
              </w:rPr>
              <w:t xml:space="preserve"> </w:t>
            </w:r>
            <w:proofErr w:type="spellStart"/>
            <w:r w:rsidRPr="00443821">
              <w:rPr>
                <w:lang w:val="fr-FR"/>
              </w:rPr>
              <w:t>a</w:t>
            </w:r>
            <w:r w:rsidRPr="00443821">
              <w:rPr>
                <w:vertAlign w:val="subscript"/>
                <w:lang w:val="fr-FR"/>
              </w:rPr>
              <w:t>wot</w:t>
            </w:r>
            <w:proofErr w:type="gramStart"/>
            <w:r w:rsidRPr="00443821">
              <w:rPr>
                <w:vertAlign w:val="subscript"/>
                <w:lang w:val="fr-FR"/>
              </w:rPr>
              <w:t>,ref</w:t>
            </w:r>
            <w:proofErr w:type="spellEnd"/>
            <w:proofErr w:type="gramEnd"/>
            <w:r w:rsidRPr="00443821">
              <w:rPr>
                <w:lang w:val="fr-FR"/>
              </w:rPr>
              <w:t xml:space="preserve">, mais ne dépasse pas </w:t>
            </w:r>
            <w:r>
              <w:rPr>
                <w:lang w:val="fr-FR"/>
              </w:rPr>
              <w:t>2,0 m</w:t>
            </w:r>
            <w:r w:rsidRPr="00443821">
              <w:rPr>
                <w:lang w:val="fr-FR"/>
              </w:rPr>
              <w:t>/s².</w:t>
            </w:r>
          </w:p>
        </w:tc>
      </w:tr>
      <w:tr w:rsidR="00CC7CFD" w:rsidRPr="00317802" w:rsidTr="002534E9">
        <w:trPr>
          <w:cantSplit/>
          <w:trHeight w:val="1325"/>
          <w:tblHeader/>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C7CFD" w:rsidRPr="00443821" w:rsidRDefault="00CC7CFD" w:rsidP="002534E9">
            <w:pPr>
              <w:keepNext/>
              <w:suppressAutoHyphens w:val="0"/>
              <w:spacing w:before="40" w:afterLines="40" w:after="96" w:line="240" w:lineRule="auto"/>
              <w:jc w:val="center"/>
              <w:rPr>
                <w:bCs/>
                <w:color w:val="000000"/>
              </w:rPr>
            </w:pPr>
            <w:r w:rsidRPr="00443821">
              <w:rPr>
                <w:lang w:val="fr-FR"/>
              </w:rPr>
              <w:lastRenderedPageBreak/>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C7CFD" w:rsidRPr="00443821" w:rsidRDefault="00CC7CFD" w:rsidP="002534E9">
            <w:pPr>
              <w:keepNext/>
              <w:suppressAutoHyphens w:val="0"/>
              <w:spacing w:before="40" w:afterLines="40" w:after="96" w:line="240" w:lineRule="auto"/>
              <w:rPr>
                <w:bCs/>
                <w:color w:val="000000"/>
              </w:rPr>
            </w:pPr>
            <w:r w:rsidRPr="00443821">
              <w:rPr>
                <w:lang w:val="fr-FR"/>
              </w:rPr>
              <w:t>Conduite en charge partielle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CC7CFD" w:rsidRPr="00443821" w:rsidRDefault="00CC7CFD" w:rsidP="002534E9">
            <w:pPr>
              <w:keepNext/>
              <w:suppressAutoHyphens w:val="0"/>
              <w:spacing w:before="40" w:afterLines="40" w:after="96" w:line="240" w:lineRule="auto"/>
              <w:jc w:val="center"/>
              <w:rPr>
                <w:bCs/>
                <w:color w:val="000000"/>
              </w:rPr>
            </w:pPr>
            <w:r w:rsidRPr="00443821">
              <w:rPr>
                <w:lang w:val="fr-FR"/>
              </w:rPr>
              <w:t>1</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CC7CFD" w:rsidRPr="00443821" w:rsidRDefault="00CC7CFD" w:rsidP="002534E9">
            <w:pPr>
              <w:keepNext/>
              <w:suppressAutoHyphens w:val="0"/>
              <w:spacing w:before="40" w:afterLines="40" w:after="96" w:line="240" w:lineRule="auto"/>
              <w:rPr>
                <w:color w:val="000000"/>
              </w:rPr>
            </w:pPr>
            <w:r w:rsidRPr="00443821">
              <w:rPr>
                <w:lang w:val="fr-FR"/>
              </w:rPr>
              <w:t>L</w:t>
            </w:r>
            <w:r w:rsidR="002534E9">
              <w:rPr>
                <w:lang w:val="fr-FR"/>
              </w:rPr>
              <w:t>’</w:t>
            </w:r>
            <w:r w:rsidRPr="00443821">
              <w:rPr>
                <w:lang w:val="fr-FR"/>
              </w:rPr>
              <w:t xml:space="preserve">accélération est limitée par un dispositif mécanique. </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C7CFD" w:rsidRPr="00443821" w:rsidRDefault="00CC7CFD" w:rsidP="002534E9">
            <w:pPr>
              <w:keepNext/>
              <w:tabs>
                <w:tab w:val="left" w:pos="497"/>
              </w:tabs>
              <w:suppressAutoHyphens w:val="0"/>
              <w:spacing w:before="40" w:afterLines="40" w:after="96" w:line="240" w:lineRule="auto"/>
              <w:rPr>
                <w:color w:val="000000"/>
                <w:vertAlign w:val="subscript"/>
              </w:rPr>
            </w:pPr>
            <w:r w:rsidRPr="00443821">
              <w:rPr>
                <w:lang w:val="fr-FR"/>
              </w:rPr>
              <w:t>L</w:t>
            </w:r>
            <w:r w:rsidR="002534E9">
              <w:rPr>
                <w:lang w:val="fr-FR"/>
              </w:rPr>
              <w:t>’</w:t>
            </w:r>
            <w:r w:rsidRPr="00443821">
              <w:rPr>
                <w:lang w:val="fr-FR"/>
              </w:rPr>
              <w:t xml:space="preserve">accélération** se situe entre </w:t>
            </w:r>
            <w:proofErr w:type="spellStart"/>
            <w:r w:rsidRPr="00443821">
              <w:rPr>
                <w:lang w:val="fr-FR"/>
              </w:rPr>
              <w:t>a</w:t>
            </w:r>
            <w:r w:rsidR="00E02CBC">
              <w:rPr>
                <w:vertAlign w:val="subscript"/>
                <w:lang w:val="fr-FR"/>
              </w:rPr>
              <w:t>urban</w:t>
            </w:r>
            <w:proofErr w:type="spellEnd"/>
            <w:r w:rsidRPr="00443821">
              <w:rPr>
                <w:lang w:val="fr-FR"/>
              </w:rPr>
              <w:t xml:space="preserve"> et</w:t>
            </w:r>
            <w:r>
              <w:rPr>
                <w:lang w:val="fr-FR"/>
              </w:rPr>
              <w:t xml:space="preserve"> </w:t>
            </w:r>
            <w:proofErr w:type="spellStart"/>
            <w:r w:rsidRPr="00443821">
              <w:rPr>
                <w:lang w:val="fr-FR"/>
              </w:rPr>
              <w:t>a</w:t>
            </w:r>
            <w:r w:rsidRPr="00443821">
              <w:rPr>
                <w:vertAlign w:val="subscript"/>
                <w:lang w:val="fr-FR"/>
              </w:rPr>
              <w:t>wot</w:t>
            </w:r>
            <w:proofErr w:type="gramStart"/>
            <w:r w:rsidRPr="00443821">
              <w:rPr>
                <w:vertAlign w:val="subscript"/>
                <w:lang w:val="fr-FR"/>
              </w:rPr>
              <w:t>,ref</w:t>
            </w:r>
            <w:proofErr w:type="spellEnd"/>
            <w:proofErr w:type="gramEnd"/>
            <w:r w:rsidRPr="00443821">
              <w:rPr>
                <w:lang w:val="fr-FR"/>
              </w:rPr>
              <w:t xml:space="preserve">, mais ne dépasse pas </w:t>
            </w:r>
            <w:r>
              <w:rPr>
                <w:lang w:val="fr-FR"/>
              </w:rPr>
              <w:t>2,0 m</w:t>
            </w:r>
            <w:r w:rsidRPr="00443821">
              <w:rPr>
                <w:lang w:val="fr-FR"/>
              </w:rPr>
              <w:t>/s².</w:t>
            </w:r>
          </w:p>
          <w:p w:rsidR="00CC7CFD" w:rsidRPr="00443821" w:rsidRDefault="00CC7CFD" w:rsidP="002534E9">
            <w:pPr>
              <w:keepNext/>
              <w:tabs>
                <w:tab w:val="left" w:pos="497"/>
              </w:tabs>
              <w:suppressAutoHyphens w:val="0"/>
              <w:spacing w:before="40" w:afterLines="40" w:after="96" w:line="240" w:lineRule="auto"/>
              <w:rPr>
                <w:color w:val="000000"/>
              </w:rPr>
            </w:pPr>
            <w:r w:rsidRPr="00443821">
              <w:rPr>
                <w:lang w:val="fr-FR"/>
              </w:rPr>
              <w:t>Pour les PSES**, les paramètres du point d</w:t>
            </w:r>
            <w:r w:rsidR="002534E9">
              <w:rPr>
                <w:lang w:val="fr-FR"/>
              </w:rPr>
              <w:t>’</w:t>
            </w:r>
            <w:r w:rsidRPr="00443821">
              <w:rPr>
                <w:lang w:val="fr-FR"/>
              </w:rPr>
              <w:t>alignement sont calculés comme suit</w:t>
            </w:r>
            <w:r w:rsidR="00D0624B">
              <w:rPr>
                <w:lang w:val="fr-FR"/>
              </w:rPr>
              <w:t> </w:t>
            </w:r>
            <w:r w:rsidRPr="00443821">
              <w:rPr>
                <w:lang w:val="fr-FR"/>
              </w:rPr>
              <w:t>:</w:t>
            </w:r>
          </w:p>
          <w:p w:rsidR="00CC7CFD" w:rsidRPr="00443821" w:rsidRDefault="00CC7CFD" w:rsidP="002534E9">
            <w:pPr>
              <w:keepNext/>
              <w:tabs>
                <w:tab w:val="left" w:pos="497"/>
              </w:tabs>
              <w:suppressAutoHyphens w:val="0"/>
              <w:spacing w:before="40" w:afterLines="40" w:after="96" w:line="240" w:lineRule="auto"/>
              <w:rPr>
                <w:color w:val="000000"/>
                <w:vertAlign w:val="subscript"/>
              </w:rPr>
            </w:pPr>
            <w:proofErr w:type="spellStart"/>
            <w:r w:rsidRPr="00443821">
              <w:rPr>
                <w:lang w:val="fr-FR"/>
              </w:rPr>
              <w:t>L</w:t>
            </w:r>
            <w:r w:rsidRPr="00443821">
              <w:rPr>
                <w:vertAlign w:val="subscript"/>
                <w:lang w:val="fr-FR"/>
              </w:rPr>
              <w:t>anchor</w:t>
            </w:r>
            <w:proofErr w:type="spellEnd"/>
            <w:r w:rsidRPr="00443821">
              <w:rPr>
                <w:vertAlign w:val="subscript"/>
                <w:lang w:val="fr-FR"/>
              </w:rPr>
              <w:t xml:space="preserve"> </w:t>
            </w:r>
            <w:r w:rsidRPr="00443821">
              <w:rPr>
                <w:lang w:val="fr-FR"/>
              </w:rPr>
              <w:t>= (</w:t>
            </w:r>
            <w:proofErr w:type="spellStart"/>
            <w:r w:rsidRPr="00443821">
              <w:rPr>
                <w:lang w:val="fr-FR"/>
              </w:rPr>
              <w:t>L</w:t>
            </w:r>
            <w:r w:rsidRPr="00443821">
              <w:rPr>
                <w:vertAlign w:val="subscript"/>
                <w:lang w:val="fr-FR"/>
              </w:rPr>
              <w:t>test</w:t>
            </w:r>
            <w:proofErr w:type="spellEnd"/>
            <w:r w:rsidRPr="00443821">
              <w:rPr>
                <w:lang w:val="fr-FR"/>
              </w:rPr>
              <w:t xml:space="preserve"> - </w:t>
            </w:r>
            <w:proofErr w:type="spellStart"/>
            <w:r w:rsidRPr="00443821">
              <w:rPr>
                <w:lang w:val="fr-FR"/>
              </w:rPr>
              <w:t>k</w:t>
            </w:r>
            <w:r w:rsidRPr="00443821">
              <w:rPr>
                <w:vertAlign w:val="subscript"/>
                <w:lang w:val="fr-FR"/>
              </w:rPr>
              <w:t>p</w:t>
            </w:r>
            <w:proofErr w:type="spellEnd"/>
            <w:r w:rsidRPr="00443821">
              <w:rPr>
                <w:lang w:val="fr-FR"/>
              </w:rPr>
              <w:t>*</w:t>
            </w:r>
            <w:proofErr w:type="spellStart"/>
            <w:r w:rsidRPr="00443821">
              <w:rPr>
                <w:lang w:val="fr-FR"/>
              </w:rPr>
              <w:t>L</w:t>
            </w:r>
            <w:r w:rsidRPr="00443821">
              <w:rPr>
                <w:vertAlign w:val="subscript"/>
                <w:lang w:val="fr-FR"/>
              </w:rPr>
              <w:t>crs</w:t>
            </w:r>
            <w:proofErr w:type="spellEnd"/>
            <w:r w:rsidRPr="00443821">
              <w:rPr>
                <w:lang w:val="fr-FR"/>
              </w:rPr>
              <w:t xml:space="preserve">) / (1-kp) avec </w:t>
            </w:r>
            <w:proofErr w:type="spellStart"/>
            <w:r w:rsidRPr="00443821">
              <w:rPr>
                <w:lang w:val="fr-FR"/>
              </w:rPr>
              <w:t>k</w:t>
            </w:r>
            <w:r w:rsidRPr="00443821">
              <w:rPr>
                <w:vertAlign w:val="subscript"/>
                <w:lang w:val="fr-FR"/>
              </w:rPr>
              <w:t>P</w:t>
            </w:r>
            <w:proofErr w:type="spellEnd"/>
            <w:r w:rsidRPr="00443821">
              <w:rPr>
                <w:lang w:val="fr-FR"/>
              </w:rPr>
              <w:t xml:space="preserve"> = 1-a</w:t>
            </w:r>
            <w:r w:rsidRPr="00443821">
              <w:rPr>
                <w:vertAlign w:val="subscript"/>
                <w:lang w:val="fr-FR"/>
              </w:rPr>
              <w:t>test</w:t>
            </w:r>
            <w:r w:rsidRPr="00443821">
              <w:rPr>
                <w:lang w:val="fr-FR"/>
              </w:rPr>
              <w:t>/</w:t>
            </w:r>
            <w:proofErr w:type="spellStart"/>
            <w:r w:rsidRPr="00443821">
              <w:rPr>
                <w:lang w:val="fr-FR"/>
              </w:rPr>
              <w:t>a</w:t>
            </w:r>
            <w:r w:rsidRPr="00443821">
              <w:rPr>
                <w:vertAlign w:val="subscript"/>
                <w:lang w:val="fr-FR"/>
              </w:rPr>
              <w:t>wot</w:t>
            </w:r>
            <w:proofErr w:type="gramStart"/>
            <w:r w:rsidRPr="00443821">
              <w:rPr>
                <w:vertAlign w:val="subscript"/>
                <w:lang w:val="fr-FR"/>
              </w:rPr>
              <w:t>,ref</w:t>
            </w:r>
            <w:proofErr w:type="spellEnd"/>
            <w:proofErr w:type="gramEnd"/>
            <w:r>
              <w:rPr>
                <w:vertAlign w:val="subscript"/>
                <w:lang w:val="fr-FR"/>
              </w:rPr>
              <w:t xml:space="preserve"> </w:t>
            </w:r>
            <w:r w:rsidRPr="00443821">
              <w:rPr>
                <w:lang w:val="fr-FR"/>
              </w:rPr>
              <w:t xml:space="preserve">et </w:t>
            </w:r>
            <w:proofErr w:type="spellStart"/>
            <w:r w:rsidRPr="00443821">
              <w:rPr>
                <w:lang w:val="fr-FR"/>
              </w:rPr>
              <w:t>a</w:t>
            </w:r>
            <w:r w:rsidRPr="00443821">
              <w:rPr>
                <w:vertAlign w:val="subscript"/>
                <w:lang w:val="fr-FR"/>
              </w:rPr>
              <w:t>wot,ref</w:t>
            </w:r>
            <w:proofErr w:type="spellEnd"/>
            <w:r w:rsidRPr="00443821">
              <w:rPr>
                <w:lang w:val="fr-FR"/>
              </w:rPr>
              <w:t xml:space="preserve"> selon 3.1.2.1.2.4 mais ne dépasse pas </w:t>
            </w:r>
            <w:r>
              <w:rPr>
                <w:lang w:val="fr-FR"/>
              </w:rPr>
              <w:t>2,0 m</w:t>
            </w:r>
            <w:r w:rsidR="00E02CBC">
              <w:rPr>
                <w:lang w:val="fr-FR"/>
              </w:rPr>
              <w:t>/s</w:t>
            </w:r>
            <w:r w:rsidRPr="00443821">
              <w:rPr>
                <w:lang w:val="fr-FR"/>
              </w:rPr>
              <w:t>²</w:t>
            </w:r>
          </w:p>
          <w:p w:rsidR="00CC7CFD" w:rsidRPr="00443821" w:rsidRDefault="00CC7CFD" w:rsidP="00D0624B">
            <w:pPr>
              <w:keepNext/>
              <w:tabs>
                <w:tab w:val="left" w:pos="497"/>
              </w:tabs>
              <w:suppressAutoHyphens w:val="0"/>
              <w:spacing w:before="40" w:afterLines="40" w:after="96" w:line="240" w:lineRule="auto"/>
              <w:rPr>
                <w:color w:val="000000"/>
                <w:lang w:val="en-US"/>
              </w:rPr>
            </w:pPr>
            <w:proofErr w:type="spellStart"/>
            <w:r w:rsidRPr="00443821">
              <w:rPr>
                <w:lang w:val="en-US"/>
              </w:rPr>
              <w:t>n</w:t>
            </w:r>
            <w:r w:rsidRPr="00443821">
              <w:rPr>
                <w:vertAlign w:val="subscript"/>
                <w:lang w:val="en-US"/>
              </w:rPr>
              <w:t>anchor</w:t>
            </w:r>
            <w:proofErr w:type="spellEnd"/>
            <w:r w:rsidRPr="00443821">
              <w:rPr>
                <w:vertAlign w:val="subscript"/>
                <w:lang w:val="en-US"/>
              </w:rPr>
              <w:t xml:space="preserve"> </w:t>
            </w:r>
            <w:r w:rsidRPr="00443821">
              <w:rPr>
                <w:lang w:val="en-US"/>
              </w:rPr>
              <w:t xml:space="preserve">= </w:t>
            </w:r>
            <w:proofErr w:type="spellStart"/>
            <w:r w:rsidRPr="00443821">
              <w:rPr>
                <w:lang w:val="en-US"/>
              </w:rPr>
              <w:t>n</w:t>
            </w:r>
            <w:r w:rsidRPr="00443821">
              <w:rPr>
                <w:vertAlign w:val="subscript"/>
                <w:lang w:val="en-US"/>
              </w:rPr>
              <w:t>bb,test</w:t>
            </w:r>
            <w:proofErr w:type="spellEnd"/>
            <w:r w:rsidRPr="00443821">
              <w:rPr>
                <w:lang w:val="en-US"/>
              </w:rPr>
              <w:t xml:space="preserve"> * 3</w:t>
            </w:r>
            <w:r w:rsidR="00D0624B">
              <w:rPr>
                <w:lang w:val="en-US"/>
              </w:rPr>
              <w:t>,</w:t>
            </w:r>
            <w:r w:rsidRPr="00443821">
              <w:rPr>
                <w:lang w:val="en-US"/>
              </w:rPr>
              <w:t>6</w:t>
            </w:r>
            <w:r>
              <w:rPr>
                <w:lang w:val="en-US"/>
              </w:rPr>
              <w:t xml:space="preserve"> </w:t>
            </w:r>
            <w:r w:rsidRPr="00443821">
              <w:rPr>
                <w:lang w:val="en-US"/>
              </w:rPr>
              <w:t xml:space="preserve">/ </w:t>
            </w:r>
            <w:proofErr w:type="spellStart"/>
            <w:r w:rsidRPr="00443821">
              <w:rPr>
                <w:lang w:val="en-US"/>
              </w:rPr>
              <w:t>v</w:t>
            </w:r>
            <w:r w:rsidRPr="00443821">
              <w:rPr>
                <w:vertAlign w:val="subscript"/>
                <w:lang w:val="en-US"/>
              </w:rPr>
              <w:t>bb,test</w:t>
            </w:r>
            <w:proofErr w:type="spellEnd"/>
            <w:r w:rsidRPr="00443821">
              <w:rPr>
                <w:lang w:val="en-US"/>
              </w:rPr>
              <w:t xml:space="preserve"> * (</w:t>
            </w:r>
            <w:proofErr w:type="spellStart"/>
            <w:r w:rsidRPr="00443821">
              <w:rPr>
                <w:lang w:val="en-US"/>
              </w:rPr>
              <w:t>a</w:t>
            </w:r>
            <w:r w:rsidRPr="00443821">
              <w:rPr>
                <w:vertAlign w:val="subscript"/>
                <w:lang w:val="en-US"/>
              </w:rPr>
              <w:t>test</w:t>
            </w:r>
            <w:proofErr w:type="spellEnd"/>
            <w:r w:rsidRPr="00443821">
              <w:rPr>
                <w:lang w:val="en-US"/>
              </w:rPr>
              <w:t>*(20+2*</w:t>
            </w:r>
            <w:proofErr w:type="spellStart"/>
            <w:r w:rsidRPr="00443821">
              <w:rPr>
                <w:lang w:val="en-US"/>
              </w:rPr>
              <w:t>l</w:t>
            </w:r>
            <w:r w:rsidRPr="00443821">
              <w:rPr>
                <w:vertAlign w:val="subscript"/>
                <w:lang w:val="en-US"/>
              </w:rPr>
              <w:t>veh</w:t>
            </w:r>
            <w:proofErr w:type="spellEnd"/>
            <w:r w:rsidRPr="00443821">
              <w:rPr>
                <w:lang w:val="en-US"/>
              </w:rPr>
              <w:t>)+192,9)</w:t>
            </w:r>
            <w:r w:rsidRPr="00443821">
              <w:rPr>
                <w:vertAlign w:val="superscript"/>
                <w:lang w:val="en-US"/>
              </w:rPr>
              <w:t>0,5</w:t>
            </w:r>
          </w:p>
        </w:tc>
      </w:tr>
      <w:tr w:rsidR="00CC7CFD" w:rsidRPr="00443821" w:rsidTr="009C27B3">
        <w:trPr>
          <w:cantSplit/>
          <w:trHeight w:val="848"/>
          <w:tblHeader/>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CC7CFD" w:rsidRPr="00443821" w:rsidRDefault="00CC7CFD" w:rsidP="00D566FA">
            <w:pPr>
              <w:suppressAutoHyphens w:val="0"/>
              <w:spacing w:before="40" w:afterLines="40" w:after="96" w:line="240" w:lineRule="auto"/>
              <w:rPr>
                <w:b/>
                <w:bCs/>
                <w:color w:val="000000"/>
                <w:lang w:val="en-US"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C7CFD" w:rsidRPr="00443821" w:rsidRDefault="00CC7CFD" w:rsidP="00D566FA">
            <w:pPr>
              <w:suppressAutoHyphens w:val="0"/>
              <w:spacing w:before="40" w:afterLines="40" w:after="96" w:line="240" w:lineRule="auto"/>
              <w:rPr>
                <w:b/>
                <w:bCs/>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2</w:t>
            </w:r>
          </w:p>
        </w:tc>
        <w:tc>
          <w:tcPr>
            <w:tcW w:w="2410"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Programmation externe pour l</w:t>
            </w:r>
            <w:r w:rsidR="002534E9">
              <w:rPr>
                <w:lang w:val="fr-FR"/>
              </w:rPr>
              <w:t>’</w:t>
            </w:r>
            <w:r w:rsidRPr="00443821">
              <w:rPr>
                <w:lang w:val="fr-FR"/>
              </w:rPr>
              <w:t>accélération à charge partielle ***</w:t>
            </w:r>
          </w:p>
        </w:tc>
        <w:tc>
          <w:tcPr>
            <w:tcW w:w="2693" w:type="dxa"/>
            <w:vMerge/>
            <w:tcBorders>
              <w:top w:val="nil"/>
              <w:left w:val="single" w:sz="4" w:space="0" w:color="auto"/>
              <w:bottom w:val="single" w:sz="4"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color w:val="000000"/>
                <w:lang w:eastAsia="zh-CN"/>
              </w:rPr>
            </w:pPr>
          </w:p>
        </w:tc>
      </w:tr>
      <w:tr w:rsidR="00CC7CFD" w:rsidRPr="00443821" w:rsidTr="009C27B3">
        <w:trPr>
          <w:cantSplit/>
          <w:trHeight w:val="519"/>
          <w:tblHeader/>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 xml:space="preserve">Solution mixte (mode) : cette </w:t>
            </w:r>
            <w:r>
              <w:rPr>
                <w:lang w:val="fr-FR"/>
              </w:rPr>
              <w:t>solution</w:t>
            </w:r>
            <w:r w:rsidRPr="00443821">
              <w:rPr>
                <w:lang w:val="fr-FR"/>
              </w:rPr>
              <w:t xml:space="preserve"> sera une combinaison des solutions précédentes formant un mode spécifique.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1*</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Le mode est disponible sur le véhicule et peut être sélectionné par le conducteur.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aucune</w:t>
            </w:r>
          </w:p>
        </w:tc>
      </w:tr>
      <w:tr w:rsidR="00CC7CFD" w:rsidRPr="00443821" w:rsidTr="009C27B3">
        <w:trPr>
          <w:cantSplit/>
          <w:trHeight w:val="834"/>
          <w:tblHeader/>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b/>
                <w:bCs/>
                <w:color w:val="000000"/>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color w:val="000000"/>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2</w:t>
            </w:r>
          </w:p>
        </w:tc>
        <w:tc>
          <w:tcPr>
            <w:tcW w:w="2410"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Le mode est disponible sur le véhicule et ne peut être activé que par le constructeur au moyen d</w:t>
            </w:r>
            <w:r w:rsidR="002534E9">
              <w:rPr>
                <w:lang w:val="fr-FR"/>
              </w:rPr>
              <w:t>’</w:t>
            </w:r>
            <w:r w:rsidRPr="00443821">
              <w:rPr>
                <w:lang w:val="fr-FR"/>
              </w:rPr>
              <w:t>une fonction cachée ou d</w:t>
            </w:r>
            <w:r w:rsidR="002534E9">
              <w:rPr>
                <w:lang w:val="fr-FR"/>
              </w:rPr>
              <w:t>’</w:t>
            </w:r>
            <w:r w:rsidRPr="00443821">
              <w:rPr>
                <w:lang w:val="fr-FR"/>
              </w:rPr>
              <w:t>un dispositif externe.</w:t>
            </w:r>
          </w:p>
        </w:tc>
        <w:tc>
          <w:tcPr>
            <w:tcW w:w="2693" w:type="dxa"/>
            <w:tcBorders>
              <w:top w:val="nil"/>
              <w:left w:val="nil"/>
              <w:bottom w:val="single" w:sz="4"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aucune</w:t>
            </w:r>
          </w:p>
        </w:tc>
      </w:tr>
      <w:tr w:rsidR="00CC7CFD" w:rsidRPr="00443821" w:rsidTr="009C27B3">
        <w:trPr>
          <w:cantSplit/>
          <w:trHeight w:val="852"/>
          <w:tblHeader/>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b/>
                <w:bCs/>
                <w:color w:val="000000"/>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CC7CFD" w:rsidRPr="00443821" w:rsidRDefault="00CC7CFD" w:rsidP="00D566FA">
            <w:pPr>
              <w:suppressAutoHyphens w:val="0"/>
              <w:spacing w:before="40" w:afterLines="40" w:after="96" w:line="240" w:lineRule="auto"/>
              <w:rPr>
                <w:color w:val="000000"/>
                <w:lang w:val="en-US"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jc w:val="center"/>
              <w:rPr>
                <w:bCs/>
                <w:color w:val="000000"/>
              </w:rPr>
            </w:pPr>
            <w:r w:rsidRPr="00443821">
              <w:rPr>
                <w:lang w:val="fr-FR"/>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CC7CFD" w:rsidRPr="00443821" w:rsidRDefault="00CC7CFD" w:rsidP="00D566FA">
            <w:pPr>
              <w:suppressAutoHyphens w:val="0"/>
              <w:spacing w:before="40" w:afterLines="40" w:after="96" w:line="240" w:lineRule="auto"/>
              <w:rPr>
                <w:color w:val="000000"/>
              </w:rPr>
            </w:pPr>
            <w:r w:rsidRPr="00443821">
              <w:rPr>
                <w:lang w:val="fr-FR"/>
              </w:rPr>
              <w:t>Le mode n</w:t>
            </w:r>
            <w:r w:rsidR="002534E9">
              <w:rPr>
                <w:lang w:val="fr-FR"/>
              </w:rPr>
              <w:t>’</w:t>
            </w:r>
            <w:r w:rsidRPr="00443821">
              <w:rPr>
                <w:lang w:val="fr-FR"/>
              </w:rPr>
              <w:t>est pas disponible sur le véhicule et un logiciel externe prend le pas sur le logiciel interne.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CC7CFD" w:rsidRPr="00443821" w:rsidRDefault="00CC7CFD" w:rsidP="00E02CBC">
            <w:pPr>
              <w:suppressAutoHyphens w:val="0"/>
              <w:spacing w:before="40" w:afterLines="40" w:after="96" w:line="240" w:lineRule="auto"/>
              <w:rPr>
                <w:color w:val="000000"/>
              </w:rPr>
            </w:pPr>
            <w:r w:rsidRPr="00443821">
              <w:rPr>
                <w:lang w:val="fr-FR"/>
              </w:rPr>
              <w:t>L</w:t>
            </w:r>
            <w:r w:rsidR="002534E9">
              <w:rPr>
                <w:lang w:val="fr-FR"/>
              </w:rPr>
              <w:t>’</w:t>
            </w:r>
            <w:r w:rsidRPr="00443821">
              <w:rPr>
                <w:lang w:val="fr-FR"/>
              </w:rPr>
              <w:t xml:space="preserve">accélération** se situe entre </w:t>
            </w:r>
            <w:proofErr w:type="spellStart"/>
            <w:r w:rsidRPr="00443821">
              <w:rPr>
                <w:lang w:val="fr-FR"/>
              </w:rPr>
              <w:t>a</w:t>
            </w:r>
            <w:r w:rsidR="00E02CBC">
              <w:rPr>
                <w:vertAlign w:val="subscript"/>
                <w:lang w:val="fr-FR"/>
              </w:rPr>
              <w:t>urban</w:t>
            </w:r>
            <w:proofErr w:type="spellEnd"/>
            <w:r w:rsidRPr="00443821">
              <w:rPr>
                <w:lang w:val="fr-FR"/>
              </w:rPr>
              <w:t xml:space="preserve"> et</w:t>
            </w:r>
            <w:r>
              <w:rPr>
                <w:lang w:val="fr-FR"/>
              </w:rPr>
              <w:t xml:space="preserve"> </w:t>
            </w:r>
            <w:proofErr w:type="spellStart"/>
            <w:r w:rsidRPr="00443821">
              <w:rPr>
                <w:lang w:val="fr-FR"/>
              </w:rPr>
              <w:t>a</w:t>
            </w:r>
            <w:r w:rsidRPr="00443821">
              <w:rPr>
                <w:vertAlign w:val="subscript"/>
                <w:lang w:val="fr-FR"/>
              </w:rPr>
              <w:t>wot</w:t>
            </w:r>
            <w:proofErr w:type="gramStart"/>
            <w:r w:rsidRPr="00443821">
              <w:rPr>
                <w:vertAlign w:val="subscript"/>
                <w:lang w:val="fr-FR"/>
              </w:rPr>
              <w:t>,ref</w:t>
            </w:r>
            <w:proofErr w:type="spellEnd"/>
            <w:proofErr w:type="gramEnd"/>
            <w:r w:rsidRPr="00443821">
              <w:rPr>
                <w:lang w:val="fr-FR"/>
              </w:rPr>
              <w:t xml:space="preserve">, mais ne dépasse pas </w:t>
            </w:r>
            <w:r>
              <w:rPr>
                <w:lang w:val="fr-FR"/>
              </w:rPr>
              <w:t>2,0 m</w:t>
            </w:r>
            <w:r w:rsidRPr="00443821">
              <w:rPr>
                <w:lang w:val="fr-FR"/>
              </w:rPr>
              <w:t>/s².</w:t>
            </w:r>
          </w:p>
        </w:tc>
      </w:tr>
    </w:tbl>
    <w:p w:rsidR="00CC7CFD" w:rsidRPr="00D566FA" w:rsidRDefault="002534E9" w:rsidP="002534E9">
      <w:pPr>
        <w:pStyle w:val="SingleTxtG"/>
        <w:tabs>
          <w:tab w:val="left" w:pos="1560"/>
        </w:tabs>
        <w:spacing w:before="120" w:after="0"/>
        <w:ind w:firstLine="170"/>
        <w:rPr>
          <w:sz w:val="18"/>
          <w:szCs w:val="18"/>
        </w:rPr>
      </w:pPr>
      <w:r>
        <w:rPr>
          <w:lang w:val="fr-FR"/>
        </w:rPr>
        <w:t>*  </w:t>
      </w:r>
      <w:r w:rsidR="00CC7CFD" w:rsidRPr="00D566FA">
        <w:rPr>
          <w:sz w:val="18"/>
          <w:szCs w:val="18"/>
          <w:lang w:val="fr-FR"/>
        </w:rPr>
        <w:t>Observation</w:t>
      </w:r>
      <w:r>
        <w:rPr>
          <w:sz w:val="18"/>
          <w:szCs w:val="18"/>
          <w:lang w:val="fr-FR"/>
        </w:rPr>
        <w:t> </w:t>
      </w:r>
      <w:r w:rsidR="00CC7CFD" w:rsidRPr="00D566FA">
        <w:rPr>
          <w:sz w:val="18"/>
          <w:szCs w:val="18"/>
          <w:lang w:val="fr-FR"/>
        </w:rPr>
        <w:t>: il s</w:t>
      </w:r>
      <w:r>
        <w:rPr>
          <w:sz w:val="18"/>
          <w:szCs w:val="18"/>
          <w:lang w:val="fr-FR"/>
        </w:rPr>
        <w:t>’</w:t>
      </w:r>
      <w:r w:rsidR="00CC7CFD" w:rsidRPr="00D566FA">
        <w:rPr>
          <w:sz w:val="18"/>
          <w:szCs w:val="18"/>
          <w:lang w:val="fr-FR"/>
        </w:rPr>
        <w:t>agit d</w:t>
      </w:r>
      <w:r>
        <w:rPr>
          <w:sz w:val="18"/>
          <w:szCs w:val="18"/>
          <w:lang w:val="fr-FR"/>
        </w:rPr>
        <w:t>’</w:t>
      </w:r>
      <w:r w:rsidR="00CC7CFD" w:rsidRPr="00D566FA">
        <w:rPr>
          <w:sz w:val="18"/>
          <w:szCs w:val="18"/>
          <w:lang w:val="fr-FR"/>
        </w:rPr>
        <w:t>une situation type, déjà prévue dans le texte du Règlement.</w:t>
      </w:r>
    </w:p>
    <w:p w:rsidR="00CC7CFD" w:rsidRPr="00D566FA" w:rsidRDefault="002534E9" w:rsidP="002534E9">
      <w:pPr>
        <w:pStyle w:val="SingleTxtG"/>
        <w:tabs>
          <w:tab w:val="left" w:pos="1560"/>
        </w:tabs>
        <w:spacing w:after="0"/>
        <w:ind w:firstLine="170"/>
        <w:rPr>
          <w:sz w:val="18"/>
          <w:szCs w:val="18"/>
        </w:rPr>
      </w:pPr>
      <w:r>
        <w:rPr>
          <w:lang w:val="fr-FR"/>
        </w:rPr>
        <w:t>**  </w:t>
      </w:r>
      <w:r w:rsidR="00CC7CFD" w:rsidRPr="00D566FA">
        <w:rPr>
          <w:sz w:val="18"/>
          <w:szCs w:val="18"/>
          <w:lang w:val="fr-FR"/>
        </w:rPr>
        <w:t>Applicable aux véhicules des catégories M</w:t>
      </w:r>
      <w:r w:rsidR="00CC7CFD" w:rsidRPr="00D566FA">
        <w:rPr>
          <w:sz w:val="18"/>
          <w:szCs w:val="18"/>
          <w:vertAlign w:val="subscript"/>
          <w:lang w:val="fr-FR"/>
        </w:rPr>
        <w:t>1</w:t>
      </w:r>
      <w:r w:rsidR="00CC7CFD" w:rsidRPr="00D566FA">
        <w:rPr>
          <w:sz w:val="18"/>
          <w:szCs w:val="18"/>
          <w:lang w:val="fr-FR"/>
        </w:rPr>
        <w:t>, N</w:t>
      </w:r>
      <w:r w:rsidR="00CC7CFD" w:rsidRPr="00D566FA">
        <w:rPr>
          <w:sz w:val="18"/>
          <w:szCs w:val="18"/>
          <w:vertAlign w:val="subscript"/>
          <w:lang w:val="fr-FR"/>
        </w:rPr>
        <w:t>1</w:t>
      </w:r>
      <w:r w:rsidR="00CC7CFD" w:rsidRPr="00D566FA">
        <w:rPr>
          <w:sz w:val="18"/>
          <w:szCs w:val="18"/>
          <w:lang w:val="fr-FR"/>
        </w:rPr>
        <w:t xml:space="preserve"> et M</w:t>
      </w:r>
      <w:r w:rsidR="00CC7CFD" w:rsidRPr="00D566FA">
        <w:rPr>
          <w:sz w:val="18"/>
          <w:szCs w:val="18"/>
          <w:vertAlign w:val="subscript"/>
          <w:lang w:val="fr-FR"/>
        </w:rPr>
        <w:t>2</w:t>
      </w:r>
      <w:r w:rsidR="00CC7CFD" w:rsidRPr="00D566FA">
        <w:rPr>
          <w:sz w:val="18"/>
          <w:szCs w:val="18"/>
          <w:lang w:val="fr-FR"/>
        </w:rPr>
        <w:t xml:space="preserve"> ≤ 3</w:t>
      </w:r>
      <w:r w:rsidR="00D0624B">
        <w:rPr>
          <w:sz w:val="18"/>
          <w:szCs w:val="18"/>
          <w:lang w:val="fr-FR"/>
        </w:rPr>
        <w:t> </w:t>
      </w:r>
      <w:r w:rsidR="00CC7CFD" w:rsidRPr="00D566FA">
        <w:rPr>
          <w:sz w:val="18"/>
          <w:szCs w:val="18"/>
          <w:lang w:val="fr-FR"/>
        </w:rPr>
        <w:t>500</w:t>
      </w:r>
      <w:r w:rsidR="00D0624B">
        <w:rPr>
          <w:sz w:val="18"/>
          <w:szCs w:val="18"/>
          <w:lang w:val="fr-FR"/>
        </w:rPr>
        <w:t> </w:t>
      </w:r>
      <w:r w:rsidR="00CC7CFD" w:rsidRPr="00D566FA">
        <w:rPr>
          <w:sz w:val="18"/>
          <w:szCs w:val="18"/>
          <w:lang w:val="fr-FR"/>
        </w:rPr>
        <w:t>kg. Il convient d</w:t>
      </w:r>
      <w:r>
        <w:rPr>
          <w:sz w:val="18"/>
          <w:szCs w:val="18"/>
          <w:lang w:val="fr-FR"/>
        </w:rPr>
        <w:t>’</w:t>
      </w:r>
      <w:r w:rsidR="00CC7CFD" w:rsidRPr="00D566FA">
        <w:rPr>
          <w:sz w:val="18"/>
          <w:szCs w:val="18"/>
          <w:lang w:val="fr-FR"/>
        </w:rPr>
        <w:t xml:space="preserve">effectuer le calcul de la rubrique </w:t>
      </w:r>
      <w:r w:rsidR="00E02CBC">
        <w:rPr>
          <w:sz w:val="18"/>
          <w:szCs w:val="18"/>
          <w:lang w:val="fr-FR"/>
        </w:rPr>
        <w:t>“</w:t>
      </w:r>
      <w:r w:rsidR="00CC7CFD" w:rsidRPr="00D566FA">
        <w:rPr>
          <w:sz w:val="18"/>
          <w:szCs w:val="18"/>
          <w:lang w:val="fr-FR"/>
        </w:rPr>
        <w:t>Dispositions supplémentaires</w:t>
      </w:r>
      <w:r w:rsidR="00E02CBC">
        <w:rPr>
          <w:sz w:val="18"/>
          <w:szCs w:val="18"/>
          <w:lang w:val="fr-FR"/>
        </w:rPr>
        <w:t>”</w:t>
      </w:r>
      <w:r w:rsidR="00CC7CFD" w:rsidRPr="00D566FA">
        <w:rPr>
          <w:sz w:val="18"/>
          <w:szCs w:val="18"/>
          <w:lang w:val="fr-FR"/>
        </w:rPr>
        <w:t xml:space="preserve"> séparément pour chaque côté du véhicule, conformément au paragraphe 3.1.3 de l</w:t>
      </w:r>
      <w:r>
        <w:rPr>
          <w:sz w:val="18"/>
          <w:szCs w:val="18"/>
          <w:lang w:val="fr-FR"/>
        </w:rPr>
        <w:t>’</w:t>
      </w:r>
      <w:r w:rsidR="00E02CBC">
        <w:rPr>
          <w:sz w:val="18"/>
          <w:szCs w:val="18"/>
          <w:lang w:val="fr-FR"/>
        </w:rPr>
        <w:t>annexe 3</w:t>
      </w:r>
      <w:r w:rsidR="00CC7CFD" w:rsidRPr="00D566FA">
        <w:rPr>
          <w:sz w:val="18"/>
          <w:szCs w:val="18"/>
          <w:lang w:val="fr-FR"/>
        </w:rPr>
        <w:t>. Le résultat final le plus élevé doit être utilisé pour la suite des opérations.</w:t>
      </w:r>
    </w:p>
    <w:p w:rsidR="00CC7CFD" w:rsidRPr="00D073A2" w:rsidRDefault="002534E9" w:rsidP="002534E9">
      <w:pPr>
        <w:pStyle w:val="SingleTxtG"/>
        <w:tabs>
          <w:tab w:val="left" w:pos="1560"/>
        </w:tabs>
        <w:spacing w:after="240"/>
        <w:ind w:firstLine="170"/>
      </w:pPr>
      <w:r>
        <w:rPr>
          <w:lang w:val="fr-FR"/>
        </w:rPr>
        <w:t>***  </w:t>
      </w:r>
      <w:r w:rsidR="00CC7CFD" w:rsidRPr="00D566FA">
        <w:rPr>
          <w:sz w:val="18"/>
          <w:szCs w:val="18"/>
          <w:lang w:val="fr-FR"/>
        </w:rPr>
        <w:t>On réalise la charge partielle en simulant la restriction de la course de l</w:t>
      </w:r>
      <w:r>
        <w:rPr>
          <w:sz w:val="18"/>
          <w:szCs w:val="18"/>
          <w:lang w:val="fr-FR"/>
        </w:rPr>
        <w:t>’</w:t>
      </w:r>
      <w:r w:rsidR="00CC7CFD" w:rsidRPr="00D566FA">
        <w:rPr>
          <w:sz w:val="18"/>
          <w:szCs w:val="18"/>
          <w:lang w:val="fr-FR"/>
        </w:rPr>
        <w:t>accélérateur. Il n</w:t>
      </w:r>
      <w:r>
        <w:rPr>
          <w:sz w:val="18"/>
          <w:szCs w:val="18"/>
          <w:lang w:val="fr-FR"/>
        </w:rPr>
        <w:t>’</w:t>
      </w:r>
      <w:r w:rsidR="00CC7CFD" w:rsidRPr="00D566FA">
        <w:rPr>
          <w:sz w:val="18"/>
          <w:szCs w:val="18"/>
          <w:lang w:val="fr-FR"/>
        </w:rPr>
        <w:t>est pas permis de perturber la gestion du moteur.</w:t>
      </w:r>
      <w:r w:rsidR="00D566FA">
        <w:rPr>
          <w:lang w:val="fr-FR"/>
        </w:rPr>
        <w:t> »</w:t>
      </w:r>
      <w:r>
        <w:rPr>
          <w:lang w:val="fr-FR"/>
        </w:rPr>
        <w:t>.</w:t>
      </w:r>
    </w:p>
    <w:p w:rsidR="00CC7CFD" w:rsidRPr="009A03A7" w:rsidRDefault="00CC7CFD" w:rsidP="002534E9">
      <w:pPr>
        <w:pStyle w:val="SingleTxtG"/>
      </w:pPr>
      <w:r w:rsidRPr="002534E9">
        <w:rPr>
          <w:i/>
          <w:lang w:val="fr-FR"/>
        </w:rPr>
        <w:t>Annexe 7, paragraphe 2.5.1</w:t>
      </w:r>
      <w:r>
        <w:rPr>
          <w:lang w:val="fr-FR"/>
        </w:rPr>
        <w:t xml:space="preserve">, </w:t>
      </w:r>
      <w:proofErr w:type="gramStart"/>
      <w:r>
        <w:rPr>
          <w:lang w:val="fr-FR"/>
        </w:rPr>
        <w:t>modifier</w:t>
      </w:r>
      <w:proofErr w:type="gramEnd"/>
      <w:r>
        <w:rPr>
          <w:lang w:val="fr-FR"/>
        </w:rPr>
        <w:t xml:space="preserve"> comme suit</w:t>
      </w:r>
      <w:r w:rsidR="002534E9">
        <w:rPr>
          <w:lang w:val="fr-FR"/>
        </w:rPr>
        <w:t> </w:t>
      </w:r>
      <w:r>
        <w:rPr>
          <w:lang w:val="fr-FR"/>
        </w:rPr>
        <w:t>:</w:t>
      </w:r>
    </w:p>
    <w:p w:rsidR="00CC7CFD" w:rsidRPr="00594616" w:rsidRDefault="002534E9" w:rsidP="002534E9">
      <w:pPr>
        <w:pStyle w:val="SingleTxtG"/>
        <w:ind w:left="2268" w:hanging="1134"/>
      </w:pPr>
      <w:r>
        <w:rPr>
          <w:lang w:val="fr-FR"/>
        </w:rPr>
        <w:t>« 2.5.1</w:t>
      </w:r>
      <w:r w:rsidR="00CC7CFD">
        <w:rPr>
          <w:lang w:val="fr-FR"/>
        </w:rPr>
        <w:tab/>
        <w:t>…</w:t>
      </w:r>
    </w:p>
    <w:p w:rsidR="00CC7CFD" w:rsidRDefault="00CC7CFD" w:rsidP="00CC7CFD">
      <w:pPr>
        <w:pStyle w:val="SingleTxtG"/>
        <w:ind w:left="2268"/>
      </w:pPr>
      <w:r>
        <w:rPr>
          <w:lang w:val="fr-FR"/>
        </w:rPr>
        <w:t>Dans des conditions de transmission non bloquée, l</w:t>
      </w:r>
      <w:r w:rsidR="002534E9">
        <w:rPr>
          <w:lang w:val="fr-FR"/>
        </w:rPr>
        <w:t>’</w:t>
      </w:r>
      <w:r>
        <w:rPr>
          <w:lang w:val="fr-FR"/>
        </w:rPr>
        <w:t>essai peut comprendre le passage à un rapport inférieur et à une accélération plus forte. Par contre, le passage à un rapport supérieur avec une accélération plus faible n</w:t>
      </w:r>
      <w:r w:rsidR="002534E9">
        <w:rPr>
          <w:lang w:val="fr-FR"/>
        </w:rPr>
        <w:t>’</w:t>
      </w:r>
      <w:r>
        <w:rPr>
          <w:lang w:val="fr-FR"/>
        </w:rPr>
        <w:t>est pas admis.</w:t>
      </w:r>
    </w:p>
    <w:p w:rsidR="00CC7CFD" w:rsidRPr="005B3371" w:rsidRDefault="00CC7CFD" w:rsidP="00CC7CFD">
      <w:pPr>
        <w:pStyle w:val="SingleTxtG"/>
        <w:ind w:left="2268"/>
      </w:pPr>
      <w:r>
        <w:rPr>
          <w:lang w:val="fr-FR"/>
        </w:rPr>
        <w:t>Dans la mesure du possible, le constructeur doit veiller à éviter qu</w:t>
      </w:r>
      <w:r w:rsidR="002534E9">
        <w:rPr>
          <w:lang w:val="fr-FR"/>
        </w:rPr>
        <w:t>’</w:t>
      </w:r>
      <w:r>
        <w:rPr>
          <w:lang w:val="fr-FR"/>
        </w:rPr>
        <w:t>un changement de vitesse aboutisse à des conditions non conformes aux conditions limites. Il est permis pour cela d</w:t>
      </w:r>
      <w:r w:rsidR="002534E9">
        <w:rPr>
          <w:lang w:val="fr-FR"/>
        </w:rPr>
        <w:t>’</w:t>
      </w:r>
      <w:r>
        <w:rPr>
          <w:lang w:val="fr-FR"/>
        </w:rPr>
        <w:t>installer et d</w:t>
      </w:r>
      <w:r w:rsidR="002534E9">
        <w:rPr>
          <w:lang w:val="fr-FR"/>
        </w:rPr>
        <w:t>’</w:t>
      </w:r>
      <w:r>
        <w:rPr>
          <w:lang w:val="fr-FR"/>
        </w:rPr>
        <w:t>utiliser un dispositif électronique ou mécanique, en changeant par exemple la position du sélecteur. Si aucune de ces solutions ne peut être mise en œuvre, la raison doit en être consignée et détaillée dans le rapport technique.</w:t>
      </w:r>
    </w:p>
    <w:p w:rsidR="00CC7CFD" w:rsidRPr="004D7145" w:rsidRDefault="00CC7CFD" w:rsidP="002534E9">
      <w:pPr>
        <w:pStyle w:val="SingleTxtG"/>
        <w:ind w:left="2268"/>
      </w:pPr>
      <w:r w:rsidRPr="002534E9">
        <w:rPr>
          <w:b/>
          <w:lang w:val="fr-FR"/>
        </w:rPr>
        <w:t>Le tableau 1 de l</w:t>
      </w:r>
      <w:r w:rsidR="002534E9" w:rsidRPr="002534E9">
        <w:rPr>
          <w:b/>
          <w:lang w:val="fr-FR"/>
        </w:rPr>
        <w:t>’</w:t>
      </w:r>
      <w:r w:rsidRPr="002534E9">
        <w:rPr>
          <w:b/>
          <w:lang w:val="fr-FR"/>
        </w:rPr>
        <w:t>appendice de l</w:t>
      </w:r>
      <w:r w:rsidR="002534E9" w:rsidRPr="002534E9">
        <w:rPr>
          <w:b/>
          <w:lang w:val="fr-FR"/>
        </w:rPr>
        <w:t>’</w:t>
      </w:r>
      <w:r w:rsidRPr="002534E9">
        <w:rPr>
          <w:b/>
          <w:lang w:val="fr-FR"/>
        </w:rPr>
        <w:t xml:space="preserve">annexe 3 donne des exemples de solutions valables pour le contrôle du </w:t>
      </w:r>
      <w:proofErr w:type="spellStart"/>
      <w:r w:rsidRPr="002534E9">
        <w:rPr>
          <w:b/>
          <w:lang w:val="fr-FR"/>
        </w:rPr>
        <w:t>rétrogradage</w:t>
      </w:r>
      <w:proofErr w:type="spellEnd"/>
      <w:r w:rsidRPr="002534E9">
        <w:rPr>
          <w:b/>
          <w:lang w:val="fr-FR"/>
        </w:rPr>
        <w:t xml:space="preserve">. </w:t>
      </w:r>
      <w:r w:rsidRPr="002534E9">
        <w:rPr>
          <w:b/>
          <w:bCs/>
          <w:lang w:val="fr-FR"/>
        </w:rPr>
        <w:t>La solution choisie par le constructeur doit être consignée dans le procès-verbal d</w:t>
      </w:r>
      <w:r w:rsidR="002534E9" w:rsidRPr="002534E9">
        <w:rPr>
          <w:b/>
          <w:bCs/>
          <w:lang w:val="fr-FR"/>
        </w:rPr>
        <w:t>’</w:t>
      </w:r>
      <w:r w:rsidRPr="002534E9">
        <w:rPr>
          <w:b/>
          <w:bCs/>
          <w:lang w:val="fr-FR"/>
        </w:rPr>
        <w:t>essai.</w:t>
      </w:r>
      <w:r w:rsidR="002534E9">
        <w:rPr>
          <w:lang w:val="fr-FR"/>
        </w:rPr>
        <w:t> ».</w:t>
      </w:r>
    </w:p>
    <w:p w:rsidR="00CC7CFD" w:rsidRPr="009A03A7" w:rsidRDefault="002534E9" w:rsidP="002534E9">
      <w:pPr>
        <w:pStyle w:val="HChG"/>
      </w:pPr>
      <w:r>
        <w:rPr>
          <w:lang w:val="fr-FR"/>
        </w:rPr>
        <w:tab/>
      </w:r>
      <w:r w:rsidR="00CC7CFD">
        <w:rPr>
          <w:lang w:val="fr-FR"/>
        </w:rPr>
        <w:t>II.</w:t>
      </w:r>
      <w:r w:rsidR="00CC7CFD">
        <w:rPr>
          <w:lang w:val="fr-FR"/>
        </w:rPr>
        <w:tab/>
        <w:t>Justification</w:t>
      </w:r>
    </w:p>
    <w:p w:rsidR="00CC7CFD" w:rsidRPr="00443821" w:rsidRDefault="002534E9" w:rsidP="002534E9">
      <w:pPr>
        <w:pStyle w:val="SingleTxtG"/>
      </w:pPr>
      <w:r>
        <w:rPr>
          <w:lang w:val="fr-FR"/>
        </w:rPr>
        <w:t>1.</w:t>
      </w:r>
      <w:r>
        <w:rPr>
          <w:lang w:val="fr-FR"/>
        </w:rPr>
        <w:tab/>
      </w:r>
      <w:r w:rsidR="00CC7CFD">
        <w:rPr>
          <w:lang w:val="fr-FR"/>
        </w:rPr>
        <w:t>Il est précisé, à plusieurs endroits du Règlement, que le constructeur peut utiliser des dispositifs mécaniques ou électroniques pour contrôler le changement de rapport, ou prendre des mesures propres à éviter les accélérations supérieures 2,0 m/s</w:t>
      </w:r>
      <w:r w:rsidR="00D0624B">
        <w:rPr>
          <w:lang w:val="fr-FR"/>
        </w:rPr>
        <w:t>².</w:t>
      </w:r>
    </w:p>
    <w:p w:rsidR="00CC7CFD" w:rsidRPr="00443821" w:rsidRDefault="002534E9" w:rsidP="002534E9">
      <w:pPr>
        <w:pStyle w:val="SingleTxtG"/>
      </w:pPr>
      <w:r>
        <w:rPr>
          <w:lang w:val="fr-FR"/>
        </w:rPr>
        <w:t>2.</w:t>
      </w:r>
      <w:r>
        <w:rPr>
          <w:lang w:val="fr-FR"/>
        </w:rPr>
        <w:tab/>
      </w:r>
      <w:r w:rsidR="00CC7CFD">
        <w:rPr>
          <w:lang w:val="fr-FR"/>
        </w:rPr>
        <w:t>Toutefois, la nature de ces mesures n</w:t>
      </w:r>
      <w:r>
        <w:rPr>
          <w:lang w:val="fr-FR"/>
        </w:rPr>
        <w:t>’</w:t>
      </w:r>
      <w:r w:rsidR="00CC7CFD">
        <w:rPr>
          <w:lang w:val="fr-FR"/>
        </w:rPr>
        <w:t>est pas précisée et le constructeur ou le service technique n</w:t>
      </w:r>
      <w:r>
        <w:rPr>
          <w:lang w:val="fr-FR"/>
        </w:rPr>
        <w:t>’</w:t>
      </w:r>
      <w:r w:rsidR="00CC7CFD">
        <w:rPr>
          <w:lang w:val="fr-FR"/>
        </w:rPr>
        <w:t>est pas obligé de fournir une documentation dans le rapport d</w:t>
      </w:r>
      <w:r>
        <w:rPr>
          <w:lang w:val="fr-FR"/>
        </w:rPr>
        <w:t>’</w:t>
      </w:r>
      <w:r w:rsidR="00CC7CFD">
        <w:rPr>
          <w:lang w:val="fr-FR"/>
        </w:rPr>
        <w:t>essai.</w:t>
      </w:r>
    </w:p>
    <w:p w:rsidR="00CC7CFD" w:rsidRPr="00443821" w:rsidRDefault="002534E9" w:rsidP="002534E9">
      <w:pPr>
        <w:pStyle w:val="SingleTxtG"/>
      </w:pPr>
      <w:r>
        <w:rPr>
          <w:lang w:val="fr-FR"/>
        </w:rPr>
        <w:t>3.</w:t>
      </w:r>
      <w:r>
        <w:rPr>
          <w:lang w:val="fr-FR"/>
        </w:rPr>
        <w:tab/>
      </w:r>
      <w:r w:rsidR="00CC7CFD">
        <w:rPr>
          <w:lang w:val="fr-FR"/>
        </w:rPr>
        <w:t>Il est ici proposé d</w:t>
      </w:r>
      <w:r>
        <w:rPr>
          <w:lang w:val="fr-FR"/>
        </w:rPr>
        <w:t>’</w:t>
      </w:r>
      <w:r w:rsidR="00CC7CFD">
        <w:rPr>
          <w:lang w:val="fr-FR"/>
        </w:rPr>
        <w:t>ajouter un tableau donnant des exemples de dispositifs et de solutions afin d</w:t>
      </w:r>
      <w:r>
        <w:rPr>
          <w:lang w:val="fr-FR"/>
        </w:rPr>
        <w:t>’</w:t>
      </w:r>
      <w:r w:rsidR="00CC7CFD">
        <w:rPr>
          <w:lang w:val="fr-FR"/>
        </w:rPr>
        <w:t>aider le constructeur et de fournir au service technique des indications sur la marche à suivre. En outre, pour ces dispositifs et solutions, la documentation est désormais obligatoire.</w:t>
      </w:r>
    </w:p>
    <w:p w:rsidR="00CC7CFD" w:rsidRDefault="002534E9" w:rsidP="00CC7CFD">
      <w:pPr>
        <w:pStyle w:val="SingleTxtG"/>
        <w:rPr>
          <w:lang w:val="fr-FR"/>
        </w:rPr>
      </w:pPr>
      <w:r>
        <w:rPr>
          <w:lang w:val="fr-FR"/>
        </w:rPr>
        <w:t>4.</w:t>
      </w:r>
      <w:r>
        <w:rPr>
          <w:lang w:val="fr-FR"/>
        </w:rPr>
        <w:tab/>
      </w:r>
      <w:r w:rsidR="00CC7CFD">
        <w:rPr>
          <w:lang w:val="fr-FR"/>
        </w:rPr>
        <w:t>Cela rendrait le processus d</w:t>
      </w:r>
      <w:r>
        <w:rPr>
          <w:lang w:val="fr-FR"/>
        </w:rPr>
        <w:t>’</w:t>
      </w:r>
      <w:r w:rsidR="00CC7CFD">
        <w:rPr>
          <w:lang w:val="fr-FR"/>
        </w:rPr>
        <w:t xml:space="preserve">homologation de type </w:t>
      </w:r>
      <w:r w:rsidR="00CC7CFD" w:rsidRPr="008019BE">
        <w:rPr>
          <w:lang w:val="fr-FR"/>
        </w:rPr>
        <w:t>plus transparen</w:t>
      </w:r>
      <w:r w:rsidR="00CC7CFD">
        <w:rPr>
          <w:lang w:val="fr-FR"/>
        </w:rPr>
        <w:t>t.</w:t>
      </w:r>
    </w:p>
    <w:p w:rsidR="002534E9" w:rsidRPr="002534E9" w:rsidRDefault="002534E9" w:rsidP="002534E9">
      <w:pPr>
        <w:pStyle w:val="SingleTxtG"/>
        <w:spacing w:before="240" w:after="0"/>
        <w:jc w:val="center"/>
        <w:rPr>
          <w:u w:val="single"/>
        </w:rPr>
      </w:pPr>
      <w:r>
        <w:rPr>
          <w:u w:val="single"/>
        </w:rPr>
        <w:tab/>
      </w:r>
      <w:r>
        <w:rPr>
          <w:u w:val="single"/>
        </w:rPr>
        <w:tab/>
      </w:r>
      <w:r>
        <w:rPr>
          <w:u w:val="single"/>
        </w:rPr>
        <w:tab/>
      </w:r>
    </w:p>
    <w:sectPr w:rsidR="002534E9" w:rsidRPr="002534E9" w:rsidSect="00CC7CF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5D" w:rsidRDefault="00EE575D" w:rsidP="00F95C08">
      <w:pPr>
        <w:spacing w:line="240" w:lineRule="auto"/>
      </w:pPr>
    </w:p>
  </w:endnote>
  <w:endnote w:type="continuationSeparator" w:id="0">
    <w:p w:rsidR="00EE575D" w:rsidRPr="00AC3823" w:rsidRDefault="00EE575D" w:rsidP="00AC3823">
      <w:pPr>
        <w:pStyle w:val="Footer"/>
      </w:pPr>
    </w:p>
  </w:endnote>
  <w:endnote w:type="continuationNotice" w:id="1">
    <w:p w:rsidR="00EE575D" w:rsidRDefault="00EE57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FD" w:rsidRPr="00CC7CFD" w:rsidRDefault="00CC7CFD" w:rsidP="00CC7CFD">
    <w:pPr>
      <w:pStyle w:val="Footer"/>
      <w:tabs>
        <w:tab w:val="right" w:pos="9638"/>
      </w:tabs>
    </w:pPr>
    <w:r w:rsidRPr="00CC7CFD">
      <w:rPr>
        <w:b/>
        <w:sz w:val="18"/>
      </w:rPr>
      <w:fldChar w:fldCharType="begin"/>
    </w:r>
    <w:r w:rsidRPr="00CC7CFD">
      <w:rPr>
        <w:b/>
        <w:sz w:val="18"/>
      </w:rPr>
      <w:instrText xml:space="preserve"> PAGE  \* MERGEFORMAT </w:instrText>
    </w:r>
    <w:r w:rsidRPr="00CC7CFD">
      <w:rPr>
        <w:b/>
        <w:sz w:val="18"/>
      </w:rPr>
      <w:fldChar w:fldCharType="separate"/>
    </w:r>
    <w:r w:rsidR="00471943">
      <w:rPr>
        <w:b/>
        <w:noProof/>
        <w:sz w:val="18"/>
      </w:rPr>
      <w:t>4</w:t>
    </w:r>
    <w:r w:rsidRPr="00CC7CFD">
      <w:rPr>
        <w:b/>
        <w:sz w:val="18"/>
      </w:rPr>
      <w:fldChar w:fldCharType="end"/>
    </w:r>
    <w:r>
      <w:rPr>
        <w:b/>
        <w:sz w:val="18"/>
      </w:rPr>
      <w:tab/>
    </w:r>
    <w:r>
      <w:t>GE.17-19777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FD" w:rsidRPr="00CC7CFD" w:rsidRDefault="00CC7CFD" w:rsidP="00CC7CFD">
    <w:pPr>
      <w:pStyle w:val="Footer"/>
      <w:tabs>
        <w:tab w:val="right" w:pos="9638"/>
      </w:tabs>
      <w:rPr>
        <w:b/>
        <w:sz w:val="18"/>
      </w:rPr>
    </w:pPr>
    <w:r>
      <w:t>GE.17-19777</w:t>
    </w:r>
    <w:r>
      <w:tab/>
    </w:r>
    <w:r w:rsidRPr="00CC7CFD">
      <w:rPr>
        <w:b/>
        <w:sz w:val="18"/>
      </w:rPr>
      <w:fldChar w:fldCharType="begin"/>
    </w:r>
    <w:r w:rsidRPr="00CC7CFD">
      <w:rPr>
        <w:b/>
        <w:sz w:val="18"/>
      </w:rPr>
      <w:instrText xml:space="preserve"> PAGE  \* MERGEFORMAT </w:instrText>
    </w:r>
    <w:r w:rsidRPr="00CC7CFD">
      <w:rPr>
        <w:b/>
        <w:sz w:val="18"/>
      </w:rPr>
      <w:fldChar w:fldCharType="separate"/>
    </w:r>
    <w:r w:rsidR="00471943">
      <w:rPr>
        <w:b/>
        <w:noProof/>
        <w:sz w:val="18"/>
      </w:rPr>
      <w:t>3</w:t>
    </w:r>
    <w:r w:rsidRPr="00CC7C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C7CFD" w:rsidRDefault="00CC7CFD" w:rsidP="00CC7CFD">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17-19777  (F)</w:t>
    </w:r>
    <w:r w:rsidR="00E02CBC">
      <w:rPr>
        <w:sz w:val="20"/>
      </w:rPr>
      <w:t xml:space="preserve">    101117    131117</w:t>
    </w:r>
    <w:r>
      <w:rPr>
        <w:sz w:val="20"/>
      </w:rPr>
      <w:br/>
    </w:r>
    <w:r w:rsidRPr="00CC7CFD">
      <w:rPr>
        <w:rFonts w:ascii="C39T30Lfz" w:hAnsi="C39T30Lfz"/>
        <w:sz w:val="56"/>
      </w:rPr>
      <w:t></w:t>
    </w:r>
    <w:r w:rsidRPr="00CC7CFD">
      <w:rPr>
        <w:rFonts w:ascii="C39T30Lfz" w:hAnsi="C39T30Lfz"/>
        <w:sz w:val="56"/>
      </w:rPr>
      <w:t></w:t>
    </w:r>
    <w:r w:rsidRPr="00CC7CFD">
      <w:rPr>
        <w:rFonts w:ascii="C39T30Lfz" w:hAnsi="C39T30Lfz"/>
        <w:sz w:val="56"/>
      </w:rPr>
      <w:t></w:t>
    </w:r>
    <w:r w:rsidRPr="00CC7CFD">
      <w:rPr>
        <w:rFonts w:ascii="C39T30Lfz" w:hAnsi="C39T30Lfz"/>
        <w:sz w:val="56"/>
      </w:rPr>
      <w:t></w:t>
    </w:r>
    <w:r w:rsidRPr="00CC7CFD">
      <w:rPr>
        <w:rFonts w:ascii="C39T30Lfz" w:hAnsi="C39T30Lfz"/>
        <w:sz w:val="56"/>
      </w:rPr>
      <w:t></w:t>
    </w:r>
    <w:r w:rsidRPr="00CC7CFD">
      <w:rPr>
        <w:rFonts w:ascii="C39T30Lfz" w:hAnsi="C39T30Lfz"/>
        <w:sz w:val="56"/>
      </w:rPr>
      <w:t></w:t>
    </w:r>
    <w:r w:rsidRPr="00CC7CFD">
      <w:rPr>
        <w:rFonts w:ascii="C39T30Lfz" w:hAnsi="C39T30Lfz"/>
        <w:sz w:val="56"/>
      </w:rPr>
      <w:t></w:t>
    </w:r>
    <w:r w:rsidRPr="00CC7CFD">
      <w:rPr>
        <w:rFonts w:ascii="C39T30Lfz" w:hAnsi="C39T30Lfz"/>
        <w:sz w:val="56"/>
      </w:rPr>
      <w:t></w:t>
    </w:r>
    <w:r w:rsidRPr="00CC7CFD">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5D" w:rsidRPr="00AC3823" w:rsidRDefault="00EE575D" w:rsidP="00AC3823">
      <w:pPr>
        <w:pStyle w:val="Footer"/>
        <w:tabs>
          <w:tab w:val="right" w:pos="2155"/>
        </w:tabs>
        <w:spacing w:after="80" w:line="240" w:lineRule="atLeast"/>
        <w:ind w:left="680"/>
        <w:rPr>
          <w:u w:val="single"/>
        </w:rPr>
      </w:pPr>
      <w:r>
        <w:rPr>
          <w:u w:val="single"/>
        </w:rPr>
        <w:tab/>
      </w:r>
    </w:p>
  </w:footnote>
  <w:footnote w:type="continuationSeparator" w:id="0">
    <w:p w:rsidR="00EE575D" w:rsidRPr="00AC3823" w:rsidRDefault="00EE575D" w:rsidP="00AC3823">
      <w:pPr>
        <w:pStyle w:val="Footer"/>
        <w:tabs>
          <w:tab w:val="right" w:pos="2155"/>
        </w:tabs>
        <w:spacing w:after="80" w:line="240" w:lineRule="atLeast"/>
        <w:ind w:left="680"/>
        <w:rPr>
          <w:u w:val="single"/>
        </w:rPr>
      </w:pPr>
      <w:r>
        <w:rPr>
          <w:u w:val="single"/>
        </w:rPr>
        <w:tab/>
      </w:r>
    </w:p>
  </w:footnote>
  <w:footnote w:type="continuationNotice" w:id="1">
    <w:p w:rsidR="00EE575D" w:rsidRPr="00AC3823" w:rsidRDefault="00EE575D">
      <w:pPr>
        <w:spacing w:line="240" w:lineRule="auto"/>
        <w:rPr>
          <w:sz w:val="2"/>
          <w:szCs w:val="2"/>
        </w:rPr>
      </w:pPr>
    </w:p>
  </w:footnote>
  <w:footnote w:id="2">
    <w:p w:rsidR="00CC7CFD" w:rsidRPr="00CC7CFD" w:rsidRDefault="00CC7CFD">
      <w:pPr>
        <w:pStyle w:val="FootnoteText"/>
      </w:pPr>
      <w:r>
        <w:rPr>
          <w:rStyle w:val="FootnoteReference"/>
        </w:rPr>
        <w:tab/>
      </w:r>
      <w:r w:rsidRPr="00CC7CFD">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sidR="00E02CBC">
        <w:rPr>
          <w:lang w:val="fr-FR"/>
        </w:rPr>
        <w:t>-</w:t>
      </w:r>
      <w:r>
        <w:rPr>
          <w:lang w:val="fr-FR"/>
        </w:rPr>
        <w:t>2017 (ECE/TRANS/254, par.</w:t>
      </w:r>
      <w:r w:rsidR="00E02CBC">
        <w:rPr>
          <w:lang w:val="fr-FR"/>
        </w:rPr>
        <w:t> </w:t>
      </w:r>
      <w:r>
        <w:rPr>
          <w:lang w:val="fr-FR"/>
        </w:rPr>
        <w:t>159, et ECE/TRANS/2016/28/Add.1, module 3.2), le Forum mondial a</w:t>
      </w:r>
      <w:r w:rsidR="00E02CBC">
        <w:rPr>
          <w:lang w:val="fr-FR"/>
        </w:rPr>
        <w:t> </w:t>
      </w:r>
      <w:r>
        <w:rPr>
          <w:lang w:val="fr-FR"/>
        </w:rPr>
        <w:t>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FD" w:rsidRPr="00CC7CFD" w:rsidRDefault="00471943">
    <w:pPr>
      <w:pStyle w:val="Header"/>
    </w:pPr>
    <w:r>
      <w:fldChar w:fldCharType="begin"/>
    </w:r>
    <w:r>
      <w:instrText xml:space="preserve"> TITLE  \* MERGEFORMAT </w:instrText>
    </w:r>
    <w:r>
      <w:fldChar w:fldCharType="separate"/>
    </w:r>
    <w:r>
      <w:t>ECE/TRANS/WP.29/GRB/2018/2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FD" w:rsidRPr="00CC7CFD" w:rsidRDefault="00471943" w:rsidP="00CC7CFD">
    <w:pPr>
      <w:pStyle w:val="Header"/>
      <w:jc w:val="right"/>
    </w:pPr>
    <w:r>
      <w:fldChar w:fldCharType="begin"/>
    </w:r>
    <w:r>
      <w:instrText xml:space="preserve"> TITLE  \* MERGEFORMAT </w:instrText>
    </w:r>
    <w:r>
      <w:fldChar w:fldCharType="separate"/>
    </w:r>
    <w:r>
      <w:t>ECE/TRANS/WP.29/GRB/2018/2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040C000F">
        <w:start w:val="1"/>
        <w:numFmt w:val="decimal"/>
        <w:lvlText w:val="%1."/>
        <w:lvlJc w:val="left"/>
        <w:pPr>
          <w:ind w:left="927"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5D"/>
    <w:rsid w:val="00004607"/>
    <w:rsid w:val="00017F94"/>
    <w:rsid w:val="00023842"/>
    <w:rsid w:val="000334F9"/>
    <w:rsid w:val="00045FEB"/>
    <w:rsid w:val="0007796D"/>
    <w:rsid w:val="000B7790"/>
    <w:rsid w:val="00111F2F"/>
    <w:rsid w:val="0014365E"/>
    <w:rsid w:val="00143C66"/>
    <w:rsid w:val="00167582"/>
    <w:rsid w:val="00176178"/>
    <w:rsid w:val="001F525A"/>
    <w:rsid w:val="00223272"/>
    <w:rsid w:val="0024779E"/>
    <w:rsid w:val="002534E9"/>
    <w:rsid w:val="00257168"/>
    <w:rsid w:val="002744B8"/>
    <w:rsid w:val="002832AC"/>
    <w:rsid w:val="002D7C93"/>
    <w:rsid w:val="00305801"/>
    <w:rsid w:val="00317802"/>
    <w:rsid w:val="003916DE"/>
    <w:rsid w:val="003A2184"/>
    <w:rsid w:val="0040419B"/>
    <w:rsid w:val="00441C3B"/>
    <w:rsid w:val="00446FE5"/>
    <w:rsid w:val="00452396"/>
    <w:rsid w:val="00471418"/>
    <w:rsid w:val="00471943"/>
    <w:rsid w:val="004837D8"/>
    <w:rsid w:val="004E468C"/>
    <w:rsid w:val="005079AA"/>
    <w:rsid w:val="005505B7"/>
    <w:rsid w:val="00573BE5"/>
    <w:rsid w:val="00586ED3"/>
    <w:rsid w:val="00596AA9"/>
    <w:rsid w:val="00606B0B"/>
    <w:rsid w:val="0071601D"/>
    <w:rsid w:val="007A481D"/>
    <w:rsid w:val="007A62E6"/>
    <w:rsid w:val="007F20FA"/>
    <w:rsid w:val="0080684C"/>
    <w:rsid w:val="00871C75"/>
    <w:rsid w:val="00873C03"/>
    <w:rsid w:val="008776DC"/>
    <w:rsid w:val="00887C11"/>
    <w:rsid w:val="009446C0"/>
    <w:rsid w:val="009535CE"/>
    <w:rsid w:val="009705C8"/>
    <w:rsid w:val="009C1CF4"/>
    <w:rsid w:val="009F6B74"/>
    <w:rsid w:val="00A30353"/>
    <w:rsid w:val="00AC3823"/>
    <w:rsid w:val="00AE323C"/>
    <w:rsid w:val="00AF0CB5"/>
    <w:rsid w:val="00B00181"/>
    <w:rsid w:val="00B00B0D"/>
    <w:rsid w:val="00B765F7"/>
    <w:rsid w:val="00B85954"/>
    <w:rsid w:val="00BA0CA9"/>
    <w:rsid w:val="00C02897"/>
    <w:rsid w:val="00C97039"/>
    <w:rsid w:val="00CC7CFD"/>
    <w:rsid w:val="00D0624B"/>
    <w:rsid w:val="00D31F4E"/>
    <w:rsid w:val="00D3439C"/>
    <w:rsid w:val="00D566FA"/>
    <w:rsid w:val="00DB1831"/>
    <w:rsid w:val="00DD3BFD"/>
    <w:rsid w:val="00DF6678"/>
    <w:rsid w:val="00E0299A"/>
    <w:rsid w:val="00E02CBC"/>
    <w:rsid w:val="00E1267B"/>
    <w:rsid w:val="00E85C74"/>
    <w:rsid w:val="00EA6547"/>
    <w:rsid w:val="00EE575D"/>
    <w:rsid w:val="00EF2E22"/>
    <w:rsid w:val="00F35BAF"/>
    <w:rsid w:val="00F660DF"/>
    <w:rsid w:val="00F85DE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CC7CFD"/>
    <w:rPr>
      <w:rFonts w:ascii="Times New Roman" w:eastAsiaTheme="minorHAnsi" w:hAnsi="Times New Roman" w:cs="Times New Roman"/>
      <w:b/>
      <w:sz w:val="28"/>
      <w:szCs w:val="20"/>
      <w:lang w:eastAsia="en-US"/>
    </w:rPr>
  </w:style>
  <w:style w:type="character" w:customStyle="1" w:styleId="H1GChar">
    <w:name w:val="_ H_1_G Char"/>
    <w:link w:val="H1G"/>
    <w:rsid w:val="00CC7CFD"/>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CC7CFD"/>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CC7CFD"/>
    <w:pPr>
      <w:suppressAutoHyphens w:val="0"/>
      <w:kinsoku/>
      <w:overflowPunct/>
      <w:autoSpaceDE/>
      <w:autoSpaceDN/>
      <w:adjustRightInd/>
      <w:snapToGrid/>
      <w:spacing w:line="240" w:lineRule="auto"/>
      <w:ind w:left="720"/>
      <w:contextualSpacing/>
    </w:pPr>
    <w:rPr>
      <w:rFonts w:eastAsiaTheme="minorEastAsi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CC7CFD"/>
    <w:rPr>
      <w:rFonts w:ascii="Times New Roman" w:eastAsiaTheme="minorHAnsi" w:hAnsi="Times New Roman" w:cs="Times New Roman"/>
      <w:b/>
      <w:sz w:val="28"/>
      <w:szCs w:val="20"/>
      <w:lang w:eastAsia="en-US"/>
    </w:rPr>
  </w:style>
  <w:style w:type="character" w:customStyle="1" w:styleId="H1GChar">
    <w:name w:val="_ H_1_G Char"/>
    <w:link w:val="H1G"/>
    <w:rsid w:val="00CC7CFD"/>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CC7CFD"/>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CC7CFD"/>
    <w:pPr>
      <w:suppressAutoHyphens w:val="0"/>
      <w:kinsoku/>
      <w:overflowPunct/>
      <w:autoSpaceDE/>
      <w:autoSpaceDN/>
      <w:adjustRightInd/>
      <w:snapToGrid/>
      <w:spacing w:line="240" w:lineRule="auto"/>
      <w:ind w:left="720"/>
      <w:contextualSpacing/>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12D8-85EB-479E-8FAC-D507CA1A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ECE/TRANS/WP.29/GRB/2018/2</vt:lpstr>
      <vt:lpstr>ECE/TRANS/WP.29/GRB/2018/2</vt:lpstr>
    </vt:vector>
  </TitlesOfParts>
  <Company>DCM</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ECE/TRANS/WP.29/GRB/2018/2</dc:title>
  <dc:creator>Fabienne CRELIER</dc:creator>
  <cp:lastModifiedBy>Benedicte Boudol</cp:lastModifiedBy>
  <cp:revision>4</cp:revision>
  <cp:lastPrinted>2017-12-15T13:03:00Z</cp:lastPrinted>
  <dcterms:created xsi:type="dcterms:W3CDTF">2017-12-05T10:28:00Z</dcterms:created>
  <dcterms:modified xsi:type="dcterms:W3CDTF">2017-12-15T13:03:00Z</dcterms:modified>
</cp:coreProperties>
</file>