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4124C8">
            <w:pPr>
              <w:jc w:val="right"/>
            </w:pPr>
            <w:r w:rsidRPr="00C64574">
              <w:rPr>
                <w:sz w:val="40"/>
              </w:rPr>
              <w:t>ECE</w:t>
            </w:r>
            <w:r w:rsidRPr="00C64574">
              <w:t>/TRANS/WP.29/GR</w:t>
            </w:r>
            <w:r w:rsidR="004C1E84">
              <w:t>B</w:t>
            </w:r>
            <w:r w:rsidRPr="00C64574">
              <w:t>/201</w:t>
            </w:r>
            <w:r w:rsidR="007F19F0">
              <w:t>8</w:t>
            </w:r>
            <w:r w:rsidRPr="00C64574">
              <w:t>/</w:t>
            </w:r>
            <w:r w:rsidR="004124C8">
              <w:t>2</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537E32" w:rsidP="00D5792F">
            <w:pPr>
              <w:spacing w:line="240" w:lineRule="exact"/>
            </w:pPr>
            <w:r>
              <w:t>8</w:t>
            </w:r>
            <w:r w:rsidR="007F19F0">
              <w:t xml:space="preserve"> </w:t>
            </w:r>
            <w:r w:rsidR="00F4611C">
              <w:t xml:space="preserve">November </w:t>
            </w:r>
            <w:r w:rsidR="007A3BAE">
              <w:t>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7F19F0" w:rsidRPr="00744CCE">
        <w:rPr>
          <w:rFonts w:eastAsia="Times New Roman"/>
          <w:b/>
        </w:rPr>
        <w:t>seven</w:t>
      </w:r>
      <w:r w:rsidR="0054033E" w:rsidRPr="00744CCE">
        <w:rPr>
          <w:rFonts w:eastAsia="Times New Roman"/>
          <w:b/>
        </w:rPr>
        <w:t>th session</w:t>
      </w:r>
      <w:bookmarkStart w:id="0" w:name="_GoBack"/>
      <w:bookmarkEnd w:id="0"/>
    </w:p>
    <w:p w:rsidR="0054033E" w:rsidRPr="00D315CD" w:rsidRDefault="0054033E" w:rsidP="0054033E">
      <w:pPr>
        <w:rPr>
          <w:bCs/>
        </w:rPr>
      </w:pPr>
      <w:r w:rsidRPr="00D315CD">
        <w:t>Geneva</w:t>
      </w:r>
      <w:r w:rsidRPr="00D315CD">
        <w:rPr>
          <w:bCs/>
        </w:rPr>
        <w:t>, 24–2</w:t>
      </w:r>
      <w:r w:rsidR="007F19F0">
        <w:rPr>
          <w:bCs/>
        </w:rPr>
        <w:t>6</w:t>
      </w:r>
      <w:r w:rsidRPr="00D315CD">
        <w:rPr>
          <w:bCs/>
        </w:rPr>
        <w:t xml:space="preserve"> </w:t>
      </w:r>
      <w:r w:rsidR="007F19F0">
        <w:rPr>
          <w:bCs/>
        </w:rPr>
        <w:t>January</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7F19F0">
        <w:rPr>
          <w:bCs/>
        </w:rPr>
        <w:t>4</w:t>
      </w:r>
      <w:r w:rsidRPr="00D912FF">
        <w:rPr>
          <w:bCs/>
        </w:rPr>
        <w:t xml:space="preserve"> </w:t>
      </w:r>
      <w:r>
        <w:rPr>
          <w:bCs/>
        </w:rPr>
        <w:t xml:space="preserve">(a) </w:t>
      </w:r>
      <w:r w:rsidRPr="00D912FF">
        <w:rPr>
          <w:bCs/>
        </w:rPr>
        <w:t>of the provisional agenda</w:t>
      </w:r>
    </w:p>
    <w:p w:rsidR="007F19F0" w:rsidRDefault="007F19F0" w:rsidP="007F19F0">
      <w:pPr>
        <w:rPr>
          <w:b/>
          <w:lang w:val="en-US"/>
        </w:rPr>
      </w:pPr>
      <w:r w:rsidRPr="009A03A7">
        <w:rPr>
          <w:b/>
          <w:lang w:val="en-US"/>
        </w:rPr>
        <w:t xml:space="preserve">Regulation No. 51 (Noise of M and N categories of vehicles): </w:t>
      </w:r>
    </w:p>
    <w:p w:rsidR="007F19F0" w:rsidRPr="009A03A7" w:rsidRDefault="007F19F0" w:rsidP="007F19F0">
      <w:pPr>
        <w:rPr>
          <w:lang w:val="en-US"/>
        </w:rPr>
      </w:pPr>
      <w:r>
        <w:rPr>
          <w:b/>
          <w:lang w:val="en-US"/>
        </w:rPr>
        <w:t>Development</w:t>
      </w:r>
    </w:p>
    <w:p w:rsidR="0054033E" w:rsidRPr="004D1FAA" w:rsidRDefault="0054033E" w:rsidP="0054033E">
      <w:pPr>
        <w:rPr>
          <w:b/>
        </w:rPr>
      </w:pPr>
    </w:p>
    <w:p w:rsidR="007F19F0" w:rsidRPr="004124C8" w:rsidRDefault="004124C8" w:rsidP="004124C8">
      <w:pPr>
        <w:pStyle w:val="HChG"/>
        <w:rPr>
          <w:rFonts w:eastAsia="Times New Roman"/>
        </w:rPr>
      </w:pPr>
      <w:r>
        <w:rPr>
          <w:rFonts w:eastAsia="Times New Roman"/>
        </w:rPr>
        <w:tab/>
      </w:r>
      <w:r>
        <w:rPr>
          <w:rFonts w:eastAsia="Times New Roman"/>
        </w:rPr>
        <w:tab/>
      </w:r>
      <w:r w:rsidR="007F19F0" w:rsidRPr="004124C8">
        <w:rPr>
          <w:rFonts w:eastAsia="Times New Roman"/>
        </w:rPr>
        <w:t>Proposal for Supplement 4 to the 03 series of amendments to Regulation No. 51 (Noise of M and N categories of vehicles)</w:t>
      </w:r>
    </w:p>
    <w:p w:rsidR="0054033E" w:rsidRPr="00D315CD" w:rsidRDefault="0054033E" w:rsidP="0054033E">
      <w:pPr>
        <w:pStyle w:val="H1G"/>
        <w:ind w:right="1467" w:firstLine="0"/>
        <w:jc w:val="both"/>
      </w:pPr>
      <w:r w:rsidRPr="00D315CD">
        <w:t xml:space="preserve">Submitted by the expert from </w:t>
      </w:r>
      <w:r w:rsidR="00F4611C">
        <w:t>t</w:t>
      </w:r>
      <w:r w:rsidR="00F4611C" w:rsidRPr="00F4611C">
        <w:t>he International Organization of Motor Vehicle Manufacturers</w:t>
      </w:r>
      <w:r w:rsidR="00F4611C" w:rsidRPr="007D699C">
        <w:rPr>
          <w:rFonts w:ascii="Times New Roman Bold" w:hAnsi="Times New Roman Bold"/>
          <w:sz w:val="20"/>
        </w:rPr>
        <w:footnoteReference w:customMarkFollows="1" w:id="2"/>
        <w:t>*</w:t>
      </w:r>
    </w:p>
    <w:p w:rsidR="0054033E" w:rsidRDefault="007F19F0" w:rsidP="00843286">
      <w:pPr>
        <w:pStyle w:val="SingleTxtG"/>
        <w:rPr>
          <w:b/>
        </w:rPr>
      </w:pPr>
      <w:r w:rsidRPr="009A03A7">
        <w:rPr>
          <w:lang w:val="en-US"/>
        </w:rPr>
        <w:t xml:space="preserve">The text reproduced below was prepared by the experts </w:t>
      </w:r>
      <w:r w:rsidR="00F4611C" w:rsidRPr="00F4611C">
        <w:rPr>
          <w:lang w:val="en-US"/>
        </w:rPr>
        <w:t xml:space="preserve">from the International Organization of Motor Vehicle Manufacturers (OICA) </w:t>
      </w:r>
      <w:r w:rsidRPr="009A03A7">
        <w:rPr>
          <w:lang w:val="en-US"/>
        </w:rPr>
        <w:t xml:space="preserve">to update and revise the 03 series of amendments to Regulation No. 51. The proposed amendments </w:t>
      </w:r>
      <w:r>
        <w:rPr>
          <w:lang w:val="en-US"/>
        </w:rPr>
        <w:t xml:space="preserve">are </w:t>
      </w:r>
      <w:r w:rsidRPr="00ED0036">
        <w:rPr>
          <w:lang w:val="en-US"/>
        </w:rPr>
        <w:t xml:space="preserve">based on </w:t>
      </w:r>
      <w:r w:rsidR="00843286">
        <w:rPr>
          <w:lang w:val="en-US"/>
        </w:rPr>
        <w:t xml:space="preserve">draft </w:t>
      </w:r>
      <w:r w:rsidRPr="00ED0036">
        <w:rPr>
          <w:lang w:val="en-US"/>
        </w:rPr>
        <w:t xml:space="preserve">Supplement 3 to the 03 series of amendments to Regulation No. 51 </w:t>
      </w:r>
      <w:r w:rsidR="00843286">
        <w:rPr>
          <w:lang w:val="en-US"/>
        </w:rPr>
        <w:t xml:space="preserve">which was adopted by the Working Party on Noise at its </w:t>
      </w:r>
      <w:r w:rsidR="00843286" w:rsidRPr="00ED0036">
        <w:rPr>
          <w:lang w:val="en-US"/>
        </w:rPr>
        <w:t>sixty-sixth session</w:t>
      </w:r>
      <w:r w:rsidR="00843286">
        <w:rPr>
          <w:lang w:val="en-US"/>
        </w:rPr>
        <w:t xml:space="preserve"> (Annex II to </w:t>
      </w:r>
      <w:r w:rsidRPr="00ED0036">
        <w:rPr>
          <w:lang w:val="en-US"/>
        </w:rPr>
        <w:t>ECE/TRANS/WP.29/GRB/64</w:t>
      </w:r>
      <w:r w:rsidR="00843286">
        <w:rPr>
          <w:lang w:val="en-US"/>
        </w:rPr>
        <w:t>)</w:t>
      </w:r>
      <w:r>
        <w:rPr>
          <w:lang w:val="en-US"/>
        </w:rPr>
        <w:t xml:space="preserve">. </w:t>
      </w:r>
      <w:r w:rsidR="0054033E" w:rsidRPr="00D315CD">
        <w:t>The modifications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0930EC" w:rsidRDefault="000930EC" w:rsidP="00E466D9">
      <w:pPr>
        <w:ind w:left="1134" w:right="1134" w:firstLine="567"/>
        <w:jc w:val="both"/>
      </w:pP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7F19F0" w:rsidRPr="009A03A7" w:rsidRDefault="00F4611C" w:rsidP="007F19F0">
      <w:pPr>
        <w:pStyle w:val="HChG"/>
        <w:rPr>
          <w:lang w:val="en-US"/>
        </w:rPr>
      </w:pPr>
      <w:r>
        <w:rPr>
          <w:lang w:val="en-US"/>
        </w:rPr>
        <w:lastRenderedPageBreak/>
        <w:tab/>
      </w:r>
      <w:r w:rsidR="007F19F0" w:rsidRPr="009A03A7">
        <w:rPr>
          <w:lang w:val="en-US"/>
        </w:rPr>
        <w:t xml:space="preserve">I. </w:t>
      </w:r>
      <w:r w:rsidR="007F19F0" w:rsidRPr="009A03A7">
        <w:rPr>
          <w:lang w:val="en-US"/>
        </w:rPr>
        <w:tab/>
        <w:t>Proposal</w:t>
      </w:r>
    </w:p>
    <w:p w:rsidR="006F22A0" w:rsidRDefault="007F19F0" w:rsidP="007F19F0">
      <w:pPr>
        <w:pStyle w:val="SingleTxtG"/>
        <w:rPr>
          <w:i/>
          <w:lang w:val="en-US"/>
        </w:rPr>
      </w:pPr>
      <w:r w:rsidRPr="009A03A7">
        <w:rPr>
          <w:i/>
          <w:lang w:val="en-US"/>
        </w:rPr>
        <w:t xml:space="preserve">Annex 3, </w:t>
      </w:r>
    </w:p>
    <w:p w:rsidR="007F19F0" w:rsidRPr="009A03A7" w:rsidRDefault="007F19F0" w:rsidP="007F19F0">
      <w:pPr>
        <w:pStyle w:val="SingleTxtG"/>
        <w:rPr>
          <w:lang w:val="en-US"/>
        </w:rPr>
      </w:pPr>
      <w:r w:rsidRPr="009A03A7">
        <w:rPr>
          <w:i/>
          <w:lang w:val="en-US"/>
        </w:rPr>
        <w:t>Paragraph 3.1.2.1.4.1.,</w:t>
      </w:r>
      <w:r w:rsidRPr="009A03A7">
        <w:rPr>
          <w:lang w:val="en-US"/>
        </w:rPr>
        <w:t xml:space="preserve"> add </w:t>
      </w:r>
      <w:r w:rsidR="006F22A0">
        <w:rPr>
          <w:lang w:val="en-US"/>
        </w:rPr>
        <w:t xml:space="preserve">a </w:t>
      </w:r>
      <w:r w:rsidRPr="009A03A7">
        <w:rPr>
          <w:lang w:val="en-US"/>
        </w:rPr>
        <w:t>new subparagraph (e):</w:t>
      </w:r>
    </w:p>
    <w:p w:rsidR="00E913D1" w:rsidRDefault="007F19F0" w:rsidP="00E913D1">
      <w:pPr>
        <w:spacing w:after="120"/>
        <w:ind w:left="2268" w:right="1134" w:hanging="1134"/>
        <w:jc w:val="both"/>
        <w:rPr>
          <w:lang w:val="en-US"/>
        </w:rPr>
      </w:pPr>
      <w:r w:rsidRPr="009A03A7">
        <w:rPr>
          <w:lang w:val="en-US"/>
        </w:rPr>
        <w:t>“</w:t>
      </w:r>
      <w:r w:rsidR="00E913D1">
        <w:rPr>
          <w:lang w:val="en-US"/>
        </w:rPr>
        <w:t xml:space="preserve">3.1.2.1.4.1. </w:t>
      </w:r>
      <w:r w:rsidR="00E913D1">
        <w:rPr>
          <w:lang w:val="en-US"/>
        </w:rPr>
        <w:tab/>
        <w:t>Vehicles with manual transmission, automatic transmissions, adaptive transmissions or CVTs tested with locked gear ratios</w:t>
      </w:r>
    </w:p>
    <w:p w:rsidR="00E913D1" w:rsidRDefault="00E913D1" w:rsidP="00E913D1">
      <w:pPr>
        <w:spacing w:after="120"/>
        <w:ind w:left="2268" w:right="1134"/>
        <w:jc w:val="both"/>
        <w:rPr>
          <w:lang w:val="en-US"/>
        </w:rPr>
      </w:pPr>
      <w:r>
        <w:rPr>
          <w:lang w:val="en-US"/>
        </w:rPr>
        <w:tab/>
        <w:t xml:space="preserve">… </w:t>
      </w:r>
    </w:p>
    <w:p w:rsidR="00E913D1" w:rsidRDefault="00E913D1" w:rsidP="00E913D1">
      <w:pPr>
        <w:spacing w:before="120" w:after="120"/>
        <w:ind w:left="2268" w:right="1134"/>
        <w:jc w:val="both"/>
        <w:rPr>
          <w:b/>
          <w:lang w:val="en-US"/>
        </w:rPr>
      </w:pPr>
      <w:r>
        <w:rPr>
          <w:b/>
          <w:lang w:val="en-US"/>
        </w:rPr>
        <w:t xml:space="preserve">(e) If no gear ratio is available with an acceleration below 2.0 m/s², the manufacturer shall, if possible take measures to avoid an acceleration value </w:t>
      </w:r>
      <w:proofErr w:type="spellStart"/>
      <w:r>
        <w:rPr>
          <w:b/>
          <w:lang w:val="en-US"/>
        </w:rPr>
        <w:t>a</w:t>
      </w:r>
      <w:r>
        <w:rPr>
          <w:b/>
          <w:vertAlign w:val="subscript"/>
          <w:lang w:val="en-US"/>
        </w:rPr>
        <w:t>wot</w:t>
      </w:r>
      <w:proofErr w:type="spellEnd"/>
      <w:r>
        <w:rPr>
          <w:b/>
          <w:lang w:val="en-US"/>
        </w:rPr>
        <w:t xml:space="preserve"> test greater than 2.0 m/s².</w:t>
      </w:r>
    </w:p>
    <w:p w:rsidR="007F19F0" w:rsidRPr="009A03A7" w:rsidRDefault="00E913D1" w:rsidP="00E913D1">
      <w:pPr>
        <w:spacing w:after="120"/>
        <w:ind w:left="2268" w:right="1134"/>
        <w:jc w:val="both"/>
        <w:rPr>
          <w:b/>
          <w:lang w:val="en-US"/>
        </w:rPr>
      </w:pPr>
      <w:r>
        <w:rPr>
          <w:b/>
          <w:lang w:val="en-US"/>
        </w:rPr>
        <w:t>Table 1 in Appendix to Annex 3 provides examples for valid measures to control the downshift of gears or to avoid accelerations beyond 2.0 m/s². Any measure used by manufacturer for above mentioned purposes shall be documented in the test report</w:t>
      </w:r>
      <w:r w:rsidR="007F19F0" w:rsidRPr="009A03A7">
        <w:rPr>
          <w:b/>
          <w:lang w:val="en-US"/>
        </w:rPr>
        <w:t>.</w:t>
      </w:r>
      <w:r w:rsidR="007F19F0">
        <w:rPr>
          <w:b/>
          <w:lang w:val="en-US"/>
        </w:rPr>
        <w:t>”</w:t>
      </w:r>
      <w:r w:rsidR="007F19F0" w:rsidRPr="009A03A7">
        <w:rPr>
          <w:b/>
          <w:lang w:val="en-US"/>
        </w:rPr>
        <w:t xml:space="preserve"> </w:t>
      </w:r>
    </w:p>
    <w:p w:rsidR="007F19F0" w:rsidRPr="009A03A7" w:rsidRDefault="007F19F0" w:rsidP="007F19F0">
      <w:pPr>
        <w:pStyle w:val="SingleTxtG"/>
        <w:rPr>
          <w:lang w:val="en-US"/>
        </w:rPr>
      </w:pPr>
      <w:r w:rsidRPr="009A03A7">
        <w:rPr>
          <w:i/>
          <w:lang w:val="en-US"/>
        </w:rPr>
        <w:t>Paragraph 3.1.2.1.4.2.,</w:t>
      </w:r>
      <w:r w:rsidRPr="009A03A7">
        <w:rPr>
          <w:lang w:val="en-US"/>
        </w:rPr>
        <w:t xml:space="preserve"> amend to read:</w:t>
      </w:r>
    </w:p>
    <w:p w:rsidR="007F19F0" w:rsidRPr="009A03A7" w:rsidRDefault="007F19F0" w:rsidP="007F19F0">
      <w:pPr>
        <w:spacing w:after="120"/>
        <w:ind w:left="2268" w:right="1134" w:hanging="1134"/>
        <w:jc w:val="both"/>
        <w:rPr>
          <w:lang w:val="en-US"/>
        </w:rPr>
      </w:pPr>
      <w:r>
        <w:rPr>
          <w:lang w:val="en-US"/>
        </w:rPr>
        <w:t>“</w:t>
      </w:r>
      <w:r w:rsidRPr="009A03A7">
        <w:rPr>
          <w:lang w:val="en-US"/>
        </w:rPr>
        <w:t xml:space="preserve">3.1.2.1.4.2. </w:t>
      </w:r>
      <w:r w:rsidRPr="009A03A7">
        <w:rPr>
          <w:lang w:val="en-US"/>
        </w:rPr>
        <w:tab/>
        <w:t>Vehicles with automatic transmission, adaptive transmissions and CVTs tested with non-locked gear ratios:</w:t>
      </w:r>
    </w:p>
    <w:p w:rsidR="007F19F0" w:rsidRPr="009A03A7" w:rsidRDefault="007F19F0" w:rsidP="007F19F0">
      <w:pPr>
        <w:spacing w:after="120"/>
        <w:ind w:left="2268" w:right="1134"/>
        <w:jc w:val="both"/>
        <w:rPr>
          <w:lang w:val="en-US"/>
        </w:rPr>
      </w:pPr>
      <w:r w:rsidRPr="009A03A7">
        <w:rPr>
          <w:lang w:val="en-US"/>
        </w:rPr>
        <w:t xml:space="preserve">… </w:t>
      </w:r>
    </w:p>
    <w:p w:rsidR="007F19F0" w:rsidRPr="009A03A7" w:rsidRDefault="007F19F0" w:rsidP="007F19F0">
      <w:pPr>
        <w:spacing w:before="120" w:after="120"/>
        <w:ind w:left="2268" w:right="1134"/>
        <w:jc w:val="both"/>
        <w:rPr>
          <w:lang w:val="en-US"/>
        </w:rPr>
      </w:pPr>
      <w:r w:rsidRPr="009A03A7">
        <w:rPr>
          <w:lang w:val="en-US"/>
        </w:rPr>
        <w:t>Therefore, it is permitted to establish and use electronic or mechanical devices, including alternate gear selector positions, to prevent a downshift to a gear ratio which is typically not used for the specified test condition in urban traffic.</w:t>
      </w:r>
    </w:p>
    <w:p w:rsidR="007F19F0" w:rsidRPr="009A03A7" w:rsidRDefault="007F19F0" w:rsidP="007F19F0">
      <w:pPr>
        <w:spacing w:before="120" w:after="120"/>
        <w:ind w:left="2268" w:right="1134"/>
        <w:jc w:val="both"/>
        <w:rPr>
          <w:lang w:val="en-US"/>
        </w:rPr>
      </w:pPr>
      <w:r w:rsidRPr="009A03A7">
        <w:rPr>
          <w:lang w:val="en-US"/>
        </w:rPr>
        <w:t xml:space="preserve">If possible, the manufacturer shall take measures to avoid an acceleration value </w:t>
      </w:r>
      <w:proofErr w:type="spellStart"/>
      <w:r w:rsidRPr="009A03A7">
        <w:rPr>
          <w:lang w:val="en-US"/>
        </w:rPr>
        <w:t>a</w:t>
      </w:r>
      <w:r w:rsidRPr="00E153BA">
        <w:rPr>
          <w:vertAlign w:val="subscript"/>
          <w:lang w:val="en-US"/>
        </w:rPr>
        <w:t>wot</w:t>
      </w:r>
      <w:proofErr w:type="spellEnd"/>
      <w:r w:rsidRPr="009A03A7">
        <w:rPr>
          <w:lang w:val="en-US"/>
        </w:rPr>
        <w:t xml:space="preserve"> test greater than 2.0 m/s².</w:t>
      </w:r>
    </w:p>
    <w:p w:rsidR="007F19F0" w:rsidRPr="009A03A7" w:rsidRDefault="00E913D1" w:rsidP="007F19F0">
      <w:pPr>
        <w:spacing w:after="120"/>
        <w:ind w:left="2268" w:right="1134"/>
        <w:jc w:val="both"/>
        <w:rPr>
          <w:b/>
          <w:lang w:val="en-US"/>
        </w:rPr>
      </w:pPr>
      <w:r>
        <w:rPr>
          <w:b/>
          <w:lang w:val="en-US"/>
        </w:rPr>
        <w:t>Table 1 in Appendix to Annex 3 provides examples for valid measures to control the downshift of gears or to avoid accelerations beyond 2.0 m/s². Any measure used by manufacturer for above mentioned purposes shall be documented in the test report</w:t>
      </w:r>
      <w:r w:rsidR="007F19F0" w:rsidRPr="009A03A7">
        <w:rPr>
          <w:b/>
          <w:lang w:val="en-US"/>
        </w:rPr>
        <w:t xml:space="preserve">. </w:t>
      </w:r>
    </w:p>
    <w:p w:rsidR="007F19F0" w:rsidRPr="009A03A7" w:rsidRDefault="007F19F0" w:rsidP="007F19F0">
      <w:pPr>
        <w:spacing w:after="120"/>
        <w:ind w:left="2268" w:right="1134"/>
        <w:jc w:val="both"/>
        <w:rPr>
          <w:b/>
          <w:lang w:val="en-US"/>
        </w:rPr>
      </w:pPr>
      <w:r w:rsidRPr="009A03A7">
        <w:rPr>
          <w:b/>
          <w:lang w:val="en-US"/>
        </w:rPr>
        <w:tab/>
        <w:t>…</w:t>
      </w:r>
      <w:r w:rsidRPr="009A03A7">
        <w:rPr>
          <w:lang w:val="en-US"/>
        </w:rPr>
        <w:t>”</w:t>
      </w:r>
    </w:p>
    <w:p w:rsidR="007F19F0" w:rsidRPr="009A03A7" w:rsidRDefault="00843286" w:rsidP="007F19F0">
      <w:pPr>
        <w:spacing w:after="120"/>
        <w:ind w:left="2268" w:right="1134" w:hanging="1134"/>
        <w:jc w:val="both"/>
        <w:rPr>
          <w:b/>
          <w:lang w:val="en-US"/>
        </w:rPr>
      </w:pPr>
      <w:r>
        <w:rPr>
          <w:i/>
          <w:lang w:val="en-US"/>
        </w:rPr>
        <w:t>P</w:t>
      </w:r>
      <w:r w:rsidR="007F19F0" w:rsidRPr="009A03A7">
        <w:rPr>
          <w:i/>
          <w:lang w:val="en-US"/>
        </w:rPr>
        <w:t xml:space="preserve">aragraph 3.1.2.1.4.3., </w:t>
      </w:r>
      <w:r w:rsidR="007F19F0" w:rsidRPr="009A03A7">
        <w:rPr>
          <w:lang w:val="en-US"/>
        </w:rPr>
        <w:t>amend to read:</w:t>
      </w:r>
    </w:p>
    <w:p w:rsidR="007F19F0" w:rsidRPr="009A03A7" w:rsidRDefault="007F19F0" w:rsidP="007F19F0">
      <w:pPr>
        <w:spacing w:after="120"/>
        <w:ind w:left="2268" w:right="1134" w:hanging="1134"/>
        <w:jc w:val="both"/>
        <w:rPr>
          <w:lang w:val="en-US"/>
        </w:rPr>
      </w:pPr>
      <w:r w:rsidRPr="009A03A7">
        <w:rPr>
          <w:lang w:val="en-US"/>
        </w:rPr>
        <w:t>“3.1.2.1.4.3.</w:t>
      </w:r>
      <w:r w:rsidRPr="009A03A7">
        <w:rPr>
          <w:lang w:val="en-US"/>
        </w:rPr>
        <w:tab/>
        <w:t>Vehicles with only one gear ratio, like but not limited to Battery Electric Vehicles (BEV) and Fuel Cell Vehicles</w:t>
      </w:r>
      <w:r w:rsidR="00843286">
        <w:rPr>
          <w:lang w:val="en-US"/>
        </w:rPr>
        <w:t xml:space="preserve"> (FCV)</w:t>
      </w:r>
    </w:p>
    <w:p w:rsidR="007F19F0" w:rsidRPr="009A03A7" w:rsidRDefault="007F19F0" w:rsidP="007F19F0">
      <w:pPr>
        <w:spacing w:after="120"/>
        <w:ind w:left="2268" w:right="1134"/>
        <w:jc w:val="both"/>
        <w:rPr>
          <w:lang w:val="en-US"/>
        </w:rPr>
      </w:pPr>
      <w:r w:rsidRPr="009A03A7">
        <w:rPr>
          <w:lang w:val="en-US"/>
        </w:rPr>
        <w:t>…</w:t>
      </w:r>
    </w:p>
    <w:p w:rsidR="007F19F0" w:rsidRPr="009A03A7" w:rsidRDefault="007F19F0" w:rsidP="007F19F0">
      <w:pPr>
        <w:spacing w:after="120"/>
        <w:ind w:left="2268" w:right="1134"/>
        <w:jc w:val="both"/>
        <w:rPr>
          <w:lang w:val="en-US"/>
        </w:rPr>
      </w:pPr>
      <w:r w:rsidRPr="009A03A7">
        <w:rPr>
          <w:lang w:val="en-US"/>
        </w:rPr>
        <w:t xml:space="preserve">If possible, the manufacturer shall take measures to avoid an acceleration value </w:t>
      </w:r>
      <w:proofErr w:type="spellStart"/>
      <w:r w:rsidRPr="009A03A7">
        <w:rPr>
          <w:lang w:val="en-US"/>
        </w:rPr>
        <w:t>a</w:t>
      </w:r>
      <w:r w:rsidRPr="009A03A7">
        <w:rPr>
          <w:vertAlign w:val="subscript"/>
          <w:lang w:val="en-US"/>
        </w:rPr>
        <w:t>wot</w:t>
      </w:r>
      <w:proofErr w:type="spellEnd"/>
      <w:r w:rsidRPr="009A03A7">
        <w:rPr>
          <w:vertAlign w:val="subscript"/>
          <w:lang w:val="en-US"/>
        </w:rPr>
        <w:t xml:space="preserve"> test</w:t>
      </w:r>
      <w:r w:rsidRPr="009A03A7">
        <w:rPr>
          <w:lang w:val="en-US"/>
        </w:rPr>
        <w:t xml:space="preserve"> greater than 2.0 m/s². </w:t>
      </w:r>
    </w:p>
    <w:p w:rsidR="007F19F0" w:rsidRPr="009A03A7" w:rsidRDefault="007F19F0" w:rsidP="007F19F0">
      <w:pPr>
        <w:spacing w:after="120"/>
        <w:ind w:left="2268" w:right="1134"/>
        <w:jc w:val="both"/>
        <w:rPr>
          <w:b/>
          <w:lang w:val="en-US"/>
        </w:rPr>
      </w:pPr>
      <w:r w:rsidRPr="009A03A7">
        <w:rPr>
          <w:b/>
          <w:lang w:val="en-US"/>
        </w:rPr>
        <w:t>Table 1 in Appendix to Annex 3 provides examples for valid measures to avoid accelerations beyond 2</w:t>
      </w:r>
      <w:r>
        <w:rPr>
          <w:b/>
          <w:lang w:val="en-US"/>
        </w:rPr>
        <w:t>.0</w:t>
      </w:r>
      <w:r w:rsidRPr="009A03A7">
        <w:rPr>
          <w:b/>
          <w:lang w:val="en-US"/>
        </w:rPr>
        <w:t xml:space="preserve"> m/s². Any measure used by manufacturer for above mentioned purposes shall be documented in the test report. </w:t>
      </w:r>
    </w:p>
    <w:p w:rsidR="007F19F0" w:rsidRPr="009A03A7" w:rsidRDefault="007F19F0" w:rsidP="007F19F0">
      <w:pPr>
        <w:spacing w:after="120"/>
        <w:ind w:left="2268" w:right="1134"/>
        <w:jc w:val="both"/>
        <w:rPr>
          <w:b/>
          <w:lang w:val="en-US"/>
        </w:rPr>
      </w:pPr>
      <w:r w:rsidRPr="009A03A7">
        <w:rPr>
          <w:b/>
          <w:lang w:val="en-US"/>
        </w:rPr>
        <w:tab/>
        <w:t>…</w:t>
      </w:r>
      <w:r w:rsidRPr="009A03A7">
        <w:rPr>
          <w:lang w:val="en-US"/>
        </w:rPr>
        <w:t>”</w:t>
      </w:r>
    </w:p>
    <w:p w:rsidR="007F19F0" w:rsidRPr="009A03A7" w:rsidRDefault="00843286" w:rsidP="007F19F0">
      <w:pPr>
        <w:pStyle w:val="SingleTxtG"/>
        <w:rPr>
          <w:lang w:val="en-US"/>
        </w:rPr>
      </w:pPr>
      <w:r>
        <w:rPr>
          <w:i/>
          <w:lang w:val="en-US"/>
        </w:rPr>
        <w:t>P</w:t>
      </w:r>
      <w:r w:rsidR="007F19F0" w:rsidRPr="009A03A7">
        <w:rPr>
          <w:i/>
          <w:lang w:val="en-US"/>
        </w:rPr>
        <w:t xml:space="preserve">aragraph 3.1.2.2.1.2., </w:t>
      </w:r>
      <w:r w:rsidR="007F19F0" w:rsidRPr="009A03A7">
        <w:rPr>
          <w:lang w:val="en-US"/>
        </w:rPr>
        <w:t>amend to read:</w:t>
      </w:r>
    </w:p>
    <w:p w:rsidR="007F19F0" w:rsidRPr="009A03A7" w:rsidRDefault="007F19F0" w:rsidP="007F19F0">
      <w:pPr>
        <w:pStyle w:val="SingleTxtG"/>
        <w:ind w:left="2268" w:hanging="1134"/>
        <w:rPr>
          <w:lang w:val="en-US"/>
        </w:rPr>
      </w:pPr>
      <w:r>
        <w:rPr>
          <w:lang w:val="en-US"/>
        </w:rPr>
        <w:t>“</w:t>
      </w:r>
      <w:r w:rsidRPr="009A03A7">
        <w:rPr>
          <w:lang w:val="en-US"/>
        </w:rPr>
        <w:t xml:space="preserve">3.1.2.2.1.2. </w:t>
      </w:r>
      <w:r w:rsidRPr="009A03A7">
        <w:rPr>
          <w:lang w:val="en-US"/>
        </w:rPr>
        <w:tab/>
        <w:t>Automatic transmission, adaptive transmissions, and transmissions with variable gear ratio tested with non-locked gear ratios</w:t>
      </w:r>
    </w:p>
    <w:p w:rsidR="007F19F0" w:rsidRPr="009A03A7" w:rsidRDefault="007F19F0" w:rsidP="007F19F0">
      <w:pPr>
        <w:pStyle w:val="SingleTxtG"/>
        <w:ind w:left="2268"/>
        <w:rPr>
          <w:lang w:val="en-US"/>
        </w:rPr>
      </w:pPr>
      <w:r w:rsidRPr="009A03A7">
        <w:rPr>
          <w:lang w:val="en-US"/>
        </w:rPr>
        <w:lastRenderedPageBreak/>
        <w:t>The gear selector position for full automatic operation shall be used.</w:t>
      </w:r>
    </w:p>
    <w:p w:rsidR="007F19F0" w:rsidRPr="009A03A7" w:rsidRDefault="007F19F0" w:rsidP="007F19F0">
      <w:pPr>
        <w:pStyle w:val="SingleTxtG"/>
        <w:ind w:left="2268"/>
        <w:rPr>
          <w:lang w:val="en-US"/>
        </w:rPr>
      </w:pPr>
      <w:r w:rsidRPr="009A03A7">
        <w:rPr>
          <w:lang w:val="en-US"/>
        </w:rPr>
        <w:t>The test may then include a gear change to a lower range and a higher acceleration. A gear change to a higher range and a lower acceleration is not allowed. In any case a gear change to a gear ratio that is typically not used at the specified condition as defined by the manufacturer in urban traffic shall be avoided.</w:t>
      </w:r>
    </w:p>
    <w:p w:rsidR="007F19F0" w:rsidRPr="009A03A7" w:rsidRDefault="007F19F0" w:rsidP="007F19F0">
      <w:pPr>
        <w:pStyle w:val="SingleTxtG"/>
        <w:ind w:left="2268"/>
        <w:rPr>
          <w:lang w:val="en-US"/>
        </w:rPr>
      </w:pPr>
      <w:r w:rsidRPr="009A03A7">
        <w:rPr>
          <w:lang w:val="en-US"/>
        </w:rPr>
        <w:t>Therefore, it is permitted to establish and use electronic or mechanical devices, including alternative gear selector positions, to prevent a downshift to a gear ratio that is typically not used at the specified test condition as defined by the manufacturer in urban traffic.</w:t>
      </w:r>
    </w:p>
    <w:p w:rsidR="007F19F0" w:rsidRPr="009A03A7" w:rsidRDefault="007F19F0" w:rsidP="007F19F0">
      <w:pPr>
        <w:spacing w:after="120"/>
        <w:ind w:left="2268" w:right="1134"/>
        <w:jc w:val="both"/>
        <w:rPr>
          <w:b/>
          <w:lang w:val="en-US"/>
        </w:rPr>
      </w:pPr>
      <w:r w:rsidRPr="009A03A7">
        <w:rPr>
          <w:b/>
          <w:lang w:val="en-US"/>
        </w:rPr>
        <w:t xml:space="preserve">Table 1 in Appendix to Annex 3 provides examples for valid measures to control the downshift of gears. Any measure used by manufacturer for above mentioned purpose shall be documented in the test report. </w:t>
      </w:r>
    </w:p>
    <w:p w:rsidR="007F19F0" w:rsidRDefault="007F19F0" w:rsidP="007F19F0">
      <w:pPr>
        <w:pStyle w:val="SingleTxtG"/>
        <w:ind w:left="2268"/>
        <w:rPr>
          <w:lang w:val="en-US"/>
        </w:rPr>
      </w:pPr>
      <w:r w:rsidRPr="009A03A7">
        <w:rPr>
          <w:b/>
          <w:lang w:val="en-US"/>
        </w:rPr>
        <w:tab/>
        <w:t>…</w:t>
      </w:r>
      <w:r w:rsidRPr="009A03A7">
        <w:rPr>
          <w:lang w:val="en-US"/>
        </w:rPr>
        <w:t>”</w:t>
      </w:r>
    </w:p>
    <w:p w:rsidR="00E913D1" w:rsidRDefault="00E913D1" w:rsidP="00E913D1">
      <w:pPr>
        <w:pStyle w:val="SingleTxtG"/>
        <w:rPr>
          <w:lang w:val="en-US"/>
        </w:rPr>
      </w:pPr>
      <w:r>
        <w:rPr>
          <w:i/>
          <w:lang w:val="en-US"/>
        </w:rPr>
        <w:t>Appendix</w:t>
      </w:r>
      <w:r w:rsidR="00843286">
        <w:rPr>
          <w:i/>
          <w:lang w:val="en-US"/>
        </w:rPr>
        <w:t xml:space="preserve"> to Annex 3,</w:t>
      </w:r>
      <w:r w:rsidRPr="00843286">
        <w:rPr>
          <w:lang w:val="en-US"/>
        </w:rPr>
        <w:t xml:space="preserve"> </w:t>
      </w:r>
      <w:r w:rsidR="00ED68B2">
        <w:rPr>
          <w:lang w:val="en-US"/>
        </w:rPr>
        <w:t>at the end</w:t>
      </w:r>
      <w:r w:rsidR="00F13E57">
        <w:rPr>
          <w:lang w:val="en-US"/>
        </w:rPr>
        <w:t>,</w:t>
      </w:r>
      <w:r w:rsidR="00ED68B2">
        <w:rPr>
          <w:lang w:val="en-US"/>
        </w:rPr>
        <w:t xml:space="preserve"> </w:t>
      </w:r>
      <w:r w:rsidR="00843286">
        <w:rPr>
          <w:lang w:val="en-US"/>
        </w:rPr>
        <w:t>add a new table 1</w:t>
      </w:r>
      <w:r w:rsidRPr="00843286">
        <w:rPr>
          <w:lang w:val="en-US"/>
        </w:rPr>
        <w:t>:</w:t>
      </w:r>
    </w:p>
    <w:p w:rsidR="0057001E" w:rsidRPr="0057001E" w:rsidRDefault="00E913D1" w:rsidP="00F27E1B">
      <w:pPr>
        <w:pStyle w:val="SingleTxtG"/>
        <w:spacing w:after="0"/>
        <w:jc w:val="left"/>
        <w:rPr>
          <w:lang w:val="en-US"/>
        </w:rPr>
      </w:pPr>
      <w:r>
        <w:rPr>
          <w:lang w:val="en-US"/>
        </w:rPr>
        <w:t>“</w:t>
      </w:r>
      <w:r w:rsidR="0057001E" w:rsidRPr="0057001E">
        <w:rPr>
          <w:bCs/>
          <w:color w:val="000000"/>
          <w:lang w:val="en-US" w:eastAsia="zh-CN"/>
        </w:rPr>
        <w:t>Table</w:t>
      </w:r>
      <w:r w:rsidR="0057001E">
        <w:rPr>
          <w:bCs/>
          <w:color w:val="000000"/>
          <w:lang w:val="en-US" w:eastAsia="zh-CN"/>
        </w:rPr>
        <w:t xml:space="preserve"> </w:t>
      </w:r>
      <w:r w:rsidR="0057001E" w:rsidRPr="0057001E">
        <w:rPr>
          <w:bCs/>
          <w:color w:val="000000"/>
          <w:lang w:val="en-US" w:eastAsia="zh-CN"/>
        </w:rPr>
        <w:t>1</w:t>
      </w:r>
      <w:r w:rsidR="0057001E">
        <w:rPr>
          <w:bCs/>
          <w:color w:val="000000"/>
          <w:lang w:val="en-US" w:eastAsia="zh-CN"/>
        </w:rPr>
        <w:t xml:space="preserve">. </w:t>
      </w:r>
      <w:r w:rsidR="0057001E" w:rsidRPr="0057001E">
        <w:rPr>
          <w:bCs/>
          <w:color w:val="000000"/>
          <w:lang w:val="en-US" w:eastAsia="zh-CN"/>
        </w:rPr>
        <w:t>Examples for Devices and Measures</w:t>
      </w:r>
      <w:r w:rsidR="0057001E">
        <w:rPr>
          <w:bCs/>
          <w:color w:val="000000"/>
          <w:lang w:val="en-US" w:eastAsia="zh-CN"/>
        </w:rPr>
        <w:t xml:space="preserve"> </w:t>
      </w:r>
      <w:r w:rsidR="0057001E" w:rsidRPr="0057001E">
        <w:rPr>
          <w:bCs/>
          <w:color w:val="000000"/>
          <w:lang w:val="en-US" w:eastAsia="zh-CN"/>
        </w:rPr>
        <w:t>to Enable a Vehicle Tested within the Acceleration Boundaries</w:t>
      </w:r>
    </w:p>
    <w:p w:rsidR="0057001E" w:rsidRDefault="0057001E" w:rsidP="00E913D1">
      <w:pPr>
        <w:pStyle w:val="SingleTxtG"/>
        <w:spacing w:after="0"/>
        <w:rPr>
          <w:lang w:val="en-US"/>
        </w:rPr>
      </w:pPr>
    </w:p>
    <w:tbl>
      <w:tblPr>
        <w:tblW w:w="7366" w:type="dxa"/>
        <w:jc w:val="center"/>
        <w:tblLayout w:type="fixed"/>
        <w:tblCellMar>
          <w:left w:w="70" w:type="dxa"/>
          <w:right w:w="70" w:type="dxa"/>
        </w:tblCellMar>
        <w:tblLook w:val="04A0" w:firstRow="1" w:lastRow="0" w:firstColumn="1" w:lastColumn="0" w:noHBand="0" w:noVBand="1"/>
      </w:tblPr>
      <w:tblGrid>
        <w:gridCol w:w="421"/>
        <w:gridCol w:w="1417"/>
        <w:gridCol w:w="425"/>
        <w:gridCol w:w="2410"/>
        <w:gridCol w:w="2693"/>
      </w:tblGrid>
      <w:tr w:rsidR="00E913D1" w:rsidRPr="00F349C9" w:rsidTr="0057001E">
        <w:trPr>
          <w:trHeight w:val="476"/>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E913D1" w:rsidRPr="00ED68B2" w:rsidRDefault="00E913D1" w:rsidP="00F349C9">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N</w:t>
            </w:r>
            <w:r w:rsidR="00F349C9" w:rsidRPr="00ED68B2">
              <w:rPr>
                <w:b/>
                <w:bCs/>
                <w:i/>
                <w:color w:val="000000"/>
                <w:sz w:val="16"/>
                <w:szCs w:val="22"/>
                <w:lang w:val="en-US" w:eastAsia="zh-CN"/>
              </w:rPr>
              <w:t>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rsidP="00ED68B2">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Sub N</w:t>
            </w:r>
            <w:r w:rsidR="00ED68B2">
              <w:rPr>
                <w:b/>
                <w:bCs/>
                <w:i/>
                <w:color w:val="000000"/>
                <w:sz w:val="16"/>
                <w:szCs w:val="22"/>
                <w:lang w:val="en-US" w:eastAsia="zh-CN"/>
              </w:rPr>
              <w:t>o.</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Measure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Additional Requirements</w:t>
            </w:r>
          </w:p>
        </w:tc>
      </w:tr>
      <w:tr w:rsidR="00E913D1" w:rsidRPr="00F13E57" w:rsidTr="0057001E">
        <w:trPr>
          <w:trHeight w:val="496"/>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rPr>
                <w:bCs/>
                <w:color w:val="000000"/>
                <w:sz w:val="18"/>
                <w:szCs w:val="18"/>
                <w:lang w:val="en-US" w:eastAsia="zh-CN"/>
              </w:rPr>
            </w:pPr>
            <w:r w:rsidRPr="00F13E57">
              <w:rPr>
                <w:bCs/>
                <w:color w:val="000000"/>
                <w:sz w:val="18"/>
                <w:szCs w:val="18"/>
                <w:lang w:val="en-US"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A discrete gear ratio can be locked by the driver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13E57" w:rsidTr="0057001E">
        <w:trPr>
          <w:trHeight w:val="1275"/>
          <w:jc w:val="center"/>
        </w:trPr>
        <w:tc>
          <w:tcPr>
            <w:tcW w:w="421" w:type="dxa"/>
            <w:vMerge/>
            <w:tcBorders>
              <w:top w:val="nil"/>
              <w:left w:val="single" w:sz="4" w:space="0" w:color="auto"/>
              <w:bottom w:val="nil"/>
              <w:right w:val="single" w:sz="4" w:space="0" w:color="auto"/>
            </w:tcBorders>
            <w:vAlign w:val="center"/>
            <w:hideMark/>
          </w:tcPr>
          <w:p w:rsidR="00E913D1" w:rsidRPr="00F13E57" w:rsidRDefault="00E913D1">
            <w:pPr>
              <w:suppressAutoHyphens w:val="0"/>
              <w:spacing w:line="240" w:lineRule="auto"/>
              <w:rPr>
                <w:bCs/>
                <w:color w:val="000000"/>
                <w:sz w:val="18"/>
                <w:szCs w:val="18"/>
                <w:lang w:val="en-US" w:eastAsia="zh-CN"/>
              </w:rPr>
            </w:pPr>
          </w:p>
        </w:tc>
        <w:tc>
          <w:tcPr>
            <w:tcW w:w="1417" w:type="dxa"/>
            <w:vMerge/>
            <w:tcBorders>
              <w:top w:val="nil"/>
              <w:left w:val="single" w:sz="4" w:space="0" w:color="auto"/>
              <w:bottom w:val="nil"/>
              <w:right w:val="single" w:sz="4" w:space="0" w:color="auto"/>
            </w:tcBorders>
            <w:vAlign w:val="center"/>
            <w:hideMark/>
          </w:tcPr>
          <w:p w:rsidR="00E913D1" w:rsidRPr="00F13E57" w:rsidRDefault="00E913D1">
            <w:pPr>
              <w:suppressAutoHyphens w:val="0"/>
              <w:spacing w:line="240" w:lineRule="auto"/>
              <w:rPr>
                <w:bCs/>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A discrete gear ratio is onboard available but is not available to the driver. The locking can be activated by the manufacturer with an onboard (hidden) function or with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13E57" w:rsidTr="0057001E">
        <w:trPr>
          <w:trHeight w:val="505"/>
          <w:jc w:val="center"/>
        </w:trPr>
        <w:tc>
          <w:tcPr>
            <w:tcW w:w="421" w:type="dxa"/>
            <w:vMerge w:val="restart"/>
            <w:tcBorders>
              <w:top w:val="single" w:sz="4"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bCs/>
                <w:color w:val="000000"/>
                <w:sz w:val="18"/>
                <w:szCs w:val="18"/>
                <w:lang w:val="en-US" w:eastAsia="zh-CN"/>
              </w:rPr>
              <w:t>Controlled gear shift management</w:t>
            </w:r>
            <w:r w:rsidR="00A162F3">
              <w:rPr>
                <w:bCs/>
                <w:color w:val="000000"/>
                <w:sz w:val="18"/>
                <w:szCs w:val="18"/>
                <w:lang w:val="en-US" w:eastAsia="zh-CN"/>
              </w:rPr>
              <w:t>:</w:t>
            </w:r>
            <w:r w:rsidRPr="00F13E57">
              <w:rPr>
                <w:bCs/>
                <w:color w:val="000000"/>
                <w:sz w:val="18"/>
                <w:szCs w:val="18"/>
                <w:lang w:val="en-US" w:eastAsia="zh-CN"/>
              </w:rPr>
              <w:t xml:space="preserve"> </w:t>
            </w:r>
            <w:r w:rsidRPr="00F13E57">
              <w:rPr>
                <w:color w:val="000000"/>
                <w:sz w:val="18"/>
                <w:szCs w:val="18"/>
                <w:lang w:val="en-US" w:eastAsia="zh-CN"/>
              </w:rPr>
              <w:t>Applicable to transmissions</w:t>
            </w:r>
            <w:r w:rsidRPr="00F13E57">
              <w:rPr>
                <w:sz w:val="18"/>
                <w:szCs w:val="18"/>
                <w:lang w:val="en-US" w:eastAsia="zh-CN"/>
              </w:rPr>
              <w:t xml:space="preserve"> which cannot be loc</w:t>
            </w:r>
            <w:r w:rsidRPr="00F13E57">
              <w:rPr>
                <w:color w:val="000000"/>
                <w:sz w:val="18"/>
                <w:szCs w:val="18"/>
                <w:lang w:val="en-US"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proofErr w:type="spellStart"/>
            <w:r w:rsidRPr="00F13E57">
              <w:rPr>
                <w:color w:val="000000"/>
                <w:sz w:val="18"/>
                <w:szCs w:val="18"/>
                <w:lang w:val="en-US" w:eastAsia="zh-CN"/>
              </w:rPr>
              <w:t>Kickdown</w:t>
            </w:r>
            <w:proofErr w:type="spellEnd"/>
            <w:r w:rsidRPr="00F13E57">
              <w:rPr>
                <w:color w:val="000000"/>
                <w:sz w:val="18"/>
                <w:szCs w:val="18"/>
                <w:lang w:val="en-US" w:eastAsia="zh-CN"/>
              </w:rPr>
              <w:t xml:space="preserve"> is deactivated</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13E57" w:rsidTr="0057001E">
        <w:trPr>
          <w:trHeight w:val="1120"/>
          <w:jc w:val="center"/>
        </w:trPr>
        <w:tc>
          <w:tcPr>
            <w:tcW w:w="421" w:type="dxa"/>
            <w:vMerge/>
            <w:tcBorders>
              <w:top w:val="single" w:sz="4" w:space="0" w:color="auto"/>
              <w:left w:val="single" w:sz="4" w:space="0" w:color="auto"/>
              <w:bottom w:val="nil"/>
              <w:right w:val="single" w:sz="4" w:space="0" w:color="auto"/>
            </w:tcBorders>
            <w:vAlign w:val="center"/>
            <w:hideMark/>
          </w:tcPr>
          <w:p w:rsidR="00E913D1" w:rsidRPr="00F13E57" w:rsidRDefault="00E913D1">
            <w:pPr>
              <w:suppressAutoHyphens w:val="0"/>
              <w:spacing w:line="240" w:lineRule="auto"/>
              <w:rPr>
                <w:bCs/>
                <w:color w:val="000000"/>
                <w:sz w:val="18"/>
                <w:szCs w:val="18"/>
                <w:lang w:val="en-US" w:eastAsia="zh-CN"/>
              </w:rPr>
            </w:pPr>
          </w:p>
        </w:tc>
        <w:tc>
          <w:tcPr>
            <w:tcW w:w="1417" w:type="dxa"/>
            <w:vMerge/>
            <w:tcBorders>
              <w:top w:val="single" w:sz="4" w:space="0" w:color="auto"/>
              <w:left w:val="single" w:sz="4" w:space="0" w:color="auto"/>
              <w:bottom w:val="nil"/>
              <w:right w:val="single" w:sz="4" w:space="0" w:color="auto"/>
            </w:tcBorders>
            <w:vAlign w:val="center"/>
            <w:hideMark/>
          </w:tcPr>
          <w:p w:rsidR="00E913D1" w:rsidRPr="00F13E57" w:rsidRDefault="00E913D1">
            <w:pPr>
              <w:suppressAutoHyphens w:val="0"/>
              <w:spacing w:line="240" w:lineRule="auto"/>
              <w:rPr>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Gear shift change(s) can happen during the test, gear shift is controlled by activation of an internal function or external device</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rPr>
                <w:color w:val="000000"/>
                <w:sz w:val="18"/>
                <w:szCs w:val="18"/>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w:t>
            </w:r>
            <w:proofErr w:type="spellStart"/>
            <w:r w:rsidRPr="00F13E57">
              <w:rPr>
                <w:color w:val="000000"/>
                <w:sz w:val="18"/>
                <w:szCs w:val="18"/>
                <w:lang w:val="en-US" w:eastAsia="zh-CN"/>
              </w:rPr>
              <w:t>a</w:t>
            </w:r>
            <w:r w:rsidRPr="00F13E57">
              <w:rPr>
                <w:color w:val="000000"/>
                <w:sz w:val="18"/>
                <w:szCs w:val="18"/>
                <w:vertAlign w:val="subscript"/>
                <w:lang w:val="en-US" w:eastAsia="zh-CN"/>
              </w:rPr>
              <w:t>urban</w:t>
            </w:r>
            <w:proofErr w:type="spellEnd"/>
            <w:r w:rsidRPr="00F13E57">
              <w:rPr>
                <w:color w:val="000000"/>
                <w:sz w:val="18"/>
                <w:szCs w:val="18"/>
                <w:lang w:val="en-US" w:eastAsia="zh-CN"/>
              </w:rPr>
              <w:t xml:space="preserve"> and </w:t>
            </w:r>
            <w:proofErr w:type="spellStart"/>
            <w:r w:rsidRPr="00F13E57">
              <w:rPr>
                <w:color w:val="000000"/>
                <w:sz w:val="18"/>
                <w:szCs w:val="18"/>
                <w:lang w:val="en-US" w:eastAsia="zh-CN"/>
              </w:rPr>
              <w:t>a</w:t>
            </w:r>
            <w:r w:rsidRPr="00F13E57">
              <w:rPr>
                <w:color w:val="000000"/>
                <w:sz w:val="18"/>
                <w:szCs w:val="18"/>
                <w:vertAlign w:val="subscript"/>
                <w:lang w:val="en-US" w:eastAsia="zh-CN"/>
              </w:rPr>
              <w:t>wot,ref</w:t>
            </w:r>
            <w:proofErr w:type="spellEnd"/>
            <w:r w:rsidRPr="00F13E57">
              <w:rPr>
                <w:color w:val="000000"/>
                <w:sz w:val="18"/>
                <w:szCs w:val="18"/>
                <w:vertAlign w:val="subscript"/>
                <w:lang w:val="en-US" w:eastAsia="zh-CN"/>
              </w:rPr>
              <w:t xml:space="preserve"> </w:t>
            </w:r>
            <w:r w:rsidRPr="00F13E57">
              <w:rPr>
                <w:color w:val="000000"/>
                <w:sz w:val="18"/>
                <w:szCs w:val="18"/>
                <w:lang w:val="en-US" w:eastAsia="zh-CN"/>
              </w:rPr>
              <w:t>, not exceeding 2.0 m/s².</w:t>
            </w:r>
          </w:p>
        </w:tc>
      </w:tr>
      <w:tr w:rsidR="00E913D1" w:rsidRPr="00F13E57" w:rsidTr="0057001E">
        <w:trPr>
          <w:trHeight w:val="132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913D1" w:rsidRPr="00F13E57" w:rsidRDefault="00E913D1">
            <w:pPr>
              <w:suppressAutoHyphens w:val="0"/>
              <w:spacing w:line="240" w:lineRule="auto"/>
              <w:rPr>
                <w:bCs/>
                <w:color w:val="000000"/>
                <w:sz w:val="18"/>
                <w:szCs w:val="18"/>
                <w:lang w:val="en-US" w:eastAsia="zh-CN"/>
              </w:rPr>
            </w:pPr>
            <w:r w:rsidRPr="00F13E57">
              <w:rPr>
                <w:bCs/>
                <w:color w:val="000000"/>
                <w:sz w:val="18"/>
                <w:szCs w:val="18"/>
                <w:lang w:val="en-US" w:eastAsia="zh-CN"/>
              </w:rPr>
              <w:t>Partial load driving</w:t>
            </w: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 xml:space="preserve">Acceleration is limited by a mechanical device </w:t>
            </w:r>
          </w:p>
        </w:tc>
        <w:tc>
          <w:tcPr>
            <w:tcW w:w="2693" w:type="dxa"/>
            <w:vMerge w:val="restart"/>
            <w:tcBorders>
              <w:top w:val="nil"/>
              <w:left w:val="single" w:sz="4" w:space="0" w:color="auto"/>
              <w:bottom w:val="single" w:sz="4" w:space="0" w:color="000000"/>
              <w:right w:val="single" w:sz="4" w:space="0" w:color="auto"/>
            </w:tcBorders>
            <w:shd w:val="clear" w:color="auto" w:fill="FFFFFF"/>
            <w:vAlign w:val="center"/>
            <w:hideMark/>
          </w:tcPr>
          <w:p w:rsidR="00E913D1" w:rsidRPr="00F13E57" w:rsidRDefault="00E913D1">
            <w:pPr>
              <w:tabs>
                <w:tab w:val="left" w:pos="497"/>
              </w:tabs>
              <w:suppressAutoHyphens w:val="0"/>
              <w:spacing w:before="120" w:line="240" w:lineRule="auto"/>
              <w:rPr>
                <w:color w:val="000000"/>
                <w:sz w:val="18"/>
                <w:szCs w:val="18"/>
                <w:vertAlign w:val="subscript"/>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w:t>
            </w:r>
            <w:proofErr w:type="spellStart"/>
            <w:r w:rsidRPr="00F13E57">
              <w:rPr>
                <w:color w:val="000000"/>
                <w:sz w:val="18"/>
                <w:szCs w:val="18"/>
                <w:lang w:val="en-US" w:eastAsia="zh-CN"/>
              </w:rPr>
              <w:t>a</w:t>
            </w:r>
            <w:r w:rsidRPr="00F13E57">
              <w:rPr>
                <w:color w:val="000000"/>
                <w:sz w:val="18"/>
                <w:szCs w:val="18"/>
                <w:vertAlign w:val="subscript"/>
                <w:lang w:val="en-US" w:eastAsia="zh-CN"/>
              </w:rPr>
              <w:t>urban</w:t>
            </w:r>
            <w:proofErr w:type="spellEnd"/>
            <w:r w:rsidRPr="00F13E57">
              <w:rPr>
                <w:color w:val="000000"/>
                <w:sz w:val="18"/>
                <w:szCs w:val="18"/>
                <w:lang w:val="en-US" w:eastAsia="zh-CN"/>
              </w:rPr>
              <w:t xml:space="preserve"> and </w:t>
            </w:r>
            <w:proofErr w:type="spellStart"/>
            <w:r w:rsidRPr="00F13E57">
              <w:rPr>
                <w:color w:val="000000"/>
                <w:sz w:val="18"/>
                <w:szCs w:val="18"/>
                <w:lang w:val="en-US" w:eastAsia="zh-CN"/>
              </w:rPr>
              <w:t>a</w:t>
            </w:r>
            <w:r w:rsidRPr="00F13E57">
              <w:rPr>
                <w:color w:val="000000"/>
                <w:sz w:val="18"/>
                <w:szCs w:val="18"/>
                <w:vertAlign w:val="subscript"/>
                <w:lang w:val="en-US" w:eastAsia="zh-CN"/>
              </w:rPr>
              <w:t>wot</w:t>
            </w:r>
            <w:proofErr w:type="gramStart"/>
            <w:r w:rsidRPr="00F13E57">
              <w:rPr>
                <w:color w:val="000000"/>
                <w:sz w:val="18"/>
                <w:szCs w:val="18"/>
                <w:vertAlign w:val="subscript"/>
                <w:lang w:val="en-US" w:eastAsia="zh-CN"/>
              </w:rPr>
              <w:t>,ref</w:t>
            </w:r>
            <w:proofErr w:type="spellEnd"/>
            <w:proofErr w:type="gramEnd"/>
            <w:r w:rsidRPr="00F13E57">
              <w:rPr>
                <w:color w:val="000000"/>
                <w:sz w:val="18"/>
                <w:szCs w:val="18"/>
                <w:vertAlign w:val="subscript"/>
                <w:lang w:val="en-US" w:eastAsia="zh-CN"/>
              </w:rPr>
              <w:t xml:space="preserve"> </w:t>
            </w:r>
            <w:r w:rsidRPr="00F13E57">
              <w:rPr>
                <w:color w:val="000000"/>
                <w:sz w:val="18"/>
                <w:szCs w:val="18"/>
                <w:lang w:val="en-US" w:eastAsia="zh-CN"/>
              </w:rPr>
              <w:t>, not exceeding 2.0 m/s².</w:t>
            </w:r>
          </w:p>
          <w:p w:rsidR="00E913D1" w:rsidRPr="00F13E57" w:rsidRDefault="00E913D1">
            <w:pPr>
              <w:tabs>
                <w:tab w:val="left" w:pos="497"/>
              </w:tabs>
              <w:suppressAutoHyphens w:val="0"/>
              <w:spacing w:before="120" w:line="240" w:lineRule="auto"/>
              <w:rPr>
                <w:color w:val="000000"/>
                <w:sz w:val="18"/>
                <w:szCs w:val="18"/>
                <w:lang w:val="en-US" w:eastAsia="zh-CN"/>
              </w:rPr>
            </w:pPr>
            <w:r w:rsidRPr="00F13E57">
              <w:rPr>
                <w:color w:val="000000"/>
                <w:sz w:val="18"/>
                <w:szCs w:val="18"/>
                <w:lang w:val="en-US" w:eastAsia="zh-CN"/>
              </w:rPr>
              <w:t>For ASEP</w:t>
            </w:r>
            <w:r w:rsidRPr="00F13E57">
              <w:rPr>
                <w:color w:val="000000"/>
                <w:sz w:val="18"/>
                <w:szCs w:val="18"/>
                <w:vertAlign w:val="superscript"/>
                <w:lang w:val="en-US" w:eastAsia="zh-CN"/>
              </w:rPr>
              <w:t>**</w:t>
            </w:r>
            <w:r w:rsidRPr="00F13E57">
              <w:rPr>
                <w:color w:val="000000"/>
                <w:sz w:val="18"/>
                <w:szCs w:val="18"/>
                <w:lang w:val="en-US" w:eastAsia="zh-CN"/>
              </w:rPr>
              <w:t>, the anchor point parameter are calculated by:</w:t>
            </w:r>
          </w:p>
          <w:p w:rsidR="00E913D1" w:rsidRPr="00F13E57" w:rsidRDefault="00E913D1">
            <w:pPr>
              <w:tabs>
                <w:tab w:val="left" w:pos="497"/>
              </w:tabs>
              <w:suppressAutoHyphens w:val="0"/>
              <w:spacing w:before="120" w:line="240" w:lineRule="auto"/>
              <w:rPr>
                <w:color w:val="000000"/>
                <w:sz w:val="18"/>
                <w:szCs w:val="18"/>
                <w:vertAlign w:val="subscript"/>
                <w:lang w:val="en-US" w:eastAsia="zh-CN"/>
              </w:rPr>
            </w:pPr>
            <w:proofErr w:type="spellStart"/>
            <w:r w:rsidRPr="00F13E57">
              <w:rPr>
                <w:color w:val="000000"/>
                <w:sz w:val="18"/>
                <w:szCs w:val="18"/>
                <w:lang w:val="en-US" w:eastAsia="zh-CN"/>
              </w:rPr>
              <w:t>L</w:t>
            </w:r>
            <w:r w:rsidRPr="00F13E57">
              <w:rPr>
                <w:color w:val="000000"/>
                <w:sz w:val="18"/>
                <w:szCs w:val="18"/>
                <w:vertAlign w:val="subscript"/>
                <w:lang w:val="en-US" w:eastAsia="zh-CN"/>
              </w:rPr>
              <w:t>anchor</w:t>
            </w:r>
            <w:proofErr w:type="spellEnd"/>
            <w:r w:rsidRPr="00F13E57">
              <w:rPr>
                <w:color w:val="000000"/>
                <w:sz w:val="18"/>
                <w:szCs w:val="18"/>
                <w:lang w:val="en-US" w:eastAsia="zh-CN"/>
              </w:rPr>
              <w:t xml:space="preserve"> = (</w:t>
            </w:r>
            <w:proofErr w:type="spellStart"/>
            <w:r w:rsidRPr="00F13E57">
              <w:rPr>
                <w:color w:val="000000"/>
                <w:sz w:val="18"/>
                <w:szCs w:val="18"/>
                <w:lang w:val="en-US" w:eastAsia="zh-CN"/>
              </w:rPr>
              <w:t>L</w:t>
            </w:r>
            <w:r w:rsidRPr="00F13E57">
              <w:rPr>
                <w:color w:val="000000"/>
                <w:sz w:val="18"/>
                <w:szCs w:val="18"/>
                <w:vertAlign w:val="subscript"/>
                <w:lang w:val="en-US" w:eastAsia="zh-CN"/>
              </w:rPr>
              <w:t>test</w:t>
            </w:r>
            <w:proofErr w:type="spellEnd"/>
            <w:r w:rsidRPr="00F13E57">
              <w:rPr>
                <w:color w:val="000000"/>
                <w:sz w:val="18"/>
                <w:szCs w:val="18"/>
                <w:lang w:val="en-US" w:eastAsia="zh-CN"/>
              </w:rPr>
              <w:t xml:space="preserve"> - </w:t>
            </w:r>
            <w:proofErr w:type="spellStart"/>
            <w:r w:rsidRPr="00F13E57">
              <w:rPr>
                <w:color w:val="000000"/>
                <w:sz w:val="18"/>
                <w:szCs w:val="18"/>
                <w:lang w:val="en-US" w:eastAsia="zh-CN"/>
              </w:rPr>
              <w:t>k</w:t>
            </w:r>
            <w:r w:rsidRPr="00F13E57">
              <w:rPr>
                <w:color w:val="000000"/>
                <w:sz w:val="18"/>
                <w:szCs w:val="18"/>
                <w:vertAlign w:val="subscript"/>
                <w:lang w:val="en-US" w:eastAsia="zh-CN"/>
              </w:rPr>
              <w:t>p</w:t>
            </w:r>
            <w:proofErr w:type="spellEnd"/>
            <w:r w:rsidRPr="00F13E57">
              <w:rPr>
                <w:color w:val="000000"/>
                <w:sz w:val="18"/>
                <w:szCs w:val="18"/>
                <w:lang w:val="en-US" w:eastAsia="zh-CN"/>
              </w:rPr>
              <w:t>*</w:t>
            </w:r>
            <w:proofErr w:type="spellStart"/>
            <w:r w:rsidRPr="00F13E57">
              <w:rPr>
                <w:color w:val="000000"/>
                <w:sz w:val="18"/>
                <w:szCs w:val="18"/>
                <w:lang w:val="en-US" w:eastAsia="zh-CN"/>
              </w:rPr>
              <w:t>L</w:t>
            </w:r>
            <w:r w:rsidRPr="00F13E57">
              <w:rPr>
                <w:color w:val="000000"/>
                <w:sz w:val="18"/>
                <w:szCs w:val="18"/>
                <w:vertAlign w:val="subscript"/>
                <w:lang w:val="en-US" w:eastAsia="zh-CN"/>
              </w:rPr>
              <w:t>crs</w:t>
            </w:r>
            <w:proofErr w:type="spellEnd"/>
            <w:r w:rsidRPr="00F13E57">
              <w:rPr>
                <w:color w:val="000000"/>
                <w:sz w:val="18"/>
                <w:szCs w:val="18"/>
                <w:lang w:val="en-US" w:eastAsia="zh-CN"/>
              </w:rPr>
              <w:t>) / (1-k</w:t>
            </w:r>
            <w:r w:rsidRPr="00F13E57">
              <w:rPr>
                <w:color w:val="000000"/>
                <w:sz w:val="18"/>
                <w:szCs w:val="18"/>
                <w:vertAlign w:val="subscript"/>
                <w:lang w:val="en-US" w:eastAsia="zh-CN"/>
              </w:rPr>
              <w:t>p</w:t>
            </w:r>
            <w:r w:rsidRPr="00F13E57">
              <w:rPr>
                <w:color w:val="000000"/>
                <w:sz w:val="18"/>
                <w:szCs w:val="18"/>
                <w:lang w:val="en-US" w:eastAsia="zh-CN"/>
              </w:rPr>
              <w:t>)</w:t>
            </w:r>
            <w:r w:rsidRPr="00F13E57">
              <w:rPr>
                <w:color w:val="000000"/>
                <w:sz w:val="18"/>
                <w:szCs w:val="18"/>
                <w:lang w:val="en-US" w:eastAsia="zh-CN"/>
              </w:rPr>
              <w:br/>
              <w:t xml:space="preserve">with </w:t>
            </w:r>
            <w:proofErr w:type="spellStart"/>
            <w:r w:rsidRPr="00F13E57">
              <w:rPr>
                <w:color w:val="000000"/>
                <w:sz w:val="18"/>
                <w:szCs w:val="18"/>
                <w:lang w:val="en-US" w:eastAsia="zh-CN"/>
              </w:rPr>
              <w:t>k</w:t>
            </w:r>
            <w:r w:rsidRPr="00F13E57">
              <w:rPr>
                <w:color w:val="000000"/>
                <w:sz w:val="18"/>
                <w:szCs w:val="18"/>
                <w:vertAlign w:val="subscript"/>
                <w:lang w:val="en-US" w:eastAsia="zh-CN"/>
              </w:rPr>
              <w:t>P</w:t>
            </w:r>
            <w:proofErr w:type="spellEnd"/>
            <w:r w:rsidRPr="00F13E57">
              <w:rPr>
                <w:color w:val="000000"/>
                <w:sz w:val="18"/>
                <w:szCs w:val="18"/>
                <w:lang w:val="en-US" w:eastAsia="zh-CN"/>
              </w:rPr>
              <w:t xml:space="preserve"> = 1-a</w:t>
            </w:r>
            <w:r w:rsidRPr="00F13E57">
              <w:rPr>
                <w:color w:val="000000"/>
                <w:sz w:val="18"/>
                <w:szCs w:val="18"/>
                <w:vertAlign w:val="subscript"/>
                <w:lang w:val="en-US" w:eastAsia="zh-CN"/>
              </w:rPr>
              <w:t>test</w:t>
            </w:r>
            <w:r w:rsidRPr="00F13E57">
              <w:rPr>
                <w:color w:val="000000"/>
                <w:sz w:val="18"/>
                <w:szCs w:val="18"/>
                <w:lang w:val="en-US" w:eastAsia="zh-CN"/>
              </w:rPr>
              <w:t>/</w:t>
            </w:r>
            <w:proofErr w:type="spellStart"/>
            <w:r w:rsidRPr="00F13E57">
              <w:rPr>
                <w:color w:val="000000"/>
                <w:sz w:val="18"/>
                <w:szCs w:val="18"/>
                <w:lang w:val="en-US" w:eastAsia="zh-CN"/>
              </w:rPr>
              <w:t>a</w:t>
            </w:r>
            <w:r w:rsidRPr="00F13E57">
              <w:rPr>
                <w:color w:val="000000"/>
                <w:sz w:val="18"/>
                <w:szCs w:val="18"/>
                <w:vertAlign w:val="subscript"/>
                <w:lang w:val="en-US" w:eastAsia="zh-CN"/>
              </w:rPr>
              <w:t>wot,ref</w:t>
            </w:r>
            <w:proofErr w:type="spellEnd"/>
            <w:r w:rsidRPr="00F13E57">
              <w:rPr>
                <w:color w:val="000000"/>
                <w:sz w:val="18"/>
                <w:szCs w:val="18"/>
                <w:vertAlign w:val="subscript"/>
                <w:lang w:val="en-US" w:eastAsia="zh-CN"/>
              </w:rPr>
              <w:t xml:space="preserve"> </w:t>
            </w:r>
            <w:r w:rsidRPr="00F13E57">
              <w:rPr>
                <w:color w:val="000000"/>
                <w:sz w:val="18"/>
                <w:szCs w:val="18"/>
                <w:vertAlign w:val="subscript"/>
                <w:lang w:val="en-US" w:eastAsia="zh-CN"/>
              </w:rPr>
              <w:br/>
            </w:r>
            <w:r w:rsidRPr="00F13E57">
              <w:rPr>
                <w:color w:val="000000"/>
                <w:sz w:val="18"/>
                <w:szCs w:val="18"/>
                <w:lang w:val="en-US" w:eastAsia="zh-CN"/>
              </w:rPr>
              <w:t xml:space="preserve">and </w:t>
            </w:r>
            <w:proofErr w:type="spellStart"/>
            <w:r w:rsidRPr="00F13E57">
              <w:rPr>
                <w:color w:val="000000"/>
                <w:sz w:val="18"/>
                <w:szCs w:val="18"/>
                <w:lang w:val="en-US" w:eastAsia="zh-CN"/>
              </w:rPr>
              <w:t>a</w:t>
            </w:r>
            <w:r w:rsidRPr="00F13E57">
              <w:rPr>
                <w:color w:val="000000"/>
                <w:sz w:val="18"/>
                <w:szCs w:val="18"/>
                <w:vertAlign w:val="subscript"/>
                <w:lang w:val="en-US" w:eastAsia="zh-CN"/>
              </w:rPr>
              <w:t>wot,ref</w:t>
            </w:r>
            <w:proofErr w:type="spellEnd"/>
            <w:r w:rsidRPr="00F13E57">
              <w:rPr>
                <w:color w:val="000000"/>
                <w:sz w:val="18"/>
                <w:szCs w:val="18"/>
                <w:lang w:val="en-US" w:eastAsia="zh-CN"/>
              </w:rPr>
              <w:t xml:space="preserve"> according to 3.1.2.1.2.4. but not higher than 2.0 m/s²</w:t>
            </w:r>
          </w:p>
          <w:p w:rsidR="00E913D1" w:rsidRPr="00F13E57" w:rsidRDefault="00E913D1">
            <w:pPr>
              <w:tabs>
                <w:tab w:val="left" w:pos="497"/>
              </w:tabs>
              <w:suppressAutoHyphens w:val="0"/>
              <w:spacing w:before="120" w:after="120" w:line="240" w:lineRule="auto"/>
              <w:rPr>
                <w:color w:val="000000"/>
                <w:sz w:val="18"/>
                <w:szCs w:val="18"/>
                <w:lang w:val="en-US" w:eastAsia="zh-CN"/>
              </w:rPr>
            </w:pPr>
            <w:proofErr w:type="spellStart"/>
            <w:r w:rsidRPr="00F13E57">
              <w:rPr>
                <w:color w:val="000000"/>
                <w:sz w:val="18"/>
                <w:szCs w:val="18"/>
                <w:lang w:val="en-US" w:eastAsia="zh-CN"/>
              </w:rPr>
              <w:t>n</w:t>
            </w:r>
            <w:r w:rsidRPr="00F13E57">
              <w:rPr>
                <w:color w:val="000000"/>
                <w:sz w:val="18"/>
                <w:szCs w:val="18"/>
                <w:vertAlign w:val="subscript"/>
                <w:lang w:val="en-US" w:eastAsia="zh-CN"/>
              </w:rPr>
              <w:t>anchor</w:t>
            </w:r>
            <w:proofErr w:type="spellEnd"/>
            <w:r w:rsidRPr="00F13E57">
              <w:rPr>
                <w:color w:val="000000"/>
                <w:sz w:val="18"/>
                <w:szCs w:val="18"/>
                <w:vertAlign w:val="subscript"/>
                <w:lang w:val="en-US" w:eastAsia="zh-CN"/>
              </w:rPr>
              <w:t xml:space="preserve"> </w:t>
            </w:r>
            <w:r w:rsidRPr="00F13E57">
              <w:rPr>
                <w:color w:val="000000"/>
                <w:sz w:val="18"/>
                <w:szCs w:val="18"/>
                <w:lang w:val="en-US" w:eastAsia="zh-CN"/>
              </w:rPr>
              <w:t xml:space="preserve">= </w:t>
            </w:r>
            <w:proofErr w:type="spellStart"/>
            <w:r w:rsidRPr="00F13E57">
              <w:rPr>
                <w:color w:val="000000"/>
                <w:sz w:val="18"/>
                <w:szCs w:val="18"/>
                <w:lang w:val="en-US" w:eastAsia="zh-CN"/>
              </w:rPr>
              <w:t>n</w:t>
            </w:r>
            <w:r w:rsidRPr="00F13E57">
              <w:rPr>
                <w:color w:val="000000"/>
                <w:sz w:val="18"/>
                <w:szCs w:val="18"/>
                <w:vertAlign w:val="subscript"/>
                <w:lang w:val="en-US" w:eastAsia="zh-CN"/>
              </w:rPr>
              <w:t>bb,test</w:t>
            </w:r>
            <w:proofErr w:type="spellEnd"/>
            <w:r w:rsidRPr="00F13E57">
              <w:rPr>
                <w:color w:val="000000"/>
                <w:sz w:val="18"/>
                <w:szCs w:val="18"/>
                <w:lang w:val="en-US" w:eastAsia="zh-CN"/>
              </w:rPr>
              <w:t xml:space="preserve"> * 3.6 </w:t>
            </w:r>
            <w:r w:rsidRPr="00F13E57">
              <w:rPr>
                <w:color w:val="000000"/>
                <w:sz w:val="18"/>
                <w:szCs w:val="18"/>
                <w:vertAlign w:val="subscript"/>
                <w:lang w:val="en-US" w:eastAsia="zh-CN"/>
              </w:rPr>
              <w:t xml:space="preserve"> </w:t>
            </w:r>
            <w:r w:rsidRPr="00F13E57">
              <w:rPr>
                <w:color w:val="000000"/>
                <w:sz w:val="18"/>
                <w:szCs w:val="18"/>
                <w:lang w:val="en-US" w:eastAsia="zh-CN"/>
              </w:rPr>
              <w:t xml:space="preserve">/ </w:t>
            </w:r>
            <w:proofErr w:type="spellStart"/>
            <w:r w:rsidRPr="00F13E57">
              <w:rPr>
                <w:color w:val="000000"/>
                <w:sz w:val="18"/>
                <w:szCs w:val="18"/>
                <w:lang w:val="en-US" w:eastAsia="zh-CN"/>
              </w:rPr>
              <w:t>v</w:t>
            </w:r>
            <w:r w:rsidRPr="00F13E57">
              <w:rPr>
                <w:color w:val="000000"/>
                <w:sz w:val="18"/>
                <w:szCs w:val="18"/>
                <w:vertAlign w:val="subscript"/>
                <w:lang w:val="en-US" w:eastAsia="zh-CN"/>
              </w:rPr>
              <w:t>bb,test</w:t>
            </w:r>
            <w:proofErr w:type="spellEnd"/>
            <w:r w:rsidRPr="00F13E57">
              <w:rPr>
                <w:color w:val="000000"/>
                <w:sz w:val="18"/>
                <w:szCs w:val="18"/>
                <w:vertAlign w:val="subscript"/>
                <w:lang w:val="en-US" w:eastAsia="zh-CN"/>
              </w:rPr>
              <w:t xml:space="preserve"> </w:t>
            </w:r>
            <w:r w:rsidRPr="00F13E57">
              <w:rPr>
                <w:color w:val="000000"/>
                <w:sz w:val="18"/>
                <w:szCs w:val="18"/>
                <w:lang w:val="en-US" w:eastAsia="zh-CN"/>
              </w:rPr>
              <w:t>* (</w:t>
            </w:r>
            <w:proofErr w:type="spellStart"/>
            <w:r w:rsidRPr="00F13E57">
              <w:rPr>
                <w:color w:val="000000"/>
                <w:sz w:val="18"/>
                <w:szCs w:val="18"/>
                <w:lang w:val="en-US" w:eastAsia="zh-CN"/>
              </w:rPr>
              <w:t>a</w:t>
            </w:r>
            <w:r w:rsidRPr="00F13E57">
              <w:rPr>
                <w:color w:val="000000"/>
                <w:sz w:val="18"/>
                <w:szCs w:val="18"/>
                <w:vertAlign w:val="subscript"/>
                <w:lang w:val="en-US" w:eastAsia="zh-CN"/>
              </w:rPr>
              <w:t>test</w:t>
            </w:r>
            <w:proofErr w:type="spellEnd"/>
            <w:r w:rsidRPr="00F13E57">
              <w:rPr>
                <w:color w:val="000000"/>
                <w:sz w:val="18"/>
                <w:szCs w:val="18"/>
                <w:lang w:val="en-US" w:eastAsia="zh-CN"/>
              </w:rPr>
              <w:t>*(20+2*</w:t>
            </w:r>
            <w:proofErr w:type="spellStart"/>
            <w:r w:rsidRPr="00F13E57">
              <w:rPr>
                <w:color w:val="000000"/>
                <w:sz w:val="18"/>
                <w:szCs w:val="18"/>
                <w:lang w:val="en-US" w:eastAsia="zh-CN"/>
              </w:rPr>
              <w:t>l</w:t>
            </w:r>
            <w:r w:rsidRPr="00F13E57">
              <w:rPr>
                <w:color w:val="000000"/>
                <w:sz w:val="18"/>
                <w:szCs w:val="18"/>
                <w:vertAlign w:val="subscript"/>
                <w:lang w:val="en-US" w:eastAsia="zh-CN"/>
              </w:rPr>
              <w:t>veh</w:t>
            </w:r>
            <w:proofErr w:type="spellEnd"/>
            <w:r w:rsidRPr="00F13E57">
              <w:rPr>
                <w:color w:val="000000"/>
                <w:sz w:val="18"/>
                <w:szCs w:val="18"/>
                <w:lang w:val="en-US" w:eastAsia="zh-CN"/>
              </w:rPr>
              <w:t>)+192,9)</w:t>
            </w:r>
            <w:r w:rsidRPr="00F13E57">
              <w:rPr>
                <w:color w:val="000000"/>
                <w:sz w:val="18"/>
                <w:szCs w:val="18"/>
                <w:vertAlign w:val="superscript"/>
                <w:lang w:val="en-US" w:eastAsia="zh-CN"/>
              </w:rPr>
              <w:t>0,5</w:t>
            </w:r>
          </w:p>
        </w:tc>
      </w:tr>
      <w:tr w:rsidR="00E913D1" w:rsidRPr="00F349C9" w:rsidTr="0057001E">
        <w:trPr>
          <w:trHeight w:val="848"/>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E913D1" w:rsidRPr="00F349C9" w:rsidRDefault="00E913D1">
            <w:pPr>
              <w:suppressAutoHyphens w:val="0"/>
              <w:spacing w:line="240" w:lineRule="auto"/>
              <w:rPr>
                <w:b/>
                <w:bCs/>
                <w:color w:val="000000"/>
                <w:sz w:val="16"/>
                <w:szCs w:val="22"/>
                <w:lang w:val="en-US"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13D1" w:rsidRPr="00F349C9" w:rsidRDefault="00E913D1">
            <w:pPr>
              <w:suppressAutoHyphens w:val="0"/>
              <w:spacing w:line="240" w:lineRule="auto"/>
              <w:rPr>
                <w:b/>
                <w:bCs/>
                <w:color w:val="000000"/>
                <w:sz w:val="16"/>
                <w:szCs w:val="22"/>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Cs/>
                <w:color w:val="000000"/>
                <w:sz w:val="16"/>
                <w:szCs w:val="22"/>
                <w:lang w:val="en-US" w:eastAsia="zh-CN"/>
              </w:rPr>
            </w:pPr>
            <w:r w:rsidRPr="00ED68B2">
              <w:rPr>
                <w:bCs/>
                <w:color w:val="000000"/>
                <w:sz w:val="16"/>
                <w:szCs w:val="22"/>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External Programming for partial load acceleration</w:t>
            </w:r>
            <w:r w:rsidRPr="00F13E57">
              <w:rPr>
                <w:color w:val="000000"/>
                <w:sz w:val="18"/>
                <w:szCs w:val="18"/>
                <w:vertAlign w:val="superscript"/>
                <w:lang w:val="en-US" w:eastAsia="zh-CN"/>
              </w:rPr>
              <w:t>***)</w:t>
            </w:r>
          </w:p>
        </w:tc>
        <w:tc>
          <w:tcPr>
            <w:tcW w:w="2693" w:type="dxa"/>
            <w:vMerge/>
            <w:tcBorders>
              <w:top w:val="nil"/>
              <w:left w:val="single" w:sz="4" w:space="0" w:color="auto"/>
              <w:bottom w:val="single" w:sz="4" w:space="0" w:color="auto"/>
              <w:right w:val="single" w:sz="4" w:space="0" w:color="auto"/>
            </w:tcBorders>
            <w:vAlign w:val="center"/>
            <w:hideMark/>
          </w:tcPr>
          <w:p w:rsidR="00E913D1" w:rsidRPr="00F349C9" w:rsidRDefault="00E913D1">
            <w:pPr>
              <w:suppressAutoHyphens w:val="0"/>
              <w:spacing w:line="240" w:lineRule="auto"/>
              <w:rPr>
                <w:color w:val="000000"/>
                <w:sz w:val="16"/>
                <w:szCs w:val="22"/>
                <w:lang w:val="en-US" w:eastAsia="zh-CN"/>
              </w:rPr>
            </w:pPr>
          </w:p>
        </w:tc>
      </w:tr>
      <w:tr w:rsidR="00E913D1" w:rsidRPr="00F349C9" w:rsidTr="0057001E">
        <w:trPr>
          <w:trHeight w:val="519"/>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bCs/>
                <w:color w:val="000000"/>
                <w:sz w:val="18"/>
                <w:szCs w:val="18"/>
                <w:lang w:val="en-US" w:eastAsia="zh-CN"/>
              </w:rPr>
              <w:t>Mix Solution (Mode)</w:t>
            </w:r>
            <w:r w:rsidR="00A162F3">
              <w:rPr>
                <w:bCs/>
                <w:color w:val="000000"/>
                <w:sz w:val="18"/>
                <w:szCs w:val="18"/>
                <w:lang w:val="en-US" w:eastAsia="zh-CN"/>
              </w:rPr>
              <w:t>:</w:t>
            </w:r>
            <w:r w:rsidRPr="00F13E57">
              <w:rPr>
                <w:color w:val="000000"/>
                <w:sz w:val="18"/>
                <w:szCs w:val="18"/>
                <w:lang w:val="en-US"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Mode is onboard available and can be selected by the driver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after="120" w:line="240" w:lineRule="auto"/>
              <w:rPr>
                <w:color w:val="000000"/>
                <w:sz w:val="18"/>
                <w:szCs w:val="18"/>
                <w:lang w:val="en-US" w:eastAsia="zh-CN"/>
              </w:rPr>
            </w:pPr>
            <w:r w:rsidRPr="00F13E57">
              <w:rPr>
                <w:color w:val="000000"/>
                <w:sz w:val="18"/>
                <w:szCs w:val="18"/>
                <w:lang w:val="en-US" w:eastAsia="zh-CN"/>
              </w:rPr>
              <w:t>none</w:t>
            </w:r>
          </w:p>
        </w:tc>
      </w:tr>
      <w:tr w:rsidR="00E913D1" w:rsidRPr="00F349C9" w:rsidTr="0057001E">
        <w:trPr>
          <w:trHeight w:val="834"/>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b/>
                <w:bCs/>
                <w:color w:val="000000"/>
                <w:sz w:val="18"/>
                <w:szCs w:val="18"/>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Mode is onboard available and can only be activated by the manufacturer with a hidden function or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349C9" w:rsidTr="0057001E">
        <w:trPr>
          <w:trHeight w:val="852"/>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b/>
                <w:bCs/>
                <w:color w:val="000000"/>
                <w:sz w:val="18"/>
                <w:szCs w:val="18"/>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color w:val="000000"/>
                <w:sz w:val="18"/>
                <w:szCs w:val="18"/>
                <w:lang w:val="en-US"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Mode is not onboard available, an external software overrides the internal software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rPr>
                <w:color w:val="000000"/>
                <w:sz w:val="18"/>
                <w:szCs w:val="18"/>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w:t>
            </w:r>
            <w:proofErr w:type="spellStart"/>
            <w:r w:rsidRPr="00F13E57">
              <w:rPr>
                <w:color w:val="000000"/>
                <w:sz w:val="18"/>
                <w:szCs w:val="18"/>
                <w:lang w:val="en-US" w:eastAsia="zh-CN"/>
              </w:rPr>
              <w:t>a</w:t>
            </w:r>
            <w:r w:rsidRPr="00F13E57">
              <w:rPr>
                <w:color w:val="000000"/>
                <w:sz w:val="18"/>
                <w:szCs w:val="18"/>
                <w:vertAlign w:val="subscript"/>
                <w:lang w:val="en-US" w:eastAsia="zh-CN"/>
              </w:rPr>
              <w:t>urban</w:t>
            </w:r>
            <w:proofErr w:type="spellEnd"/>
            <w:r w:rsidRPr="00F13E57">
              <w:rPr>
                <w:color w:val="000000"/>
                <w:sz w:val="18"/>
                <w:szCs w:val="18"/>
                <w:lang w:val="en-US" w:eastAsia="zh-CN"/>
              </w:rPr>
              <w:t xml:space="preserve"> and </w:t>
            </w:r>
            <w:proofErr w:type="spellStart"/>
            <w:r w:rsidRPr="00F13E57">
              <w:rPr>
                <w:color w:val="000000"/>
                <w:sz w:val="18"/>
                <w:szCs w:val="18"/>
                <w:lang w:val="en-US" w:eastAsia="zh-CN"/>
              </w:rPr>
              <w:t>a</w:t>
            </w:r>
            <w:r w:rsidRPr="00F13E57">
              <w:rPr>
                <w:color w:val="000000"/>
                <w:sz w:val="18"/>
                <w:szCs w:val="18"/>
                <w:vertAlign w:val="subscript"/>
                <w:lang w:val="en-US" w:eastAsia="zh-CN"/>
              </w:rPr>
              <w:t>wot,ref</w:t>
            </w:r>
            <w:proofErr w:type="spellEnd"/>
            <w:r w:rsidRPr="00F13E57">
              <w:rPr>
                <w:color w:val="000000"/>
                <w:sz w:val="18"/>
                <w:szCs w:val="18"/>
                <w:lang w:val="en-US" w:eastAsia="zh-CN"/>
              </w:rPr>
              <w:t>, not exceeding 2.0 m/s².</w:t>
            </w:r>
          </w:p>
        </w:tc>
      </w:tr>
    </w:tbl>
    <w:p w:rsidR="00E913D1" w:rsidRPr="00F13E57" w:rsidRDefault="00E913D1" w:rsidP="00F13E57">
      <w:pPr>
        <w:pStyle w:val="SingleTxtG"/>
        <w:tabs>
          <w:tab w:val="left" w:pos="1560"/>
        </w:tabs>
        <w:ind w:left="1559" w:hanging="425"/>
        <w:rPr>
          <w:sz w:val="18"/>
          <w:szCs w:val="18"/>
          <w:lang w:val="en-US"/>
        </w:rPr>
      </w:pPr>
      <w:r w:rsidRPr="00F13E57">
        <w:rPr>
          <w:sz w:val="18"/>
          <w:szCs w:val="18"/>
          <w:lang w:val="en-US"/>
        </w:rPr>
        <w:t>*</w:t>
      </w:r>
      <w:r w:rsidRPr="00F13E57">
        <w:rPr>
          <w:sz w:val="18"/>
          <w:szCs w:val="18"/>
          <w:lang w:val="en-US"/>
        </w:rPr>
        <w:tab/>
        <w:t>Comment: This is a standard situation, already covered by the Regulation text.</w:t>
      </w:r>
    </w:p>
    <w:p w:rsidR="00E913D1" w:rsidRPr="00F13E57" w:rsidRDefault="00E913D1" w:rsidP="00F13E57">
      <w:pPr>
        <w:pStyle w:val="SingleTxtG"/>
        <w:tabs>
          <w:tab w:val="left" w:pos="1560"/>
        </w:tabs>
        <w:ind w:left="1560" w:hanging="426"/>
        <w:rPr>
          <w:sz w:val="18"/>
          <w:szCs w:val="18"/>
          <w:lang w:val="en-US"/>
        </w:rPr>
      </w:pPr>
      <w:r w:rsidRPr="00F13E57">
        <w:rPr>
          <w:sz w:val="18"/>
          <w:szCs w:val="18"/>
          <w:lang w:val="en-US"/>
        </w:rPr>
        <w:t xml:space="preserve">** </w:t>
      </w:r>
      <w:r w:rsidRPr="00F13E57">
        <w:rPr>
          <w:sz w:val="18"/>
          <w:szCs w:val="18"/>
          <w:lang w:val="en-US"/>
        </w:rPr>
        <w:tab/>
        <w:t>Applicable to vehicles of category M</w:t>
      </w:r>
      <w:r w:rsidRPr="00F13E57">
        <w:rPr>
          <w:sz w:val="18"/>
          <w:szCs w:val="18"/>
          <w:vertAlign w:val="subscript"/>
          <w:lang w:val="en-US"/>
        </w:rPr>
        <w:t>1</w:t>
      </w:r>
      <w:r w:rsidRPr="00F13E57">
        <w:rPr>
          <w:sz w:val="18"/>
          <w:szCs w:val="18"/>
          <w:lang w:val="en-US"/>
        </w:rPr>
        <w:t>, N</w:t>
      </w:r>
      <w:r w:rsidRPr="00F13E57">
        <w:rPr>
          <w:sz w:val="18"/>
          <w:szCs w:val="18"/>
          <w:vertAlign w:val="subscript"/>
          <w:lang w:val="en-US"/>
        </w:rPr>
        <w:t>1</w:t>
      </w:r>
      <w:r w:rsidRPr="00F13E57">
        <w:rPr>
          <w:sz w:val="18"/>
          <w:szCs w:val="18"/>
          <w:lang w:val="en-US"/>
        </w:rPr>
        <w:t xml:space="preserve"> and M</w:t>
      </w:r>
      <w:r w:rsidRPr="00F13E57">
        <w:rPr>
          <w:sz w:val="18"/>
          <w:szCs w:val="18"/>
          <w:vertAlign w:val="subscript"/>
          <w:lang w:val="en-US"/>
        </w:rPr>
        <w:t>2</w:t>
      </w:r>
      <w:r w:rsidRPr="00F13E57">
        <w:rPr>
          <w:sz w:val="18"/>
          <w:szCs w:val="18"/>
          <w:lang w:val="en-US"/>
        </w:rPr>
        <w:t xml:space="preserve"> ≤ 3.500 kg. The calculation under “additional requirements” shall be done for each side of the vehicle separately according to Annex 3, paragraph 3.1.3. The higher final result shall be used for further processing.</w:t>
      </w:r>
    </w:p>
    <w:p w:rsidR="007F19F0" w:rsidRPr="00D073A2" w:rsidRDefault="00E913D1" w:rsidP="00E913D1">
      <w:pPr>
        <w:pStyle w:val="SingleTxtG"/>
        <w:tabs>
          <w:tab w:val="left" w:pos="1560"/>
        </w:tabs>
        <w:ind w:left="1560" w:hanging="426"/>
        <w:rPr>
          <w:lang w:val="en-US"/>
        </w:rPr>
      </w:pPr>
      <w:r w:rsidRPr="00F13E57">
        <w:rPr>
          <w:sz w:val="18"/>
          <w:szCs w:val="18"/>
          <w:lang w:val="en-US"/>
        </w:rPr>
        <w:t xml:space="preserve">*** </w:t>
      </w:r>
      <w:r w:rsidRPr="00F13E57">
        <w:rPr>
          <w:sz w:val="18"/>
          <w:szCs w:val="18"/>
          <w:lang w:val="en-US"/>
        </w:rPr>
        <w:tab/>
        <w:t>Partial load shall be achieved by simulation of the travel restriction of the accelerator. It is not allowed to interfere with the engine control management.</w:t>
      </w:r>
      <w:r w:rsidR="007F19F0" w:rsidRPr="00F13E57">
        <w:rPr>
          <w:sz w:val="18"/>
          <w:szCs w:val="18"/>
          <w:lang w:val="en-US"/>
        </w:rPr>
        <w:t>”</w:t>
      </w:r>
    </w:p>
    <w:p w:rsidR="00843286" w:rsidRPr="009A03A7" w:rsidRDefault="00843286" w:rsidP="00843286">
      <w:pPr>
        <w:pStyle w:val="SingleTxtG"/>
        <w:rPr>
          <w:lang w:val="en-US"/>
        </w:rPr>
      </w:pPr>
      <w:r>
        <w:rPr>
          <w:i/>
          <w:lang w:val="en-US"/>
        </w:rPr>
        <w:t>Annex 7</w:t>
      </w:r>
      <w:r w:rsidRPr="009A03A7">
        <w:rPr>
          <w:i/>
          <w:lang w:val="en-US"/>
        </w:rPr>
        <w:t xml:space="preserve">, paragraph </w:t>
      </w:r>
      <w:r>
        <w:rPr>
          <w:i/>
          <w:lang w:val="en-US"/>
        </w:rPr>
        <w:t>2.5.1</w:t>
      </w:r>
      <w:r w:rsidRPr="009A03A7">
        <w:rPr>
          <w:i/>
          <w:lang w:val="en-US"/>
        </w:rPr>
        <w:t xml:space="preserve">., </w:t>
      </w:r>
      <w:r w:rsidRPr="009A03A7">
        <w:rPr>
          <w:lang w:val="en-US"/>
        </w:rPr>
        <w:t>amend to read:</w:t>
      </w:r>
    </w:p>
    <w:p w:rsidR="00843286" w:rsidRPr="00594616" w:rsidRDefault="00843286" w:rsidP="00843286">
      <w:pPr>
        <w:pStyle w:val="SingleTxtG"/>
        <w:ind w:left="2268" w:hanging="1134"/>
        <w:rPr>
          <w:lang w:val="en-US"/>
        </w:rPr>
      </w:pPr>
      <w:r w:rsidRPr="00594616">
        <w:rPr>
          <w:lang w:val="en-US"/>
        </w:rPr>
        <w:t xml:space="preserve">“2.5.1. </w:t>
      </w:r>
      <w:r w:rsidRPr="00594616">
        <w:rPr>
          <w:lang w:val="en-US"/>
        </w:rPr>
        <w:tab/>
        <w:t>…</w:t>
      </w:r>
    </w:p>
    <w:p w:rsidR="00843286" w:rsidRDefault="00843286" w:rsidP="00843286">
      <w:pPr>
        <w:pStyle w:val="SingleTxtG"/>
        <w:ind w:left="2268"/>
        <w:rPr>
          <w:lang w:val="en-US"/>
        </w:rPr>
      </w:pPr>
      <w:r w:rsidRPr="005B3371">
        <w:rPr>
          <w:lang w:val="en-US"/>
        </w:rPr>
        <w:t>In case of non-locked transmission conditions, the test may include a gear ratio change to a lower range and a higher acceleration. A gear change to a higher range and a lower acceleration is not allowed.</w:t>
      </w:r>
    </w:p>
    <w:p w:rsidR="00843286" w:rsidRPr="005B3371" w:rsidRDefault="00843286" w:rsidP="00843286">
      <w:pPr>
        <w:pStyle w:val="SingleTxtG"/>
        <w:ind w:left="2268"/>
        <w:rPr>
          <w:lang w:val="en-US"/>
        </w:rPr>
      </w:pPr>
      <w:r w:rsidRPr="005B3371">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843286" w:rsidRPr="009A03A7" w:rsidRDefault="00843286" w:rsidP="00843286">
      <w:pPr>
        <w:spacing w:after="120"/>
        <w:ind w:left="2268" w:right="1134"/>
        <w:jc w:val="both"/>
        <w:rPr>
          <w:b/>
          <w:lang w:val="en-US"/>
        </w:rPr>
      </w:pPr>
      <w:r w:rsidRPr="009A03A7">
        <w:rPr>
          <w:b/>
          <w:lang w:val="en-US"/>
        </w:rPr>
        <w:t>Table 1 in Appendix to Annex 3 provides examples for valid measures to control the downshift of gears. Any measure used by manufacturer for above mentioned purpose shall be documented in the test report.</w:t>
      </w:r>
      <w:r>
        <w:rPr>
          <w:b/>
          <w:lang w:val="en-US"/>
        </w:rPr>
        <w:t>”</w:t>
      </w:r>
    </w:p>
    <w:p w:rsidR="007F19F0" w:rsidRPr="009A03A7" w:rsidRDefault="00ED68B2" w:rsidP="00ED68B2">
      <w:pPr>
        <w:pStyle w:val="HChG"/>
        <w:rPr>
          <w:lang w:val="en-US"/>
        </w:rPr>
      </w:pPr>
      <w:r>
        <w:rPr>
          <w:lang w:val="en-US"/>
        </w:rPr>
        <w:tab/>
      </w:r>
      <w:r w:rsidR="007F19F0" w:rsidRPr="009A03A7">
        <w:rPr>
          <w:lang w:val="en-US"/>
        </w:rPr>
        <w:t>II.</w:t>
      </w:r>
      <w:r>
        <w:rPr>
          <w:lang w:val="en-US"/>
        </w:rPr>
        <w:tab/>
      </w:r>
      <w:r w:rsidR="007F19F0" w:rsidRPr="009A03A7">
        <w:rPr>
          <w:lang w:val="en-US"/>
        </w:rPr>
        <w:t>Justification</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Th</w:t>
      </w:r>
      <w:r w:rsidR="00B80AE7">
        <w:rPr>
          <w:sz w:val="20"/>
          <w:szCs w:val="20"/>
          <w:lang w:val="en-US"/>
        </w:rPr>
        <w:t xml:space="preserve">e </w:t>
      </w:r>
      <w:r w:rsidRPr="007F19F0">
        <w:rPr>
          <w:sz w:val="20"/>
          <w:szCs w:val="20"/>
          <w:lang w:val="en-US"/>
        </w:rPr>
        <w:t>Regulation specifies at several places that</w:t>
      </w:r>
      <w:r w:rsidR="00B80AE7">
        <w:rPr>
          <w:sz w:val="20"/>
          <w:szCs w:val="20"/>
          <w:lang w:val="en-US"/>
        </w:rPr>
        <w:t xml:space="preserve"> the</w:t>
      </w:r>
      <w:r w:rsidRPr="007F19F0">
        <w:rPr>
          <w:sz w:val="20"/>
          <w:szCs w:val="20"/>
          <w:lang w:val="en-US"/>
        </w:rPr>
        <w:t xml:space="preserve"> manufacturer can either use mechanical or electronic devices to control the gear shift, or take measures to avoid accelerations greater than 2.0 m/s². </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However, th</w:t>
      </w:r>
      <w:r w:rsidR="00896313">
        <w:rPr>
          <w:sz w:val="20"/>
          <w:szCs w:val="20"/>
          <w:lang w:val="en-US"/>
        </w:rPr>
        <w:t>o</w:t>
      </w:r>
      <w:r w:rsidR="00B80AE7">
        <w:rPr>
          <w:sz w:val="20"/>
          <w:szCs w:val="20"/>
          <w:lang w:val="en-US"/>
        </w:rPr>
        <w:t>se</w:t>
      </w:r>
      <w:r w:rsidRPr="007F19F0">
        <w:rPr>
          <w:sz w:val="20"/>
          <w:szCs w:val="20"/>
          <w:lang w:val="en-US"/>
        </w:rPr>
        <w:t xml:space="preserve"> measures are neither defined nor is the manufacturer or technical service obliged to </w:t>
      </w:r>
      <w:r w:rsidR="00B80AE7">
        <w:rPr>
          <w:sz w:val="20"/>
          <w:szCs w:val="20"/>
          <w:lang w:val="en-US"/>
        </w:rPr>
        <w:t xml:space="preserve">provide </w:t>
      </w:r>
      <w:r w:rsidRPr="007F19F0">
        <w:rPr>
          <w:sz w:val="20"/>
          <w:szCs w:val="20"/>
          <w:lang w:val="en-US"/>
        </w:rPr>
        <w:t>documentation in the test report.</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The proposed amendments introduce a table with examples for devices and measures</w:t>
      </w:r>
      <w:r w:rsidR="00896313">
        <w:rPr>
          <w:sz w:val="20"/>
          <w:szCs w:val="20"/>
          <w:lang w:val="en-US"/>
        </w:rPr>
        <w:t>, with the aim</w:t>
      </w:r>
      <w:r w:rsidRPr="007F19F0">
        <w:rPr>
          <w:sz w:val="20"/>
          <w:szCs w:val="20"/>
          <w:lang w:val="en-US"/>
        </w:rPr>
        <w:t xml:space="preserve"> </w:t>
      </w:r>
      <w:r w:rsidR="00896313">
        <w:rPr>
          <w:sz w:val="20"/>
          <w:szCs w:val="20"/>
          <w:lang w:val="en-US"/>
        </w:rPr>
        <w:t>to help the</w:t>
      </w:r>
      <w:r w:rsidRPr="007F19F0">
        <w:rPr>
          <w:sz w:val="20"/>
          <w:szCs w:val="20"/>
          <w:lang w:val="en-US"/>
        </w:rPr>
        <w:t xml:space="preserve"> manufacturer and</w:t>
      </w:r>
      <w:r w:rsidR="00896313">
        <w:rPr>
          <w:sz w:val="20"/>
          <w:szCs w:val="20"/>
          <w:lang w:val="en-US"/>
        </w:rPr>
        <w:t xml:space="preserve"> to provide </w:t>
      </w:r>
      <w:r w:rsidR="00896313" w:rsidRPr="007F19F0">
        <w:rPr>
          <w:sz w:val="20"/>
          <w:szCs w:val="20"/>
          <w:lang w:val="en-US"/>
        </w:rPr>
        <w:t>guidance</w:t>
      </w:r>
      <w:r w:rsidR="00896313">
        <w:rPr>
          <w:sz w:val="20"/>
          <w:szCs w:val="20"/>
          <w:lang w:val="en-US"/>
        </w:rPr>
        <w:t xml:space="preserve"> to the</w:t>
      </w:r>
      <w:r w:rsidRPr="007F19F0">
        <w:rPr>
          <w:sz w:val="20"/>
          <w:szCs w:val="20"/>
          <w:lang w:val="en-US"/>
        </w:rPr>
        <w:t xml:space="preserve"> technical service. In addition, for these devices and measures the documentation is now mandatory.</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This will add transparency to the type approval process.</w:t>
      </w:r>
    </w:p>
    <w:p w:rsidR="007F19F0" w:rsidRPr="007F19F0" w:rsidRDefault="007F19F0" w:rsidP="007F19F0">
      <w:pPr>
        <w:pStyle w:val="para"/>
        <w:spacing w:before="240" w:after="0"/>
        <w:ind w:left="1134" w:firstLine="0"/>
        <w:jc w:val="center"/>
      </w:pPr>
      <w:r w:rsidRPr="007F19F0">
        <w:rPr>
          <w:lang w:val="en-US"/>
        </w:rPr>
        <w:t>____________</w:t>
      </w:r>
    </w:p>
    <w:p w:rsidR="00C31258" w:rsidRPr="000D0516" w:rsidRDefault="00C31258" w:rsidP="00C31258">
      <w:pPr>
        <w:spacing w:before="240"/>
        <w:ind w:left="1134" w:right="1134"/>
        <w:jc w:val="center"/>
        <w:rPr>
          <w:u w:val="single"/>
        </w:rPr>
      </w:pPr>
    </w:p>
    <w:sectPr w:rsidR="00C31258" w:rsidRPr="000D0516"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91" w:rsidRDefault="004E4C91"/>
  </w:endnote>
  <w:endnote w:type="continuationSeparator" w:id="0">
    <w:p w:rsidR="004E4C91" w:rsidRDefault="004E4C91"/>
  </w:endnote>
  <w:endnote w:type="continuationNotice" w:id="1">
    <w:p w:rsidR="004E4C91" w:rsidRDefault="004E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44CCE">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44CC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46" w:rsidRDefault="00010146" w:rsidP="00010146">
    <w:pPr>
      <w:pStyle w:val="Footer"/>
    </w:pPr>
    <w:r>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2" name="Picture 1" descr="https://undocs.org/m2/QRCode.ashx?DS=ECE/TRANS/WP.29/GRB/201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simplePos x="0" y="0"/>
          <wp:positionH relativeFrom="margin">
            <wp:posOffset>4409440</wp:posOffset>
          </wp:positionH>
          <wp:positionV relativeFrom="margin">
            <wp:posOffset>8186420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10146" w:rsidRDefault="00010146" w:rsidP="00010146">
    <w:pPr>
      <w:pStyle w:val="Footer"/>
      <w:ind w:right="1134"/>
      <w:rPr>
        <w:sz w:val="20"/>
      </w:rPr>
    </w:pPr>
    <w:r>
      <w:rPr>
        <w:sz w:val="20"/>
      </w:rPr>
      <w:t>GE.17-19777(E)</w:t>
    </w:r>
  </w:p>
  <w:p w:rsidR="00010146" w:rsidRPr="00010146" w:rsidRDefault="00010146" w:rsidP="0001014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91" w:rsidRPr="000B175B" w:rsidRDefault="004E4C91" w:rsidP="000B175B">
      <w:pPr>
        <w:tabs>
          <w:tab w:val="right" w:pos="2155"/>
        </w:tabs>
        <w:spacing w:after="80"/>
        <w:ind w:left="680"/>
        <w:rPr>
          <w:u w:val="single"/>
        </w:rPr>
      </w:pPr>
      <w:r>
        <w:rPr>
          <w:u w:val="single"/>
        </w:rPr>
        <w:tab/>
      </w:r>
    </w:p>
  </w:footnote>
  <w:footnote w:type="continuationSeparator" w:id="0">
    <w:p w:rsidR="004E4C91" w:rsidRPr="00FC68B7" w:rsidRDefault="004E4C91" w:rsidP="00FC68B7">
      <w:pPr>
        <w:tabs>
          <w:tab w:val="left" w:pos="2155"/>
        </w:tabs>
        <w:spacing w:after="80"/>
        <w:ind w:left="680"/>
        <w:rPr>
          <w:u w:val="single"/>
        </w:rPr>
      </w:pPr>
      <w:r>
        <w:rPr>
          <w:u w:val="single"/>
        </w:rPr>
        <w:tab/>
      </w:r>
    </w:p>
  </w:footnote>
  <w:footnote w:type="continuationNotice" w:id="1">
    <w:p w:rsidR="004E4C91" w:rsidRDefault="004E4C91"/>
  </w:footnote>
  <w:footnote w:id="2">
    <w:p w:rsidR="00F4611C" w:rsidRDefault="00F4611C" w:rsidP="00F4611C">
      <w:pPr>
        <w:pStyle w:val="FootnoteText"/>
        <w:rPr>
          <w:lang w:val="en-US"/>
        </w:rPr>
      </w:pPr>
      <w:r>
        <w:tab/>
      </w:r>
      <w:r w:rsidRPr="009237E3">
        <w:rPr>
          <w:rStyle w:val="FootnoteReference"/>
          <w:sz w:val="20"/>
          <w:lang w:val="en-US"/>
        </w:rPr>
        <w:t>*</w:t>
      </w:r>
      <w:r>
        <w:rPr>
          <w:sz w:val="20"/>
          <w:lang w:val="en-US"/>
        </w:rPr>
        <w:tab/>
      </w:r>
      <w:r w:rsidRPr="00FA77BF">
        <w:rPr>
          <w:szCs w:val="18"/>
          <w:lang w:val="en-US"/>
        </w:rPr>
        <w:t xml:space="preserve">In accordance with the </w:t>
      </w:r>
      <w:proofErr w:type="spellStart"/>
      <w:r w:rsidRPr="00FA77BF">
        <w:rPr>
          <w:szCs w:val="18"/>
          <w:lang w:val="en-US"/>
        </w:rPr>
        <w:t>programme</w:t>
      </w:r>
      <w:proofErr w:type="spellEnd"/>
      <w:r w:rsidRPr="00FA77BF">
        <w:rPr>
          <w:szCs w:val="18"/>
          <w:lang w:val="en-US"/>
        </w:rPr>
        <w:t xml:space="preserve"> of work of the Inland Transport Committee for 2016–2017 (ECE/TRANS/254, para. 159 and ECE/TRANS/2016/28/Add.1, cluster 3.</w:t>
      </w:r>
      <w:r>
        <w:rPr>
          <w:szCs w:val="18"/>
          <w:lang w:val="en-US"/>
        </w:rPr>
        <w:t>2</w:t>
      </w:r>
      <w:r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7F19F0">
      <w:t>B</w:t>
    </w:r>
    <w:r>
      <w:t>/</w:t>
    </w:r>
    <w:r w:rsidRPr="00DF418A">
      <w:t>201</w:t>
    </w:r>
    <w:r w:rsidR="007F19F0">
      <w:t>8</w:t>
    </w:r>
    <w:r w:rsidRPr="00DF418A">
      <w:t>/</w:t>
    </w:r>
    <w:r w:rsidR="004124C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754B4B" w:rsidP="00803BF8">
    <w:pPr>
      <w:pStyle w:val="Header"/>
      <w:jc w:val="right"/>
    </w:pPr>
    <w:r w:rsidRPr="00754B4B">
      <w:t>ECE/TRANS/WP.29/GR</w:t>
    </w:r>
    <w:r w:rsidR="007F19F0">
      <w:t>B</w:t>
    </w:r>
    <w:r w:rsidRPr="00754B4B">
      <w:t>/201</w:t>
    </w:r>
    <w:r w:rsidR="007F19F0">
      <w:t>8</w:t>
    </w:r>
    <w:r w:rsidRPr="00754B4B">
      <w:t>/</w:t>
    </w:r>
    <w:r w:rsidR="00F4611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9"/>
  </w:num>
  <w:num w:numId="16">
    <w:abstractNumId w:val="10"/>
  </w:num>
  <w:num w:numId="17">
    <w:abstractNumId w:val="14"/>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0146"/>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A5F48"/>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5965"/>
    <w:rsid w:val="00537E32"/>
    <w:rsid w:val="0054033E"/>
    <w:rsid w:val="005420F2"/>
    <w:rsid w:val="005462C2"/>
    <w:rsid w:val="0055161F"/>
    <w:rsid w:val="0055217D"/>
    <w:rsid w:val="0055307C"/>
    <w:rsid w:val="00554D08"/>
    <w:rsid w:val="00556130"/>
    <w:rsid w:val="00556DED"/>
    <w:rsid w:val="0056209A"/>
    <w:rsid w:val="005628B6"/>
    <w:rsid w:val="005642C2"/>
    <w:rsid w:val="00564BCC"/>
    <w:rsid w:val="0057001E"/>
    <w:rsid w:val="0057118C"/>
    <w:rsid w:val="0057288A"/>
    <w:rsid w:val="00574006"/>
    <w:rsid w:val="005751FB"/>
    <w:rsid w:val="00581DFE"/>
    <w:rsid w:val="00583457"/>
    <w:rsid w:val="005907C7"/>
    <w:rsid w:val="00593353"/>
    <w:rsid w:val="00593753"/>
    <w:rsid w:val="005941EC"/>
    <w:rsid w:val="00594616"/>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2A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44CCE"/>
    <w:rsid w:val="00750A59"/>
    <w:rsid w:val="00750B8D"/>
    <w:rsid w:val="00754B4B"/>
    <w:rsid w:val="00757F2F"/>
    <w:rsid w:val="007629C8"/>
    <w:rsid w:val="00762B5F"/>
    <w:rsid w:val="00770168"/>
    <w:rsid w:val="0077047D"/>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5620"/>
    <w:rsid w:val="009F0B23"/>
    <w:rsid w:val="009F36A3"/>
    <w:rsid w:val="009F71D1"/>
    <w:rsid w:val="00A00697"/>
    <w:rsid w:val="00A00A3F"/>
    <w:rsid w:val="00A01326"/>
    <w:rsid w:val="00A01489"/>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4D1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69F"/>
    <w:rsid w:val="00F96D3C"/>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8D12-A217-4C46-AE66-EED82C7C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1193</Words>
  <Characters>6804</Characters>
  <Application>Microsoft Office Word</Application>
  <DocSecurity>0</DocSecurity>
  <Lines>56</Lines>
  <Paragraphs>15</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1713404</vt:lpstr>
      <vt:lpstr>United Nations</vt:lpstr>
      <vt:lpstr>United Nations</vt:lpstr>
    </vt:vector>
  </TitlesOfParts>
  <Company>CSD</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Romain HUBERT</dc:creator>
  <cp:lastModifiedBy>Benedicte Boudol</cp:lastModifiedBy>
  <cp:revision>4</cp:revision>
  <cp:lastPrinted>2017-11-06T09:14:00Z</cp:lastPrinted>
  <dcterms:created xsi:type="dcterms:W3CDTF">2017-12-05T10:28:00Z</dcterms:created>
  <dcterms:modified xsi:type="dcterms:W3CDTF">2017-12-15T13:15:00Z</dcterms:modified>
</cp:coreProperties>
</file>