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6D169684" w14:textId="77777777" w:rsidTr="001F632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CC447A" w14:textId="77777777" w:rsidR="00B56E9C" w:rsidRDefault="00B56E9C" w:rsidP="001F632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6BC6DF" w14:textId="77777777" w:rsidR="00B56E9C" w:rsidRPr="001F6324" w:rsidRDefault="00B56E9C" w:rsidP="001F632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1F632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B94EF2" w14:textId="2F324B9F" w:rsidR="00B56E9C" w:rsidRPr="00D47EEA" w:rsidRDefault="00B96A3E" w:rsidP="007C4048">
            <w:pPr>
              <w:jc w:val="right"/>
            </w:pPr>
            <w:r w:rsidRPr="001F6324">
              <w:rPr>
                <w:sz w:val="40"/>
              </w:rPr>
              <w:t>ECE</w:t>
            </w:r>
            <w:r>
              <w:t>/TRANS/WP.29/</w:t>
            </w:r>
            <w:r w:rsidR="001D39D0">
              <w:t>2018/</w:t>
            </w:r>
            <w:r w:rsidR="008C279B">
              <w:t>166</w:t>
            </w:r>
          </w:p>
        </w:tc>
      </w:tr>
      <w:tr w:rsidR="00B56E9C" w14:paraId="53E4AA9E" w14:textId="77777777" w:rsidTr="001F632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69948DB" w14:textId="77777777" w:rsidR="00B56E9C" w:rsidRDefault="00EC3361" w:rsidP="001F6324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215F6B2A" wp14:editId="649EFFF9">
                  <wp:extent cx="715645" cy="58864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8CB9A0" w14:textId="77777777" w:rsidR="00B56E9C" w:rsidRPr="001F6324" w:rsidRDefault="00D773DF" w:rsidP="001F6324">
            <w:pPr>
              <w:spacing w:before="120" w:line="420" w:lineRule="exact"/>
              <w:rPr>
                <w:sz w:val="40"/>
                <w:szCs w:val="40"/>
              </w:rPr>
            </w:pPr>
            <w:r w:rsidRPr="001F632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B9EE37" w14:textId="77777777" w:rsidR="00B96A3E" w:rsidRDefault="00B96A3E" w:rsidP="001F6324">
            <w:pPr>
              <w:spacing w:before="240" w:line="240" w:lineRule="exact"/>
            </w:pPr>
            <w:r>
              <w:t>Distr.: General</w:t>
            </w:r>
          </w:p>
          <w:p w14:paraId="1DF48B93" w14:textId="76B7C858" w:rsidR="00B96A3E" w:rsidRDefault="002D465C" w:rsidP="001F6324">
            <w:pPr>
              <w:spacing w:line="240" w:lineRule="exact"/>
            </w:pPr>
            <w:r>
              <w:t>3</w:t>
            </w:r>
            <w:r w:rsidR="004D1821">
              <w:t xml:space="preserve"> </w:t>
            </w:r>
            <w:r>
              <w:t>September</w:t>
            </w:r>
            <w:r w:rsidR="002D6B0E">
              <w:t xml:space="preserve"> </w:t>
            </w:r>
            <w:r w:rsidR="004D1821">
              <w:t>2018</w:t>
            </w:r>
          </w:p>
          <w:p w14:paraId="499B46D7" w14:textId="77777777" w:rsidR="00B96A3E" w:rsidRDefault="00B96A3E" w:rsidP="001F6324">
            <w:pPr>
              <w:spacing w:line="240" w:lineRule="exact"/>
            </w:pPr>
          </w:p>
          <w:p w14:paraId="64F98809" w14:textId="77777777" w:rsidR="00EA2A77" w:rsidRDefault="00B96A3E" w:rsidP="003B7751">
            <w:pPr>
              <w:spacing w:line="240" w:lineRule="exact"/>
            </w:pPr>
            <w:r w:rsidRPr="003D280B">
              <w:t>Original: English</w:t>
            </w:r>
          </w:p>
        </w:tc>
      </w:tr>
    </w:tbl>
    <w:p w14:paraId="06725814" w14:textId="77777777"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6BA9A139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659AFD1E" w14:textId="611D9480" w:rsid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594BC529" w14:textId="77777777" w:rsidR="00250488" w:rsidRDefault="00250488" w:rsidP="00250488">
      <w:pPr>
        <w:spacing w:before="120"/>
        <w:rPr>
          <w:b/>
        </w:rPr>
      </w:pPr>
      <w:r>
        <w:rPr>
          <w:b/>
        </w:rPr>
        <w:t>176th session</w:t>
      </w:r>
    </w:p>
    <w:p w14:paraId="4AD7A22A" w14:textId="77777777" w:rsidR="00250488" w:rsidRDefault="00250488" w:rsidP="00250488">
      <w:r>
        <w:t>Geneva, 13-16 November 2018</w:t>
      </w:r>
    </w:p>
    <w:p w14:paraId="4D751127" w14:textId="4EDAF85C" w:rsidR="00250488" w:rsidRDefault="00250488" w:rsidP="00250488">
      <w:r>
        <w:t xml:space="preserve">Item </w:t>
      </w:r>
      <w:r w:rsidR="008C279B">
        <w:t>2.2</w:t>
      </w:r>
      <w:r>
        <w:t xml:space="preserve"> of the provisional agenda</w:t>
      </w:r>
    </w:p>
    <w:p w14:paraId="46D6E238" w14:textId="038DDE52" w:rsidR="001D39D0" w:rsidRPr="008C279B" w:rsidRDefault="008C279B" w:rsidP="00250488">
      <w:pPr>
        <w:rPr>
          <w:b/>
          <w:bCs/>
        </w:rPr>
      </w:pPr>
      <w:r w:rsidRPr="008C279B">
        <w:rPr>
          <w:b/>
          <w:bCs/>
        </w:rPr>
        <w:t>Coordination and organization of work:</w:t>
      </w:r>
      <w:r w:rsidR="00250488" w:rsidRPr="008C279B">
        <w:rPr>
          <w:b/>
          <w:bCs/>
        </w:rPr>
        <w:br/>
      </w:r>
      <w:r w:rsidRPr="008C279B">
        <w:rPr>
          <w:b/>
          <w:bCs/>
        </w:rPr>
        <w:t xml:space="preserve">Programme of work, documentation and </w:t>
      </w:r>
      <w:r w:rsidR="002D465C">
        <w:rPr>
          <w:b/>
          <w:bCs/>
        </w:rPr>
        <w:br/>
      </w:r>
      <w:r w:rsidRPr="008C279B">
        <w:rPr>
          <w:b/>
          <w:bCs/>
        </w:rPr>
        <w:t>calendar of sessions for the year 2018</w:t>
      </w:r>
    </w:p>
    <w:p w14:paraId="05ED5A05" w14:textId="54677601" w:rsidR="00FF22D8" w:rsidRDefault="00476BD5" w:rsidP="001C104B">
      <w:pPr>
        <w:pStyle w:val="HChG"/>
      </w:pPr>
      <w:r>
        <w:tab/>
      </w:r>
      <w:r>
        <w:tab/>
      </w:r>
      <w:bookmarkStart w:id="0" w:name="_Toc505702997"/>
      <w:bookmarkStart w:id="1" w:name="_Toc505705752"/>
      <w:bookmarkStart w:id="2" w:name="_GoBack"/>
      <w:r w:rsidR="00D40FD3">
        <w:tab/>
      </w:r>
      <w:r w:rsidR="001D39D0">
        <w:t xml:space="preserve">Proposal for amendments to the </w:t>
      </w:r>
      <w:r w:rsidR="00FF22D8">
        <w:t>Terms of Reference and Rules of Procedure of the World Forum</w:t>
      </w:r>
      <w:r w:rsidR="002D6B0E">
        <w:t xml:space="preserve"> for Harmonization of Vehicle Regulations</w:t>
      </w:r>
      <w:bookmarkEnd w:id="0"/>
      <w:bookmarkEnd w:id="1"/>
      <w:bookmarkEnd w:id="2"/>
      <w:r w:rsidR="00AA03C5" w:rsidRPr="001C104B">
        <w:footnoteReference w:customMarkFollows="1" w:id="2"/>
        <w:t>*</w:t>
      </w:r>
    </w:p>
    <w:p w14:paraId="2026F3DC" w14:textId="10AEF21B" w:rsidR="001C104B" w:rsidRPr="001C104B" w:rsidRDefault="001C104B" w:rsidP="001C104B">
      <w:pPr>
        <w:pStyle w:val="H1G"/>
        <w:ind w:firstLine="0"/>
      </w:pPr>
      <w:r>
        <w:t>Note by the secretariat</w:t>
      </w:r>
    </w:p>
    <w:p w14:paraId="7DA3176D" w14:textId="03451D23" w:rsidR="00915EF6" w:rsidRPr="00A90A3A" w:rsidRDefault="00A90A3A" w:rsidP="00A90A3A">
      <w:pPr>
        <w:pStyle w:val="SingleTxtG"/>
      </w:pPr>
      <w:r>
        <w:tab/>
      </w:r>
      <w:r>
        <w:tab/>
      </w:r>
      <w:r w:rsidR="007C4048" w:rsidRPr="00A90A3A">
        <w:t xml:space="preserve">The text reproduced </w:t>
      </w:r>
      <w:r w:rsidR="001C104B">
        <w:t xml:space="preserve">below </w:t>
      </w:r>
      <w:r w:rsidR="00B73F14" w:rsidRPr="00A90A3A">
        <w:t>is based on</w:t>
      </w:r>
      <w:r w:rsidR="00D8343F" w:rsidRPr="00A90A3A">
        <w:t xml:space="preserve"> </w:t>
      </w:r>
      <w:r w:rsidR="00D0776B">
        <w:t>ECE/</w:t>
      </w:r>
      <w:r w:rsidR="00B73F14" w:rsidRPr="00A90A3A">
        <w:t>TRANS/WP.29/690</w:t>
      </w:r>
      <w:r w:rsidR="001D39D0" w:rsidRPr="00A90A3A">
        <w:t xml:space="preserve">/Rev.1 </w:t>
      </w:r>
      <w:r w:rsidR="00A9647D">
        <w:t>with the Terms of Reference and Rules of Procedure of the World Forum for Harmonization of Vehicle Regulations. It</w:t>
      </w:r>
      <w:r w:rsidR="001D39D0" w:rsidRPr="00A90A3A">
        <w:t xml:space="preserve"> is proposing an update </w:t>
      </w:r>
      <w:r w:rsidR="00EE024D">
        <w:t xml:space="preserve">to the rules </w:t>
      </w:r>
      <w:r w:rsidR="00426FD5">
        <w:t>of procedures part of the document</w:t>
      </w:r>
      <w:r w:rsidR="00A17A27">
        <w:t>, aimed at</w:t>
      </w:r>
      <w:r w:rsidR="00426FD5">
        <w:t xml:space="preserve"> </w:t>
      </w:r>
      <w:r w:rsidR="00A17A27">
        <w:t xml:space="preserve">taking </w:t>
      </w:r>
      <w:r w:rsidR="00426FD5">
        <w:t xml:space="preserve">into account the decision </w:t>
      </w:r>
      <w:r w:rsidR="007066D7">
        <w:t xml:space="preserve">made during the June 2018 session of the World Forum for Harmonization of Vehicle Regulations (WP.29) </w:t>
      </w:r>
      <w:r w:rsidR="001D39D0" w:rsidRPr="00A90A3A">
        <w:t>related to the conversion of the Working Party on Brake</w:t>
      </w:r>
      <w:r w:rsidR="007066D7">
        <w:t>s</w:t>
      </w:r>
      <w:r w:rsidR="001D39D0" w:rsidRPr="00A90A3A">
        <w:t xml:space="preserve"> and Running Gear into the Working Party on Automated/Au</w:t>
      </w:r>
      <w:r w:rsidR="00426FD5">
        <w:t>tonomous and Connected Vehicles</w:t>
      </w:r>
      <w:r w:rsidR="007066D7">
        <w:t xml:space="preserve"> and the consecutive redistribution of several work items</w:t>
      </w:r>
      <w:r w:rsidR="00426FD5">
        <w:t xml:space="preserve">. </w:t>
      </w:r>
      <w:r w:rsidR="007066D7">
        <w:t>T</w:t>
      </w:r>
      <w:r w:rsidR="00426FD5">
        <w:t xml:space="preserve">he adoption of this document would rename the "Working Party on Noise (GRB)" as "Working Party on Noise and Tyres (GRBP)". The proposed amendments to Rules 35 and 37 are clarification </w:t>
      </w:r>
      <w:r w:rsidR="007066D7">
        <w:t>for consistency reasons prepared by the secretariat and kept in square brackets</w:t>
      </w:r>
      <w:r w:rsidR="00426FD5">
        <w:t xml:space="preserve">. The proposed modifications to the existing text are marked </w:t>
      </w:r>
      <w:r w:rsidR="00160640">
        <w:t>in bold for new or strikethrough for deleted characters.</w:t>
      </w:r>
    </w:p>
    <w:p w14:paraId="7EC59927" w14:textId="77777777" w:rsidR="00D75CBA" w:rsidRDefault="00D75CBA">
      <w:pPr>
        <w:suppressAutoHyphens w:val="0"/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14:paraId="1E2D7880" w14:textId="0779EC0A" w:rsidR="006037C1" w:rsidRPr="006037C1" w:rsidRDefault="00EE024D" w:rsidP="002D465C">
      <w:pPr>
        <w:pStyle w:val="HChG"/>
      </w:pPr>
      <w:r>
        <w:lastRenderedPageBreak/>
        <w:tab/>
        <w:t>I.</w:t>
      </w:r>
      <w:r>
        <w:tab/>
        <w:t>Proposal</w:t>
      </w:r>
    </w:p>
    <w:p w14:paraId="036DF811" w14:textId="29D57CF5" w:rsidR="00EE024D" w:rsidRDefault="00426FD5" w:rsidP="00F45B6B">
      <w:pPr>
        <w:pStyle w:val="SingleTxtG"/>
      </w:pPr>
      <w:r w:rsidRPr="00426FD5">
        <w:t>[</w:t>
      </w:r>
      <w:r w:rsidR="00EE024D">
        <w:rPr>
          <w:i/>
          <w:iCs/>
        </w:rPr>
        <w:t xml:space="preserve">Rule 35, </w:t>
      </w:r>
      <w:r w:rsidR="00EE024D">
        <w:t>amend to read:</w:t>
      </w:r>
    </w:p>
    <w:p w14:paraId="4EF8A776" w14:textId="2E930EC9" w:rsidR="00EE024D" w:rsidRPr="00EF33EC" w:rsidRDefault="00EE024D" w:rsidP="00EE024D">
      <w:pPr>
        <w:pStyle w:val="H1G"/>
        <w:ind w:left="0" w:right="0" w:firstLine="0"/>
        <w:jc w:val="center"/>
        <w:rPr>
          <w:b w:val="0"/>
        </w:rPr>
      </w:pPr>
      <w:r>
        <w:t>"</w:t>
      </w:r>
      <w:r w:rsidRPr="00EF33EC">
        <w:t>Rule 3</w:t>
      </w:r>
      <w:r>
        <w:t>5</w:t>
      </w:r>
    </w:p>
    <w:p w14:paraId="1D547939" w14:textId="40C96FC9" w:rsidR="00EE024D" w:rsidRPr="00EE024D" w:rsidRDefault="007B418D" w:rsidP="00F45B6B">
      <w:pPr>
        <w:pStyle w:val="SingleTxtG"/>
      </w:pPr>
      <w:r>
        <w:tab/>
      </w:r>
      <w:r>
        <w:tab/>
        <w:t xml:space="preserve">Subsidiary bodies of </w:t>
      </w:r>
      <w:r>
        <w:rPr>
          <w:spacing w:val="-2"/>
        </w:rPr>
        <w:t>WP</w:t>
      </w:r>
      <w:r>
        <w:t xml:space="preserve">.29 shall </w:t>
      </w:r>
      <w:r w:rsidRPr="00160640">
        <w:rPr>
          <w:b/>
          <w:bCs/>
        </w:rPr>
        <w:t xml:space="preserve">act within the </w:t>
      </w:r>
      <w:r w:rsidR="00124E5C" w:rsidRPr="00160640">
        <w:rPr>
          <w:b/>
          <w:bCs/>
        </w:rPr>
        <w:t>T</w:t>
      </w:r>
      <w:r w:rsidRPr="00160640">
        <w:rPr>
          <w:b/>
          <w:bCs/>
        </w:rPr>
        <w:t xml:space="preserve">erms of </w:t>
      </w:r>
      <w:r w:rsidR="00124E5C" w:rsidRPr="00160640">
        <w:rPr>
          <w:b/>
          <w:bCs/>
        </w:rPr>
        <w:t>R</w:t>
      </w:r>
      <w:r w:rsidRPr="00160640">
        <w:rPr>
          <w:b/>
          <w:bCs/>
        </w:rPr>
        <w:t>eference of WP.29 and</w:t>
      </w:r>
      <w:r>
        <w:t xml:space="preserve"> apply the Rules of Procedure of WP.29, as appropriate."</w:t>
      </w:r>
      <w:r w:rsidR="00426FD5">
        <w:t>]</w:t>
      </w:r>
    </w:p>
    <w:p w14:paraId="5F07903F" w14:textId="18AFB513" w:rsidR="003A6ECA" w:rsidRPr="00396B64" w:rsidRDefault="007B418D" w:rsidP="00F45B6B">
      <w:pPr>
        <w:pStyle w:val="SingleTxtG"/>
      </w:pPr>
      <w:r>
        <w:t>[</w:t>
      </w:r>
      <w:r w:rsidR="00F45B6B" w:rsidRPr="00F45B6B">
        <w:rPr>
          <w:i/>
          <w:iCs/>
        </w:rPr>
        <w:t>Rule 37,</w:t>
      </w:r>
      <w:r w:rsidR="00F45B6B">
        <w:t xml:space="preserve"> amend to read:</w:t>
      </w:r>
    </w:p>
    <w:p w14:paraId="4035ACDC" w14:textId="7FF603E3" w:rsidR="003A6ECA" w:rsidRPr="00EF33EC" w:rsidRDefault="00A90A3A" w:rsidP="00A97130">
      <w:pPr>
        <w:pStyle w:val="H1G"/>
        <w:ind w:left="0" w:right="0" w:firstLine="0"/>
        <w:jc w:val="center"/>
        <w:rPr>
          <w:b w:val="0"/>
        </w:rPr>
      </w:pPr>
      <w:bookmarkStart w:id="3" w:name="_Toc505703057"/>
      <w:bookmarkStart w:id="4" w:name="_Toc505705812"/>
      <w:r>
        <w:t>"</w:t>
      </w:r>
      <w:r w:rsidR="003A6ECA" w:rsidRPr="00EF33EC">
        <w:t>Rule 37</w:t>
      </w:r>
      <w:bookmarkEnd w:id="3"/>
      <w:bookmarkEnd w:id="4"/>
    </w:p>
    <w:p w14:paraId="663543F1" w14:textId="27C255EC" w:rsidR="003A6ECA" w:rsidRPr="00396B64" w:rsidRDefault="003A6ECA" w:rsidP="00A97130">
      <w:pPr>
        <w:pStyle w:val="SingleTxtG"/>
      </w:pPr>
      <w:r w:rsidRPr="00396B64">
        <w:tab/>
      </w:r>
      <w:r w:rsidR="00A97130">
        <w:tab/>
      </w:r>
      <w:r w:rsidRPr="00396B64">
        <w:t xml:space="preserve">Each subsidiary body of WP.29 shall, at the end of its last session of each year, elect from the experts accredited by participants, as defined in Rule 1(a), a Chairperson, and, if desired, </w:t>
      </w:r>
      <w:r w:rsidRPr="00160640">
        <w:rPr>
          <w:strike/>
        </w:rPr>
        <w:t xml:space="preserve">a </w:t>
      </w:r>
      <w:r w:rsidRPr="00396B64">
        <w:t>Vice-Chairperson</w:t>
      </w:r>
      <w:r w:rsidR="00AD523C" w:rsidRPr="00160640">
        <w:rPr>
          <w:b/>
          <w:bCs/>
        </w:rPr>
        <w:t>s</w:t>
      </w:r>
      <w:r w:rsidRPr="00396B64">
        <w:t>.</w:t>
      </w:r>
      <w:r w:rsidR="00A90A3A">
        <w:t>"</w:t>
      </w:r>
      <w:r w:rsidR="007B418D">
        <w:t>]</w:t>
      </w:r>
    </w:p>
    <w:p w14:paraId="07FC21E0" w14:textId="3B31B4D5" w:rsidR="00C773B0" w:rsidRDefault="00A90A3A" w:rsidP="00A90A3A">
      <w:pPr>
        <w:pStyle w:val="SingleTxtG"/>
        <w:keepNext/>
        <w:keepLines/>
      </w:pPr>
      <w:r w:rsidRPr="00A90A3A">
        <w:rPr>
          <w:i/>
          <w:iCs/>
        </w:rPr>
        <w:t>Annex 2</w:t>
      </w:r>
      <w:r>
        <w:t>, amend to read:</w:t>
      </w:r>
    </w:p>
    <w:p w14:paraId="2156CEC1" w14:textId="4470AA7C" w:rsidR="003A6ECA" w:rsidRPr="00C773B0" w:rsidRDefault="00A90A3A" w:rsidP="00C773B0">
      <w:pPr>
        <w:pStyle w:val="HChG"/>
      </w:pPr>
      <w:bookmarkStart w:id="5" w:name="_Toc505703064"/>
      <w:bookmarkStart w:id="6" w:name="_Toc505705819"/>
      <w:r>
        <w:t>"</w:t>
      </w:r>
      <w:r w:rsidR="003A6ECA" w:rsidRPr="00C773B0">
        <w:t>Annex 2</w:t>
      </w:r>
      <w:bookmarkEnd w:id="5"/>
      <w:bookmarkEnd w:id="6"/>
    </w:p>
    <w:p w14:paraId="1A467B5C" w14:textId="77293943" w:rsidR="003A6ECA" w:rsidRPr="00396B64" w:rsidRDefault="00C773B0" w:rsidP="00C773B0">
      <w:pPr>
        <w:pStyle w:val="HChG"/>
        <w:rPr>
          <w:b w:val="0"/>
          <w:szCs w:val="28"/>
        </w:rPr>
      </w:pPr>
      <w:r>
        <w:tab/>
      </w:r>
      <w:r>
        <w:tab/>
      </w:r>
      <w:bookmarkStart w:id="7" w:name="_Toc505703065"/>
      <w:bookmarkStart w:id="8" w:name="_Toc505705820"/>
      <w:r w:rsidR="003A6ECA" w:rsidRPr="00C773B0">
        <w:t>Subsidiary bodies</w:t>
      </w:r>
      <w:r w:rsidR="003A6ECA" w:rsidRPr="00396B64">
        <w:rPr>
          <w:szCs w:val="28"/>
        </w:rPr>
        <w:t xml:space="preserve"> of WP.29</w:t>
      </w:r>
      <w:bookmarkEnd w:id="7"/>
      <w:bookmarkEnd w:id="8"/>
    </w:p>
    <w:p w14:paraId="1CF74992" w14:textId="236D18F9" w:rsidR="003A6ECA" w:rsidRPr="00EF33EC" w:rsidRDefault="003A6ECA" w:rsidP="00C773B0">
      <w:pPr>
        <w:pStyle w:val="SingleTxtG"/>
      </w:pPr>
      <w:r w:rsidRPr="00EF33EC">
        <w:t>Working Party on Pollution and Energy</w:t>
      </w:r>
      <w:r w:rsidRPr="00EF33EC">
        <w:tab/>
      </w:r>
      <w:r w:rsidRPr="00EF33EC">
        <w:tab/>
      </w:r>
      <w:r w:rsidR="00AD523C">
        <w:tab/>
      </w:r>
      <w:r w:rsidR="00AD523C">
        <w:tab/>
      </w:r>
      <w:r w:rsidR="00AD523C">
        <w:tab/>
      </w:r>
      <w:r w:rsidR="00C773B0">
        <w:tab/>
      </w:r>
      <w:r w:rsidRPr="00EF33EC">
        <w:t>(GRPE)</w:t>
      </w:r>
    </w:p>
    <w:p w14:paraId="55CE3503" w14:textId="3F0CCC17" w:rsidR="003A6ECA" w:rsidRPr="00EF33EC" w:rsidRDefault="003A6ECA" w:rsidP="00C773B0">
      <w:pPr>
        <w:pStyle w:val="SingleTxtG"/>
      </w:pPr>
      <w:r w:rsidRPr="00EF33EC">
        <w:t>Working Party on General Safety Provisions</w:t>
      </w:r>
      <w:r w:rsidRPr="00EF33EC">
        <w:tab/>
      </w:r>
      <w:r w:rsidR="00AD523C">
        <w:tab/>
      </w:r>
      <w:r w:rsidR="00AD523C">
        <w:tab/>
      </w:r>
      <w:r w:rsidR="00AD523C">
        <w:tab/>
      </w:r>
      <w:r w:rsidRPr="00EF33EC">
        <w:tab/>
        <w:t>(GRSG)</w:t>
      </w:r>
    </w:p>
    <w:p w14:paraId="60C4B67E" w14:textId="4F2DBD09" w:rsidR="00426FD5" w:rsidRDefault="00426FD5" w:rsidP="00C773B0">
      <w:pPr>
        <w:pStyle w:val="SingleTxtG"/>
      </w:pPr>
      <w:r w:rsidRPr="00160640">
        <w:rPr>
          <w:strike/>
        </w:rPr>
        <w:t>Working Party on Brakes and Running Gear</w:t>
      </w:r>
      <w:r>
        <w:tab/>
      </w:r>
      <w:r>
        <w:tab/>
      </w:r>
      <w:r>
        <w:tab/>
      </w:r>
      <w:r>
        <w:tab/>
      </w:r>
      <w:r>
        <w:tab/>
      </w:r>
      <w:r w:rsidRPr="00160640">
        <w:rPr>
          <w:strike/>
        </w:rPr>
        <w:t>(GRRF)</w:t>
      </w:r>
    </w:p>
    <w:p w14:paraId="62D49F29" w14:textId="219720EA" w:rsidR="003A6ECA" w:rsidRPr="00160640" w:rsidRDefault="00AD523C" w:rsidP="00C773B0">
      <w:pPr>
        <w:pStyle w:val="SingleTxtG"/>
        <w:rPr>
          <w:b/>
          <w:bCs/>
        </w:rPr>
      </w:pPr>
      <w:r w:rsidRPr="00160640">
        <w:rPr>
          <w:b/>
          <w:bCs/>
        </w:rPr>
        <w:t>Working Party on Automated/Autonomous and Connected Vehicles</w:t>
      </w:r>
      <w:r w:rsidRPr="00160640">
        <w:rPr>
          <w:b/>
          <w:bCs/>
        </w:rPr>
        <w:tab/>
        <w:t>(GRVA)</w:t>
      </w:r>
    </w:p>
    <w:p w14:paraId="11EAD764" w14:textId="7B1C3CD1" w:rsidR="003A6ECA" w:rsidRPr="00EF33EC" w:rsidRDefault="003A6ECA" w:rsidP="00C773B0">
      <w:pPr>
        <w:pStyle w:val="SingleTxtG"/>
      </w:pPr>
      <w:r w:rsidRPr="00EF33EC">
        <w:t>Working Party on Lighting and Light-Signalling</w:t>
      </w:r>
      <w:r w:rsidRPr="00EF33EC">
        <w:tab/>
      </w:r>
      <w:r w:rsidR="00AD523C">
        <w:tab/>
      </w:r>
      <w:r w:rsidR="00AD523C">
        <w:tab/>
      </w:r>
      <w:r w:rsidR="00AD523C">
        <w:tab/>
      </w:r>
      <w:r w:rsidR="00C773B0">
        <w:tab/>
      </w:r>
      <w:r w:rsidRPr="00EF33EC">
        <w:t>(GRE)</w:t>
      </w:r>
    </w:p>
    <w:p w14:paraId="7955D597" w14:textId="51A39E56" w:rsidR="003A6ECA" w:rsidRPr="00EF33EC" w:rsidRDefault="003A6ECA" w:rsidP="00C773B0">
      <w:pPr>
        <w:pStyle w:val="SingleTxtG"/>
      </w:pPr>
      <w:r w:rsidRPr="00EF33EC">
        <w:t>Working Party on Passive Safety</w:t>
      </w:r>
      <w:r w:rsidRPr="00EF33EC">
        <w:tab/>
      </w:r>
      <w:r w:rsidRPr="00EF33EC">
        <w:tab/>
      </w:r>
      <w:r w:rsidRPr="00EF33EC">
        <w:tab/>
      </w:r>
      <w:r w:rsidR="00AD523C">
        <w:tab/>
      </w:r>
      <w:r w:rsidR="00AD523C">
        <w:tab/>
      </w:r>
      <w:r w:rsidR="00AD523C">
        <w:tab/>
      </w:r>
      <w:r w:rsidR="00C773B0">
        <w:tab/>
      </w:r>
      <w:r w:rsidRPr="00EF33EC">
        <w:t>(GRSP)</w:t>
      </w:r>
    </w:p>
    <w:p w14:paraId="72EA6A16" w14:textId="3DD66828" w:rsidR="003A6ECA" w:rsidRDefault="003A6ECA" w:rsidP="00C773B0">
      <w:pPr>
        <w:pStyle w:val="SingleTxtG"/>
      </w:pPr>
      <w:r w:rsidRPr="00EF33EC">
        <w:t>Working Party on Noise</w:t>
      </w:r>
      <w:r w:rsidR="00AD523C" w:rsidRPr="00160640">
        <w:rPr>
          <w:b/>
          <w:bCs/>
        </w:rPr>
        <w:t xml:space="preserve"> and Tyres</w:t>
      </w:r>
      <w:r w:rsidRPr="00EF33EC">
        <w:tab/>
      </w:r>
      <w:r w:rsidRPr="00EF33EC">
        <w:tab/>
      </w:r>
      <w:r w:rsidRPr="00EF33EC">
        <w:tab/>
      </w:r>
      <w:r w:rsidR="00AD523C">
        <w:tab/>
      </w:r>
      <w:r w:rsidR="00AD523C">
        <w:tab/>
      </w:r>
      <w:r w:rsidR="00C773B0">
        <w:tab/>
      </w:r>
      <w:r w:rsidRPr="00EF33EC">
        <w:t>(GRB</w:t>
      </w:r>
      <w:r w:rsidR="00AD523C" w:rsidRPr="00160640">
        <w:rPr>
          <w:b/>
          <w:bCs/>
        </w:rPr>
        <w:t>P</w:t>
      </w:r>
      <w:r w:rsidRPr="00EF33EC">
        <w:t>)</w:t>
      </w:r>
      <w:r w:rsidR="00A90A3A">
        <w:t>"</w:t>
      </w:r>
    </w:p>
    <w:p w14:paraId="059DBFFF" w14:textId="54447219" w:rsidR="009C584A" w:rsidRDefault="009C584A" w:rsidP="009C584A">
      <w:pPr>
        <w:pStyle w:val="HChG"/>
      </w:pPr>
      <w:r>
        <w:tab/>
        <w:t>II.</w:t>
      </w:r>
      <w:r>
        <w:tab/>
        <w:t>Justification</w:t>
      </w:r>
    </w:p>
    <w:p w14:paraId="6B3BC1F1" w14:textId="6A886134" w:rsidR="00B11142" w:rsidRDefault="009C584A" w:rsidP="009C584A">
      <w:pPr>
        <w:pStyle w:val="SingleTxtG"/>
      </w:pPr>
      <w:r>
        <w:t>1.</w:t>
      </w:r>
      <w:r>
        <w:tab/>
      </w:r>
      <w:r w:rsidR="00B11142">
        <w:t xml:space="preserve">The Terms of Reference </w:t>
      </w:r>
      <w:r w:rsidR="007B418D">
        <w:t xml:space="preserve">and Rules of Procedures </w:t>
      </w:r>
      <w:r w:rsidR="00B11142">
        <w:t xml:space="preserve">of WP.29 </w:t>
      </w:r>
      <w:r w:rsidR="00250488">
        <w:t>should</w:t>
      </w:r>
      <w:r w:rsidR="00B11142">
        <w:t xml:space="preserve"> be updated to reflect the decision of WP.29 (</w:t>
      </w:r>
      <w:r w:rsidR="00743255">
        <w:t>ECE/TRANS/WP.29/1139, para. 33</w:t>
      </w:r>
      <w:r w:rsidR="00B11142">
        <w:t>)</w:t>
      </w:r>
      <w:r w:rsidR="001D09FB">
        <w:t xml:space="preserve"> with regards to GRVA. </w:t>
      </w:r>
    </w:p>
    <w:p w14:paraId="60DA143A" w14:textId="008FC3DE" w:rsidR="009C584A" w:rsidRDefault="00B11142" w:rsidP="009C584A">
      <w:pPr>
        <w:pStyle w:val="SingleTxtG"/>
      </w:pPr>
      <w:r>
        <w:t>2.</w:t>
      </w:r>
      <w:r>
        <w:tab/>
      </w:r>
      <w:r w:rsidR="00EE024D">
        <w:t>The proposed modification to Rule 35 is a clarification</w:t>
      </w:r>
      <w:r w:rsidR="007B418D">
        <w:t xml:space="preserve"> and already implicitly in application.</w:t>
      </w:r>
    </w:p>
    <w:p w14:paraId="5CCEFF5C" w14:textId="5C9B821F" w:rsidR="00AC1579" w:rsidRDefault="00B11142" w:rsidP="009C584A">
      <w:pPr>
        <w:pStyle w:val="SingleTxtG"/>
      </w:pPr>
      <w:r>
        <w:t>3</w:t>
      </w:r>
      <w:r w:rsidR="00AC1579">
        <w:t>.</w:t>
      </w:r>
      <w:r w:rsidR="00AC1579">
        <w:tab/>
        <w:t xml:space="preserve">The proposed modification to Rule 37 </w:t>
      </w:r>
      <w:r w:rsidR="007B418D">
        <w:t xml:space="preserve">is proposing an alignment with </w:t>
      </w:r>
      <w:r>
        <w:t xml:space="preserve">Rule 13. </w:t>
      </w:r>
    </w:p>
    <w:p w14:paraId="796C2FB1" w14:textId="66CF0BDB" w:rsidR="00B11142" w:rsidRPr="009C584A" w:rsidRDefault="00B11142" w:rsidP="009C584A">
      <w:pPr>
        <w:pStyle w:val="SingleTxtG"/>
      </w:pPr>
      <w:r>
        <w:t>4.</w:t>
      </w:r>
      <w:r>
        <w:tab/>
        <w:t>The list of Working Parties in Annex 2 is updated.</w:t>
      </w:r>
      <w:r w:rsidR="008C279B">
        <w:t xml:space="preserve"> This update reflects the decision (ECE/TRANS/WP.29/1139, para. 33) and the discussion regarding GRB that should be renamed </w:t>
      </w:r>
      <w:r w:rsidR="008C279B" w:rsidRPr="00EF33EC">
        <w:t>Working Party on Noise</w:t>
      </w:r>
      <w:r w:rsidR="008C279B" w:rsidRPr="00AD523C">
        <w:t xml:space="preserve"> </w:t>
      </w:r>
      <w:r w:rsidR="008C279B" w:rsidRPr="00160640">
        <w:rPr>
          <w:b/>
          <w:bCs/>
        </w:rPr>
        <w:t>and Tyres</w:t>
      </w:r>
      <w:r w:rsidR="008C279B">
        <w:t xml:space="preserve"> (GRB</w:t>
      </w:r>
      <w:r w:rsidR="008C279B" w:rsidRPr="00160640">
        <w:rPr>
          <w:b/>
          <w:bCs/>
        </w:rPr>
        <w:t>P</w:t>
      </w:r>
      <w:r w:rsidR="008C279B">
        <w:t>) and for which no formal decision was recorded in the report.</w:t>
      </w:r>
    </w:p>
    <w:p w14:paraId="4A2775BB" w14:textId="06AB591A" w:rsidR="00C773B0" w:rsidRPr="00C773B0" w:rsidRDefault="00C773B0" w:rsidP="00C773B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773B0" w:rsidRPr="00C773B0" w:rsidSect="008B54E3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98214" w14:textId="77777777" w:rsidR="009F7AFB" w:rsidRDefault="009F7AFB"/>
  </w:endnote>
  <w:endnote w:type="continuationSeparator" w:id="0">
    <w:p w14:paraId="530AD3F1" w14:textId="77777777" w:rsidR="009F7AFB" w:rsidRDefault="009F7AFB"/>
  </w:endnote>
  <w:endnote w:type="continuationNotice" w:id="1">
    <w:p w14:paraId="6134B8B6" w14:textId="77777777" w:rsidR="009F7AFB" w:rsidRDefault="009F7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064E" w14:textId="2713E71E" w:rsidR="00DA1A1F" w:rsidRPr="00B96A3E" w:rsidRDefault="00DA1A1F" w:rsidP="00B96A3E">
    <w:pPr>
      <w:pStyle w:val="Footer"/>
      <w:tabs>
        <w:tab w:val="right" w:pos="9638"/>
      </w:tabs>
      <w:rPr>
        <w:sz w:val="18"/>
      </w:rPr>
    </w:pPr>
    <w:r w:rsidRPr="00B96A3E">
      <w:rPr>
        <w:b/>
        <w:sz w:val="18"/>
      </w:rPr>
      <w:fldChar w:fldCharType="begin"/>
    </w:r>
    <w:r w:rsidRPr="00B96A3E">
      <w:rPr>
        <w:b/>
        <w:sz w:val="18"/>
      </w:rPr>
      <w:instrText xml:space="preserve"> PAGE  \* MERGEFORMAT </w:instrText>
    </w:r>
    <w:r w:rsidRPr="00B96A3E">
      <w:rPr>
        <w:b/>
        <w:sz w:val="18"/>
      </w:rPr>
      <w:fldChar w:fldCharType="separate"/>
    </w:r>
    <w:r w:rsidR="00D866CC">
      <w:rPr>
        <w:b/>
        <w:noProof/>
        <w:sz w:val="18"/>
      </w:rPr>
      <w:t>12</w:t>
    </w:r>
    <w:r w:rsidRPr="00B96A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C225" w14:textId="39F13B04" w:rsidR="00DA1A1F" w:rsidRPr="00B96A3E" w:rsidRDefault="00DA1A1F" w:rsidP="00B96A3E">
    <w:pPr>
      <w:pStyle w:val="Footer"/>
      <w:tabs>
        <w:tab w:val="right" w:pos="9638"/>
      </w:tabs>
      <w:rPr>
        <w:b/>
        <w:sz w:val="18"/>
      </w:rPr>
    </w:pPr>
    <w:r>
      <w:tab/>
    </w:r>
    <w:r w:rsidRPr="00B96A3E">
      <w:rPr>
        <w:b/>
        <w:sz w:val="18"/>
      </w:rPr>
      <w:fldChar w:fldCharType="begin"/>
    </w:r>
    <w:r w:rsidRPr="00B96A3E">
      <w:rPr>
        <w:b/>
        <w:sz w:val="18"/>
      </w:rPr>
      <w:instrText xml:space="preserve"> PAGE  \* MERGEFORMAT </w:instrText>
    </w:r>
    <w:r w:rsidRPr="00B96A3E">
      <w:rPr>
        <w:b/>
        <w:sz w:val="18"/>
      </w:rPr>
      <w:fldChar w:fldCharType="separate"/>
    </w:r>
    <w:r w:rsidR="00D866CC">
      <w:rPr>
        <w:b/>
        <w:noProof/>
        <w:sz w:val="18"/>
      </w:rPr>
      <w:t>13</w:t>
    </w:r>
    <w:r w:rsidRPr="00B96A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6E60C" w14:textId="77777777" w:rsidR="009F7AFB" w:rsidRPr="000B175B" w:rsidRDefault="009F7AF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55E934" w14:textId="77777777" w:rsidR="009F7AFB" w:rsidRPr="00FC68B7" w:rsidRDefault="009F7AF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E4EC113" w14:textId="77777777" w:rsidR="009F7AFB" w:rsidRDefault="009F7AFB"/>
  </w:footnote>
  <w:footnote w:id="2">
    <w:p w14:paraId="3FFE8FF3" w14:textId="77777777" w:rsidR="00AA03C5" w:rsidRPr="00706101" w:rsidRDefault="00AA03C5" w:rsidP="00AA03C5">
      <w:pPr>
        <w:pStyle w:val="FootnoteText"/>
      </w:pPr>
      <w:r>
        <w:tab/>
      </w:r>
      <w:r w:rsidRPr="00FC25FE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 xml:space="preserve">egulations </w:t>
      </w:r>
      <w:proofErr w:type="gramStart"/>
      <w:r w:rsidRPr="00B15178">
        <w:rPr>
          <w:szCs w:val="18"/>
          <w:lang w:val="en-US"/>
        </w:rPr>
        <w:t>in order to</w:t>
      </w:r>
      <w:proofErr w:type="gramEnd"/>
      <w:r w:rsidRPr="00B15178"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9378" w14:textId="507EACEA" w:rsidR="00DA1A1F" w:rsidRPr="00B96A3E" w:rsidRDefault="00DA1A1F">
    <w:pPr>
      <w:pStyle w:val="Header"/>
    </w:pPr>
    <w:r>
      <w:t>ECE/TRANS/WP.29/</w:t>
    </w:r>
    <w:r w:rsidR="008C279B">
      <w:t>2018/166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D449" w14:textId="55FAB88C" w:rsidR="00DA1A1F" w:rsidRPr="00B96A3E" w:rsidRDefault="00DA1A1F" w:rsidP="00B96A3E">
    <w:pPr>
      <w:pStyle w:val="Header"/>
      <w:jc w:val="right"/>
    </w:pPr>
    <w:r>
      <w:t>ECE/TRANS/WP.29/690/Rev.1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A01A46"/>
    <w:multiLevelType w:val="hybridMultilevel"/>
    <w:tmpl w:val="2D6E28AA"/>
    <w:lvl w:ilvl="0" w:tplc="6C64C5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520FB"/>
    <w:multiLevelType w:val="hybridMultilevel"/>
    <w:tmpl w:val="8908699A"/>
    <w:lvl w:ilvl="0" w:tplc="0616BA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0B4D0B"/>
    <w:multiLevelType w:val="hybridMultilevel"/>
    <w:tmpl w:val="D37250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941D05"/>
    <w:multiLevelType w:val="hybridMultilevel"/>
    <w:tmpl w:val="2F98458E"/>
    <w:lvl w:ilvl="0" w:tplc="57084F2A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8" w15:restartNumberingAfterBreak="0">
    <w:nsid w:val="48D56699"/>
    <w:multiLevelType w:val="hybridMultilevel"/>
    <w:tmpl w:val="82F0B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F37209"/>
    <w:multiLevelType w:val="hybridMultilevel"/>
    <w:tmpl w:val="400C5A80"/>
    <w:lvl w:ilvl="0" w:tplc="04090017">
      <w:start w:val="1"/>
      <w:numFmt w:val="lowerLetter"/>
      <w:lvlText w:val="%1)"/>
      <w:lvlJc w:val="left"/>
      <w:pPr>
        <w:ind w:left="12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53453961"/>
    <w:multiLevelType w:val="hybridMultilevel"/>
    <w:tmpl w:val="2E62EB24"/>
    <w:lvl w:ilvl="0" w:tplc="04090017">
      <w:start w:val="1"/>
      <w:numFmt w:val="lowerLetter"/>
      <w:lvlText w:val="%1)"/>
      <w:lvlJc w:val="left"/>
      <w:pPr>
        <w:ind w:left="126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59BE1DE9"/>
    <w:multiLevelType w:val="hybridMultilevel"/>
    <w:tmpl w:val="70C26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2203C59"/>
    <w:multiLevelType w:val="hybridMultilevel"/>
    <w:tmpl w:val="0BE0D382"/>
    <w:lvl w:ilvl="0" w:tplc="04090019">
      <w:start w:val="1"/>
      <w:numFmt w:val="lowerLetter"/>
      <w:lvlText w:val="%1."/>
      <w:lvlJc w:val="left"/>
      <w:pPr>
        <w:ind w:left="54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4" w15:restartNumberingAfterBreak="0">
    <w:nsid w:val="628A16B8"/>
    <w:multiLevelType w:val="hybridMultilevel"/>
    <w:tmpl w:val="6F905D6C"/>
    <w:name w:val="List Bullet__1222"/>
    <w:lvl w:ilvl="0" w:tplc="4C56C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947C2"/>
    <w:multiLevelType w:val="hybridMultilevel"/>
    <w:tmpl w:val="86F4C0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274D8"/>
    <w:multiLevelType w:val="hybridMultilevel"/>
    <w:tmpl w:val="D17651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56CC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1"/>
  </w:num>
  <w:num w:numId="14">
    <w:abstractNumId w:val="25"/>
  </w:num>
  <w:num w:numId="15">
    <w:abstractNumId w:val="27"/>
  </w:num>
  <w:num w:numId="16">
    <w:abstractNumId w:val="10"/>
  </w:num>
  <w:num w:numId="17">
    <w:abstractNumId w:val="15"/>
  </w:num>
  <w:num w:numId="18">
    <w:abstractNumId w:val="24"/>
  </w:num>
  <w:num w:numId="19">
    <w:abstractNumId w:val="28"/>
  </w:num>
  <w:num w:numId="20">
    <w:abstractNumId w:val="23"/>
  </w:num>
  <w:num w:numId="21">
    <w:abstractNumId w:val="19"/>
  </w:num>
  <w:num w:numId="22">
    <w:abstractNumId w:val="20"/>
  </w:num>
  <w:num w:numId="23">
    <w:abstractNumId w:val="14"/>
  </w:num>
  <w:num w:numId="24">
    <w:abstractNumId w:val="13"/>
  </w:num>
  <w:num w:numId="25">
    <w:abstractNumId w:val="21"/>
  </w:num>
  <w:num w:numId="26">
    <w:abstractNumId w:val="26"/>
  </w:num>
  <w:num w:numId="27">
    <w:abstractNumId w:val="16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3E"/>
    <w:rsid w:val="00003003"/>
    <w:rsid w:val="00046B1F"/>
    <w:rsid w:val="00050F6B"/>
    <w:rsid w:val="00052635"/>
    <w:rsid w:val="00057E97"/>
    <w:rsid w:val="000646F4"/>
    <w:rsid w:val="00066DAE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E0415"/>
    <w:rsid w:val="000F154C"/>
    <w:rsid w:val="00104683"/>
    <w:rsid w:val="00106632"/>
    <w:rsid w:val="001103AA"/>
    <w:rsid w:val="001135D5"/>
    <w:rsid w:val="0011666B"/>
    <w:rsid w:val="00124E5C"/>
    <w:rsid w:val="0012751E"/>
    <w:rsid w:val="00131FEC"/>
    <w:rsid w:val="00147A8C"/>
    <w:rsid w:val="00160640"/>
    <w:rsid w:val="00165F3A"/>
    <w:rsid w:val="001671E2"/>
    <w:rsid w:val="00182290"/>
    <w:rsid w:val="001A3955"/>
    <w:rsid w:val="001B4B04"/>
    <w:rsid w:val="001C104B"/>
    <w:rsid w:val="001C6663"/>
    <w:rsid w:val="001C7895"/>
    <w:rsid w:val="001D09FB"/>
    <w:rsid w:val="001D0C8C"/>
    <w:rsid w:val="001D1419"/>
    <w:rsid w:val="001D15CA"/>
    <w:rsid w:val="001D26DF"/>
    <w:rsid w:val="001D39D0"/>
    <w:rsid w:val="001D3A03"/>
    <w:rsid w:val="001E291E"/>
    <w:rsid w:val="001E7B67"/>
    <w:rsid w:val="001F6324"/>
    <w:rsid w:val="001F763B"/>
    <w:rsid w:val="00202DA8"/>
    <w:rsid w:val="0020405E"/>
    <w:rsid w:val="00211E0B"/>
    <w:rsid w:val="00213E2C"/>
    <w:rsid w:val="0024772E"/>
    <w:rsid w:val="00250488"/>
    <w:rsid w:val="002510B8"/>
    <w:rsid w:val="00267F5F"/>
    <w:rsid w:val="00284FCC"/>
    <w:rsid w:val="00286B4D"/>
    <w:rsid w:val="00297D90"/>
    <w:rsid w:val="002A2142"/>
    <w:rsid w:val="002B5B26"/>
    <w:rsid w:val="002D4643"/>
    <w:rsid w:val="002D465C"/>
    <w:rsid w:val="002D6B0E"/>
    <w:rsid w:val="002F175C"/>
    <w:rsid w:val="002F1DBA"/>
    <w:rsid w:val="002F2CB7"/>
    <w:rsid w:val="002F7DE0"/>
    <w:rsid w:val="00302E18"/>
    <w:rsid w:val="003229D8"/>
    <w:rsid w:val="00324D85"/>
    <w:rsid w:val="00340ABF"/>
    <w:rsid w:val="00352709"/>
    <w:rsid w:val="003619B5"/>
    <w:rsid w:val="00361AC3"/>
    <w:rsid w:val="003646AB"/>
    <w:rsid w:val="00365763"/>
    <w:rsid w:val="00371178"/>
    <w:rsid w:val="0037742F"/>
    <w:rsid w:val="00392E47"/>
    <w:rsid w:val="003A2024"/>
    <w:rsid w:val="003A6810"/>
    <w:rsid w:val="003A6ECA"/>
    <w:rsid w:val="003B7751"/>
    <w:rsid w:val="003C2CC4"/>
    <w:rsid w:val="003C534D"/>
    <w:rsid w:val="003D277A"/>
    <w:rsid w:val="003D280B"/>
    <w:rsid w:val="003D4B23"/>
    <w:rsid w:val="003E130E"/>
    <w:rsid w:val="004048B8"/>
    <w:rsid w:val="00404FCD"/>
    <w:rsid w:val="00406696"/>
    <w:rsid w:val="00410C89"/>
    <w:rsid w:val="00422E03"/>
    <w:rsid w:val="00425562"/>
    <w:rsid w:val="00426B9B"/>
    <w:rsid w:val="00426FD5"/>
    <w:rsid w:val="004325CB"/>
    <w:rsid w:val="004331F6"/>
    <w:rsid w:val="004418A4"/>
    <w:rsid w:val="00442A83"/>
    <w:rsid w:val="0045495B"/>
    <w:rsid w:val="004561E5"/>
    <w:rsid w:val="00462AD4"/>
    <w:rsid w:val="00462EC8"/>
    <w:rsid w:val="00475075"/>
    <w:rsid w:val="00476BD5"/>
    <w:rsid w:val="0048397A"/>
    <w:rsid w:val="00485CBB"/>
    <w:rsid w:val="004866B7"/>
    <w:rsid w:val="004C2461"/>
    <w:rsid w:val="004C7462"/>
    <w:rsid w:val="004D1821"/>
    <w:rsid w:val="004D5954"/>
    <w:rsid w:val="004E77B2"/>
    <w:rsid w:val="004F64B3"/>
    <w:rsid w:val="00501295"/>
    <w:rsid w:val="00504B2D"/>
    <w:rsid w:val="0052136D"/>
    <w:rsid w:val="0052775E"/>
    <w:rsid w:val="005420F2"/>
    <w:rsid w:val="0056209A"/>
    <w:rsid w:val="005628B6"/>
    <w:rsid w:val="00582FC6"/>
    <w:rsid w:val="005941EC"/>
    <w:rsid w:val="0059724D"/>
    <w:rsid w:val="005B320C"/>
    <w:rsid w:val="005B3DB3"/>
    <w:rsid w:val="005B4E13"/>
    <w:rsid w:val="005C342F"/>
    <w:rsid w:val="005C7D1E"/>
    <w:rsid w:val="005D0CA0"/>
    <w:rsid w:val="005F1724"/>
    <w:rsid w:val="005F5B6C"/>
    <w:rsid w:val="005F6FE4"/>
    <w:rsid w:val="005F7B75"/>
    <w:rsid w:val="006001EE"/>
    <w:rsid w:val="006037C1"/>
    <w:rsid w:val="00605042"/>
    <w:rsid w:val="00611FC4"/>
    <w:rsid w:val="006176FB"/>
    <w:rsid w:val="00617D6F"/>
    <w:rsid w:val="00625E08"/>
    <w:rsid w:val="006274D2"/>
    <w:rsid w:val="00640B26"/>
    <w:rsid w:val="00652D0A"/>
    <w:rsid w:val="00662BB6"/>
    <w:rsid w:val="00671B51"/>
    <w:rsid w:val="0067362F"/>
    <w:rsid w:val="00675E61"/>
    <w:rsid w:val="00676606"/>
    <w:rsid w:val="00682D93"/>
    <w:rsid w:val="00684C21"/>
    <w:rsid w:val="006A2530"/>
    <w:rsid w:val="006C3589"/>
    <w:rsid w:val="006D37AF"/>
    <w:rsid w:val="006D51D0"/>
    <w:rsid w:val="006D5FB9"/>
    <w:rsid w:val="006D658E"/>
    <w:rsid w:val="006E564B"/>
    <w:rsid w:val="006E7191"/>
    <w:rsid w:val="006F6C44"/>
    <w:rsid w:val="00703577"/>
    <w:rsid w:val="00705894"/>
    <w:rsid w:val="007066D7"/>
    <w:rsid w:val="007151B8"/>
    <w:rsid w:val="007159F6"/>
    <w:rsid w:val="0072447C"/>
    <w:rsid w:val="0072632A"/>
    <w:rsid w:val="007327D5"/>
    <w:rsid w:val="00741ECC"/>
    <w:rsid w:val="00743255"/>
    <w:rsid w:val="00743DBC"/>
    <w:rsid w:val="007629C8"/>
    <w:rsid w:val="0077047D"/>
    <w:rsid w:val="00791B60"/>
    <w:rsid w:val="007B418D"/>
    <w:rsid w:val="007B6BA5"/>
    <w:rsid w:val="007B712F"/>
    <w:rsid w:val="007C2986"/>
    <w:rsid w:val="007C3390"/>
    <w:rsid w:val="007C4048"/>
    <w:rsid w:val="007C4F4B"/>
    <w:rsid w:val="007C6D1E"/>
    <w:rsid w:val="007E01E9"/>
    <w:rsid w:val="007E63F3"/>
    <w:rsid w:val="007F6611"/>
    <w:rsid w:val="00811920"/>
    <w:rsid w:val="00815AD0"/>
    <w:rsid w:val="00815EDB"/>
    <w:rsid w:val="008242D7"/>
    <w:rsid w:val="008257B1"/>
    <w:rsid w:val="00830D0C"/>
    <w:rsid w:val="00832334"/>
    <w:rsid w:val="00843767"/>
    <w:rsid w:val="008442C4"/>
    <w:rsid w:val="008444DB"/>
    <w:rsid w:val="00846E5C"/>
    <w:rsid w:val="00850079"/>
    <w:rsid w:val="008529DF"/>
    <w:rsid w:val="008679D9"/>
    <w:rsid w:val="008878DE"/>
    <w:rsid w:val="008979B1"/>
    <w:rsid w:val="008A1ED5"/>
    <w:rsid w:val="008A6B25"/>
    <w:rsid w:val="008A6C4F"/>
    <w:rsid w:val="008A7175"/>
    <w:rsid w:val="008B2335"/>
    <w:rsid w:val="008B2E36"/>
    <w:rsid w:val="008B54E3"/>
    <w:rsid w:val="008B7AF8"/>
    <w:rsid w:val="008C279B"/>
    <w:rsid w:val="008C3B4B"/>
    <w:rsid w:val="008E0678"/>
    <w:rsid w:val="008F31D2"/>
    <w:rsid w:val="00915EF6"/>
    <w:rsid w:val="009223CA"/>
    <w:rsid w:val="00927195"/>
    <w:rsid w:val="00940104"/>
    <w:rsid w:val="00940F93"/>
    <w:rsid w:val="00941265"/>
    <w:rsid w:val="009448C3"/>
    <w:rsid w:val="00972943"/>
    <w:rsid w:val="009760F3"/>
    <w:rsid w:val="00976CFB"/>
    <w:rsid w:val="009913D0"/>
    <w:rsid w:val="009A0830"/>
    <w:rsid w:val="009A0E8D"/>
    <w:rsid w:val="009B14CA"/>
    <w:rsid w:val="009B26E7"/>
    <w:rsid w:val="009B64BB"/>
    <w:rsid w:val="009C465E"/>
    <w:rsid w:val="009C584A"/>
    <w:rsid w:val="009F7AFB"/>
    <w:rsid w:val="00A00697"/>
    <w:rsid w:val="00A00A3F"/>
    <w:rsid w:val="00A01489"/>
    <w:rsid w:val="00A17A27"/>
    <w:rsid w:val="00A17DDB"/>
    <w:rsid w:val="00A3026E"/>
    <w:rsid w:val="00A31837"/>
    <w:rsid w:val="00A338F1"/>
    <w:rsid w:val="00A35BE0"/>
    <w:rsid w:val="00A60A05"/>
    <w:rsid w:val="00A6129C"/>
    <w:rsid w:val="00A72F22"/>
    <w:rsid w:val="00A7360F"/>
    <w:rsid w:val="00A748A6"/>
    <w:rsid w:val="00A769F4"/>
    <w:rsid w:val="00A776B4"/>
    <w:rsid w:val="00A87AC9"/>
    <w:rsid w:val="00A90A3A"/>
    <w:rsid w:val="00A94361"/>
    <w:rsid w:val="00A9647D"/>
    <w:rsid w:val="00A97130"/>
    <w:rsid w:val="00AA03C5"/>
    <w:rsid w:val="00AA293C"/>
    <w:rsid w:val="00AC1579"/>
    <w:rsid w:val="00AD523C"/>
    <w:rsid w:val="00B11142"/>
    <w:rsid w:val="00B26427"/>
    <w:rsid w:val="00B30179"/>
    <w:rsid w:val="00B421C1"/>
    <w:rsid w:val="00B53C21"/>
    <w:rsid w:val="00B55C71"/>
    <w:rsid w:val="00B56E4A"/>
    <w:rsid w:val="00B56E9C"/>
    <w:rsid w:val="00B64B1F"/>
    <w:rsid w:val="00B6553F"/>
    <w:rsid w:val="00B65F2C"/>
    <w:rsid w:val="00B73F14"/>
    <w:rsid w:val="00B77D05"/>
    <w:rsid w:val="00B81206"/>
    <w:rsid w:val="00B81E12"/>
    <w:rsid w:val="00B96A3E"/>
    <w:rsid w:val="00BC18C0"/>
    <w:rsid w:val="00BC3FA0"/>
    <w:rsid w:val="00BC74E9"/>
    <w:rsid w:val="00BD4EA1"/>
    <w:rsid w:val="00BF68A8"/>
    <w:rsid w:val="00C11A03"/>
    <w:rsid w:val="00C12C3B"/>
    <w:rsid w:val="00C22C0C"/>
    <w:rsid w:val="00C254AE"/>
    <w:rsid w:val="00C4527F"/>
    <w:rsid w:val="00C463DD"/>
    <w:rsid w:val="00C4724C"/>
    <w:rsid w:val="00C629A0"/>
    <w:rsid w:val="00C64629"/>
    <w:rsid w:val="00C736EA"/>
    <w:rsid w:val="00C745C3"/>
    <w:rsid w:val="00C773B0"/>
    <w:rsid w:val="00C94791"/>
    <w:rsid w:val="00C96DF2"/>
    <w:rsid w:val="00CB3E03"/>
    <w:rsid w:val="00CC0C0C"/>
    <w:rsid w:val="00CD4AA6"/>
    <w:rsid w:val="00CE3A44"/>
    <w:rsid w:val="00CE4A8F"/>
    <w:rsid w:val="00CF1B46"/>
    <w:rsid w:val="00D0776B"/>
    <w:rsid w:val="00D2031B"/>
    <w:rsid w:val="00D248B6"/>
    <w:rsid w:val="00D25FE2"/>
    <w:rsid w:val="00D26E07"/>
    <w:rsid w:val="00D40FD3"/>
    <w:rsid w:val="00D43252"/>
    <w:rsid w:val="00D47EEA"/>
    <w:rsid w:val="00D75CBA"/>
    <w:rsid w:val="00D773DF"/>
    <w:rsid w:val="00D8343F"/>
    <w:rsid w:val="00D866CC"/>
    <w:rsid w:val="00D95303"/>
    <w:rsid w:val="00D978C6"/>
    <w:rsid w:val="00DA1A1F"/>
    <w:rsid w:val="00DA3C1C"/>
    <w:rsid w:val="00DA4496"/>
    <w:rsid w:val="00DC0DB1"/>
    <w:rsid w:val="00DC6D39"/>
    <w:rsid w:val="00DD1EA7"/>
    <w:rsid w:val="00DD213B"/>
    <w:rsid w:val="00E046DF"/>
    <w:rsid w:val="00E1174F"/>
    <w:rsid w:val="00E13364"/>
    <w:rsid w:val="00E22B0C"/>
    <w:rsid w:val="00E27346"/>
    <w:rsid w:val="00E27A86"/>
    <w:rsid w:val="00E40A45"/>
    <w:rsid w:val="00E560CA"/>
    <w:rsid w:val="00E71BC8"/>
    <w:rsid w:val="00E7260F"/>
    <w:rsid w:val="00E73F5D"/>
    <w:rsid w:val="00E77E4E"/>
    <w:rsid w:val="00E84793"/>
    <w:rsid w:val="00E95D2E"/>
    <w:rsid w:val="00E96630"/>
    <w:rsid w:val="00EA14A0"/>
    <w:rsid w:val="00EA2A77"/>
    <w:rsid w:val="00EA474D"/>
    <w:rsid w:val="00EB1731"/>
    <w:rsid w:val="00EC3361"/>
    <w:rsid w:val="00ED125E"/>
    <w:rsid w:val="00ED377D"/>
    <w:rsid w:val="00ED7A2A"/>
    <w:rsid w:val="00EE024D"/>
    <w:rsid w:val="00EF1D7F"/>
    <w:rsid w:val="00F067FC"/>
    <w:rsid w:val="00F26689"/>
    <w:rsid w:val="00F31E5F"/>
    <w:rsid w:val="00F45B6B"/>
    <w:rsid w:val="00F6100A"/>
    <w:rsid w:val="00F6490D"/>
    <w:rsid w:val="00F64C87"/>
    <w:rsid w:val="00F93781"/>
    <w:rsid w:val="00FB613B"/>
    <w:rsid w:val="00FC68B7"/>
    <w:rsid w:val="00FD3F98"/>
    <w:rsid w:val="00FE106A"/>
    <w:rsid w:val="00FE6AEC"/>
    <w:rsid w:val="00FE7450"/>
    <w:rsid w:val="00FF145D"/>
    <w:rsid w:val="00FF22D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4013E8BC"/>
  <w15:chartTrackingRefBased/>
  <w15:docId w15:val="{BC85D1F3-D420-4218-8AAD-13BF4802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3A2024"/>
    <w:rPr>
      <w:sz w:val="18"/>
      <w:lang w:val="en-GB" w:eastAsia="en-US" w:bidi="ar-SA"/>
    </w:rPr>
  </w:style>
  <w:style w:type="character" w:customStyle="1" w:styleId="BodyText3Char">
    <w:name w:val="Body Text 3 Char"/>
    <w:link w:val="BodyText3"/>
    <w:locked/>
    <w:rsid w:val="003A2024"/>
    <w:rPr>
      <w:sz w:val="16"/>
      <w:szCs w:val="16"/>
      <w:lang w:val="en-GB" w:eastAsia="en-US" w:bidi="ar-SA"/>
    </w:rPr>
  </w:style>
  <w:style w:type="character" w:customStyle="1" w:styleId="BodyTextIndent2Char">
    <w:name w:val="Body Text Indent 2 Char"/>
    <w:link w:val="BodyTextIndent2"/>
    <w:locked/>
    <w:rsid w:val="003A2024"/>
    <w:rPr>
      <w:lang w:val="en-GB" w:eastAsia="en-US" w:bidi="ar-SA"/>
    </w:rPr>
  </w:style>
  <w:style w:type="character" w:customStyle="1" w:styleId="BodyTextIndent3Char">
    <w:name w:val="Body Text Indent 3 Char"/>
    <w:link w:val="BodyTextIndent3"/>
    <w:locked/>
    <w:rsid w:val="003A2024"/>
    <w:rPr>
      <w:sz w:val="16"/>
      <w:szCs w:val="16"/>
      <w:lang w:val="en-GB" w:eastAsia="en-US" w:bidi="ar-SA"/>
    </w:rPr>
  </w:style>
  <w:style w:type="character" w:customStyle="1" w:styleId="BodyTextChar">
    <w:name w:val="Body Text Char"/>
    <w:link w:val="BodyText"/>
    <w:locked/>
    <w:rsid w:val="003A2024"/>
    <w:rPr>
      <w:lang w:val="en-GB" w:eastAsia="en-US" w:bidi="ar-SA"/>
    </w:rPr>
  </w:style>
  <w:style w:type="paragraph" w:styleId="ListParagraph">
    <w:name w:val="List Paragraph"/>
    <w:basedOn w:val="Normal"/>
    <w:qFormat/>
    <w:rsid w:val="003A2024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6037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37C1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6ECA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A6ECA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A6ECA"/>
    <w:rPr>
      <w:b/>
      <w:bCs/>
      <w:lang w:eastAsia="en-US"/>
    </w:rPr>
  </w:style>
  <w:style w:type="paragraph" w:styleId="TOC1">
    <w:name w:val="toc 1"/>
    <w:basedOn w:val="Normal"/>
    <w:next w:val="Normal"/>
    <w:autoRedefine/>
    <w:uiPriority w:val="39"/>
    <w:rsid w:val="00617D6F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617D6F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759EA-666A-412E-A24D-94EAE912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Schramm</dc:creator>
  <cp:keywords/>
  <cp:lastModifiedBy>Secretariat</cp:lastModifiedBy>
  <cp:revision>2</cp:revision>
  <cp:lastPrinted>2018-08-31T09:11:00Z</cp:lastPrinted>
  <dcterms:created xsi:type="dcterms:W3CDTF">2018-09-03T14:42:00Z</dcterms:created>
  <dcterms:modified xsi:type="dcterms:W3CDTF">2018-09-03T14:42:00Z</dcterms:modified>
</cp:coreProperties>
</file>