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767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7677F" w:rsidP="0087677F">
            <w:pPr>
              <w:jc w:val="right"/>
            </w:pPr>
            <w:r w:rsidRPr="0087677F">
              <w:rPr>
                <w:sz w:val="40"/>
              </w:rPr>
              <w:t>ECE</w:t>
            </w:r>
            <w:r>
              <w:t>/TRANS/WP.29/2018/142</w:t>
            </w:r>
          </w:p>
        </w:tc>
      </w:tr>
      <w:tr w:rsidR="002D5AAC" w:rsidRPr="00CE0B14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7677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87677F" w:rsidRDefault="0087677F" w:rsidP="0087677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August 2018</w:t>
            </w:r>
          </w:p>
          <w:p w:rsidR="0087677F" w:rsidRDefault="0087677F" w:rsidP="0087677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7677F" w:rsidRPr="008D53B6" w:rsidRDefault="0087677F" w:rsidP="0087677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87677F" w:rsidRPr="0087677F" w:rsidRDefault="0087677F" w:rsidP="0087677F">
      <w:pPr>
        <w:spacing w:before="120"/>
        <w:rPr>
          <w:sz w:val="28"/>
          <w:szCs w:val="28"/>
        </w:rPr>
      </w:pPr>
      <w:r w:rsidRPr="0087677F">
        <w:rPr>
          <w:sz w:val="28"/>
          <w:szCs w:val="28"/>
        </w:rPr>
        <w:t>Комитет по внутреннему транспорту</w:t>
      </w:r>
    </w:p>
    <w:p w:rsidR="0087677F" w:rsidRPr="0087677F" w:rsidRDefault="0087677F" w:rsidP="0087677F">
      <w:pPr>
        <w:spacing w:before="120"/>
        <w:rPr>
          <w:b/>
          <w:bCs/>
          <w:sz w:val="24"/>
          <w:szCs w:val="24"/>
        </w:rPr>
      </w:pPr>
      <w:r w:rsidRPr="0087677F">
        <w:rPr>
          <w:b/>
          <w:bCs/>
          <w:sz w:val="24"/>
          <w:szCs w:val="24"/>
        </w:rPr>
        <w:t>Всемирны</w:t>
      </w:r>
      <w:r>
        <w:rPr>
          <w:b/>
          <w:bCs/>
          <w:sz w:val="24"/>
          <w:szCs w:val="24"/>
        </w:rPr>
        <w:t>й форум для согласования правил</w:t>
      </w:r>
      <w:r>
        <w:rPr>
          <w:b/>
          <w:bCs/>
          <w:sz w:val="24"/>
          <w:szCs w:val="24"/>
        </w:rPr>
        <w:br/>
      </w:r>
      <w:r w:rsidRPr="0087677F">
        <w:rPr>
          <w:b/>
          <w:bCs/>
          <w:sz w:val="24"/>
          <w:szCs w:val="24"/>
        </w:rPr>
        <w:t>в области транспортных средств</w:t>
      </w:r>
    </w:p>
    <w:p w:rsidR="0087677F" w:rsidRPr="0087677F" w:rsidRDefault="0087677F" w:rsidP="0087677F">
      <w:pPr>
        <w:spacing w:before="120"/>
        <w:rPr>
          <w:b/>
          <w:bCs/>
        </w:rPr>
      </w:pPr>
      <w:r w:rsidRPr="0087677F">
        <w:rPr>
          <w:b/>
          <w:bCs/>
        </w:rPr>
        <w:t>176-</w:t>
      </w:r>
      <w:r w:rsidR="00CE0B14">
        <w:rPr>
          <w:b/>
          <w:bCs/>
        </w:rPr>
        <w:t xml:space="preserve">я </w:t>
      </w:r>
      <w:r w:rsidRPr="0087677F">
        <w:rPr>
          <w:b/>
          <w:bCs/>
        </w:rPr>
        <w:t>сессия</w:t>
      </w:r>
    </w:p>
    <w:p w:rsidR="0087677F" w:rsidRPr="0087677F" w:rsidRDefault="0087677F" w:rsidP="0087677F">
      <w:r w:rsidRPr="0087677F">
        <w:t>Женева, 13–16 ноября 2018 года</w:t>
      </w:r>
    </w:p>
    <w:p w:rsidR="0087677F" w:rsidRPr="0087677F" w:rsidRDefault="0087677F" w:rsidP="0087677F">
      <w:pPr>
        <w:rPr>
          <w:b/>
          <w:bCs/>
        </w:rPr>
      </w:pPr>
      <w:r w:rsidRPr="0087677F">
        <w:t>Пункт 4.8.16 предварительной повестки дня</w:t>
      </w:r>
    </w:p>
    <w:p w:rsidR="0087677F" w:rsidRPr="0087677F" w:rsidRDefault="0087677F" w:rsidP="0087677F">
      <w:pPr>
        <w:rPr>
          <w:b/>
          <w:bCs/>
        </w:rPr>
      </w:pPr>
      <w:r w:rsidRPr="0087677F">
        <w:rPr>
          <w:b/>
          <w:bCs/>
        </w:rPr>
        <w:t>Соглашение 1958 года:</w:t>
      </w:r>
      <w:r>
        <w:rPr>
          <w:b/>
          <w:bCs/>
        </w:rPr>
        <w:br/>
      </w:r>
      <w:r w:rsidRPr="0087677F">
        <w:rPr>
          <w:b/>
          <w:bCs/>
        </w:rPr>
        <w:t>Рассмотрение проектов поправок к существующим</w:t>
      </w:r>
      <w:r>
        <w:rPr>
          <w:b/>
          <w:bCs/>
        </w:rPr>
        <w:br/>
      </w:r>
      <w:r w:rsidRPr="0087677F">
        <w:rPr>
          <w:b/>
          <w:bCs/>
        </w:rPr>
        <w:t>правилам ООН, представленных</w:t>
      </w:r>
      <w:r w:rsidRPr="0087677F">
        <w:rPr>
          <w:b/>
        </w:rPr>
        <w:t xml:space="preserve"> </w:t>
      </w:r>
      <w:r w:rsidRPr="0087677F">
        <w:rPr>
          <w:b/>
          <w:lang w:val="en-GB"/>
        </w:rPr>
        <w:t>GRSP</w:t>
      </w:r>
      <w:r w:rsidRPr="0087677F">
        <w:rPr>
          <w:b/>
        </w:rPr>
        <w:t xml:space="preserve"> </w:t>
      </w:r>
    </w:p>
    <w:p w:rsidR="0087677F" w:rsidRPr="0087677F" w:rsidRDefault="0087677F" w:rsidP="0087677F">
      <w:pPr>
        <w:pStyle w:val="HChGR"/>
      </w:pPr>
      <w:r w:rsidRPr="0087677F">
        <w:tab/>
      </w:r>
      <w:r w:rsidRPr="0087677F">
        <w:tab/>
        <w:t>Предложение по поправкам серии 09 к Правилам № 17 ООН (прочность сидений)</w:t>
      </w:r>
    </w:p>
    <w:p w:rsidR="0087677F" w:rsidRPr="0087677F" w:rsidRDefault="0087677F" w:rsidP="0087677F">
      <w:pPr>
        <w:pStyle w:val="H1GR"/>
      </w:pPr>
      <w:r>
        <w:tab/>
      </w:r>
      <w:r>
        <w:tab/>
      </w:r>
      <w:r w:rsidRPr="0087677F">
        <w:t>Представлено Рабочей группой по пассивной безопасности</w:t>
      </w:r>
      <w:r w:rsidRPr="0087677F">
        <w:rPr>
          <w:b w:val="0"/>
          <w:sz w:val="20"/>
        </w:rPr>
        <w:footnoteReference w:customMarkFollows="1" w:id="1"/>
        <w:t>*</w:t>
      </w:r>
    </w:p>
    <w:p w:rsidR="0087677F" w:rsidRPr="0087677F" w:rsidRDefault="0087677F" w:rsidP="0087677F">
      <w:pPr>
        <w:pStyle w:val="SingleTxtGR"/>
      </w:pPr>
      <w:r>
        <w:tab/>
      </w:r>
      <w:r w:rsidRPr="0087677F">
        <w:t>Воспроизведенный ниже текст был принят Рабочей группой по пассивной безопасности (</w:t>
      </w:r>
      <w:r w:rsidRPr="0087677F">
        <w:rPr>
          <w:lang w:val="en-US"/>
        </w:rPr>
        <w:t>GRSP</w:t>
      </w:r>
      <w:r w:rsidRPr="0087677F">
        <w:t>) на ее шестьдесят третьей сессии (</w:t>
      </w:r>
      <w:r w:rsidRPr="0087677F">
        <w:rPr>
          <w:lang w:val="en-GB"/>
        </w:rPr>
        <w:t>ECE</w:t>
      </w:r>
      <w:r w:rsidRPr="0087677F">
        <w:t>/</w:t>
      </w:r>
      <w:r w:rsidRPr="0087677F">
        <w:rPr>
          <w:lang w:val="en-GB"/>
        </w:rPr>
        <w:t>TRANS</w:t>
      </w:r>
      <w:r w:rsidRPr="0087677F">
        <w:t>/</w:t>
      </w:r>
      <w:r w:rsidRPr="0087677F">
        <w:rPr>
          <w:lang w:val="en-GB"/>
        </w:rPr>
        <w:t>WP</w:t>
      </w:r>
      <w:r w:rsidRPr="0087677F">
        <w:t>.29/</w:t>
      </w:r>
      <w:r w:rsidRPr="0087677F">
        <w:rPr>
          <w:lang w:val="en-GB"/>
        </w:rPr>
        <w:t>GRSP</w:t>
      </w:r>
      <w:r w:rsidRPr="0087677F">
        <w:t xml:space="preserve">/63, пункт 19). </w:t>
      </w:r>
      <w:bookmarkStart w:id="1" w:name="OLE_LINK24"/>
      <w:bookmarkStart w:id="2" w:name="OLE_LINK25"/>
      <w:r w:rsidRPr="0087677F">
        <w:t xml:space="preserve">В его основу положен документ </w:t>
      </w:r>
      <w:r w:rsidRPr="0087677F">
        <w:rPr>
          <w:lang w:val="en-GB"/>
        </w:rPr>
        <w:t>ECE</w:t>
      </w:r>
      <w:r w:rsidRPr="0087677F">
        <w:t>/</w:t>
      </w:r>
      <w:r w:rsidRPr="0087677F">
        <w:rPr>
          <w:lang w:val="en-GB"/>
        </w:rPr>
        <w:t>TRANS</w:t>
      </w:r>
      <w:r w:rsidRPr="0087677F">
        <w:t>/</w:t>
      </w:r>
      <w:r w:rsidRPr="0087677F">
        <w:rPr>
          <w:lang w:val="en-GB"/>
        </w:rPr>
        <w:t>WP</w:t>
      </w:r>
      <w:r w:rsidRPr="0087677F">
        <w:t>.29/</w:t>
      </w:r>
      <w:r w:rsidRPr="0087677F">
        <w:rPr>
          <w:lang w:val="en-GB"/>
        </w:rPr>
        <w:t>GRSP</w:t>
      </w:r>
      <w:r w:rsidRPr="0087677F">
        <w:t>/2018/4</w:t>
      </w:r>
      <w:bookmarkEnd w:id="1"/>
      <w:bookmarkEnd w:id="2"/>
      <w:r w:rsidRPr="0087677F">
        <w:t xml:space="preserve"> с поправками, содержащимися в приложении </w:t>
      </w:r>
      <w:r w:rsidRPr="0087677F">
        <w:rPr>
          <w:lang w:val="en-US"/>
        </w:rPr>
        <w:t>VI</w:t>
      </w:r>
      <w:r w:rsidRPr="0087677F">
        <w:t xml:space="preserve"> к докладу. Этот текст представлен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2018 года.</w:t>
      </w:r>
    </w:p>
    <w:p w:rsidR="0087677F" w:rsidRPr="0087677F" w:rsidRDefault="0087677F" w:rsidP="0087677F">
      <w:pPr>
        <w:pStyle w:val="SingleTxtGR"/>
        <w:rPr>
          <w:b/>
        </w:rPr>
      </w:pPr>
      <w:bookmarkStart w:id="3" w:name="_Toc354410587"/>
      <w:r w:rsidRPr="0087677F">
        <w:rPr>
          <w:b/>
        </w:rPr>
        <w:br w:type="page"/>
      </w:r>
    </w:p>
    <w:p w:rsidR="0087677F" w:rsidRPr="0087677F" w:rsidRDefault="0087677F" w:rsidP="0087677F">
      <w:pPr>
        <w:pStyle w:val="HChGR"/>
      </w:pPr>
      <w:r w:rsidRPr="0087677F">
        <w:lastRenderedPageBreak/>
        <w:tab/>
      </w:r>
      <w:bookmarkStart w:id="4" w:name="_Toc473483449"/>
      <w:bookmarkEnd w:id="3"/>
      <w:r w:rsidRPr="0087677F">
        <w:tab/>
        <w:t>Поправки серии 09 к Правилам № 17 ООН (прочность сидений)</w:t>
      </w:r>
    </w:p>
    <w:bookmarkEnd w:id="4"/>
    <w:p w:rsidR="0087677F" w:rsidRPr="0087677F" w:rsidRDefault="0087677F" w:rsidP="0087677F">
      <w:pPr>
        <w:pStyle w:val="SingleTxtGR"/>
      </w:pPr>
      <w:r w:rsidRPr="0087677F">
        <w:rPr>
          <w:i/>
        </w:rPr>
        <w:t xml:space="preserve">Пункт 4.2 </w:t>
      </w:r>
      <w:r w:rsidRPr="0087677F">
        <w:t>изменить следующим образом:</w:t>
      </w:r>
    </w:p>
    <w:p w:rsidR="0087677F" w:rsidRPr="0087677F" w:rsidRDefault="0087677F" w:rsidP="0087677F">
      <w:pPr>
        <w:pStyle w:val="SingleTxtGR"/>
        <w:ind w:left="2268" w:hanging="1134"/>
      </w:pPr>
      <w:r w:rsidRPr="0087677F">
        <w:t>«4.2</w:t>
      </w:r>
      <w:r w:rsidRPr="0087677F">
        <w:tab/>
      </w:r>
      <w:r w:rsidRPr="0087677F">
        <w:tab/>
        <w:t xml:space="preserve">Каждому официально утвержденному типу присваивается номер официального утверждения, первые две цифры которого (в настоящее время 09, что соответствует поправкам серии </w:t>
      </w:r>
      <w:proofErr w:type="gramStart"/>
      <w:r w:rsidRPr="0087677F">
        <w:t>09</w:t>
      </w:r>
      <w:r>
        <w:t>)</w:t>
      </w:r>
      <w:r w:rsidRPr="0087677F">
        <w:t>...</w:t>
      </w:r>
      <w:proofErr w:type="gramEnd"/>
      <w:r w:rsidRPr="0087677F">
        <w:t>».</w:t>
      </w:r>
    </w:p>
    <w:p w:rsidR="0087677F" w:rsidRPr="0087677F" w:rsidRDefault="0087677F" w:rsidP="0087677F">
      <w:pPr>
        <w:pStyle w:val="SingleTxtGR"/>
        <w:rPr>
          <w:i/>
        </w:rPr>
      </w:pPr>
      <w:r w:rsidRPr="0087677F">
        <w:rPr>
          <w:i/>
        </w:rPr>
        <w:t>Пункты 5.16.1 и 5.16.2</w:t>
      </w:r>
      <w:r w:rsidRPr="0087677F">
        <w:t xml:space="preserve"> изменить следующим образом:</w:t>
      </w:r>
    </w:p>
    <w:p w:rsidR="0087677F" w:rsidRPr="0087677F" w:rsidRDefault="0087677F" w:rsidP="0087677F">
      <w:pPr>
        <w:pStyle w:val="SingleTxtGR"/>
      </w:pPr>
      <w:r w:rsidRPr="0087677F">
        <w:t>«5.16.1</w:t>
      </w:r>
      <w:r w:rsidRPr="0087677F">
        <w:tab/>
        <w:t xml:space="preserve">Спинки сидений </w:t>
      </w:r>
    </w:p>
    <w:p w:rsidR="0087677F" w:rsidRPr="0087677F" w:rsidRDefault="0087677F" w:rsidP="0087677F">
      <w:pPr>
        <w:pStyle w:val="SingleTxtGR"/>
        <w:ind w:left="2268" w:hanging="1134"/>
      </w:pPr>
      <w:r>
        <w:tab/>
      </w:r>
      <w:r>
        <w:tab/>
      </w:r>
      <w:r w:rsidRPr="0087677F">
        <w:t>Спинки сидений и/или подголовники, расположенные таким образом, чтобы они ограничивали багажное отделение спереди, должны быть достаточно прочными для защиты водителя и пассажиров в случае смещения багажа при лобовом столкновении, причем все сиденья должны быть на месте и в обычном положении использования, как это указано изготовителем. Это требование считается выполненным, если в ходе и после испытания, описанного в приложении 9, спинки сидений остаются в надлежащем положении, а</w:t>
      </w:r>
      <w:r w:rsidRPr="0087677F">
        <w:rPr>
          <w:lang w:val="en-GB"/>
        </w:rPr>
        <w:t> </w:t>
      </w:r>
      <w:r w:rsidRPr="0087677F">
        <w:t xml:space="preserve">механизмы блокировки − на месте. Вместе с тем допускается деформация спинок сидений и их креплений в ходе испытаний при условии, что передняя граница элементов спинок испытываемых сидений и/или подголовников, твердость которых составляет более 50 единиц по </w:t>
      </w:r>
      <w:proofErr w:type="spellStart"/>
      <w:r w:rsidRPr="0087677F">
        <w:t>Шору</w:t>
      </w:r>
      <w:proofErr w:type="spellEnd"/>
      <w:r w:rsidRPr="0087677F">
        <w:t xml:space="preserve"> (</w:t>
      </w:r>
      <w:r w:rsidRPr="0087677F">
        <w:rPr>
          <w:lang w:val="en-GB"/>
        </w:rPr>
        <w:t>A</w:t>
      </w:r>
      <w:r w:rsidRPr="0087677F">
        <w:t>), не смещается вперед относительно поперечной вертикальной плоскости, проходящей через:</w:t>
      </w:r>
    </w:p>
    <w:p w:rsidR="0087677F" w:rsidRPr="0087677F" w:rsidRDefault="0087677F" w:rsidP="0087677F">
      <w:pPr>
        <w:pStyle w:val="SingleTxtGR"/>
        <w:ind w:left="2835" w:hanging="1701"/>
      </w:pPr>
      <w:r w:rsidRPr="00CE0B14">
        <w:tab/>
      </w:r>
      <w:r w:rsidRPr="00CE0B14">
        <w:tab/>
      </w:r>
      <w:r w:rsidRPr="0087677F">
        <w:rPr>
          <w:lang w:val="en-GB"/>
        </w:rPr>
        <w:t>a</w:t>
      </w:r>
      <w:r w:rsidRPr="0087677F">
        <w:t>)</w:t>
      </w:r>
      <w:r w:rsidRPr="0087677F">
        <w:tab/>
        <w:t>точку, расположенную на расстоянии 150 мм перед точкой</w:t>
      </w:r>
      <w:r w:rsidRPr="0087677F">
        <w:rPr>
          <w:lang w:val="en-US"/>
        </w:rPr>
        <w:t> </w:t>
      </w:r>
      <w:r w:rsidRPr="0087677F">
        <w:rPr>
          <w:lang w:val="en-GB"/>
        </w:rPr>
        <w:t>R</w:t>
      </w:r>
      <w:r w:rsidRPr="0087677F">
        <w:t xml:space="preserve"> данного сиденья для элементов подголовника;</w:t>
      </w:r>
    </w:p>
    <w:p w:rsidR="0087677F" w:rsidRPr="0087677F" w:rsidRDefault="0087677F" w:rsidP="0087677F">
      <w:pPr>
        <w:pStyle w:val="SingleTxtGR"/>
        <w:ind w:left="2835" w:hanging="1701"/>
      </w:pPr>
      <w:r w:rsidRPr="00CE0B14">
        <w:tab/>
      </w:r>
      <w:r w:rsidRPr="00CE0B14">
        <w:tab/>
      </w:r>
      <w:r w:rsidRPr="0087677F">
        <w:rPr>
          <w:lang w:val="en-GB"/>
        </w:rPr>
        <w:t>b</w:t>
      </w:r>
      <w:r w:rsidRPr="0087677F">
        <w:t>)</w:t>
      </w:r>
      <w:r w:rsidRPr="0087677F">
        <w:tab/>
        <w:t>точку, расположенную на расстоянии 100 мм перед точкой</w:t>
      </w:r>
      <w:r w:rsidRPr="0087677F">
        <w:rPr>
          <w:lang w:val="en-US"/>
        </w:rPr>
        <w:t> </w:t>
      </w:r>
      <w:r w:rsidRPr="0087677F">
        <w:rPr>
          <w:lang w:val="en-GB"/>
        </w:rPr>
        <w:t>R</w:t>
      </w:r>
      <w:r w:rsidRPr="0087677F">
        <w:t xml:space="preserve"> данного сиденья для элементов спинки сиденья;</w:t>
      </w:r>
    </w:p>
    <w:p w:rsidR="0087677F" w:rsidRPr="0087677F" w:rsidRDefault="0087677F" w:rsidP="0087677F">
      <w:pPr>
        <w:pStyle w:val="SingleTxtGR"/>
      </w:pPr>
      <w:r>
        <w:tab/>
      </w:r>
      <w:r>
        <w:tab/>
      </w:r>
      <w:r w:rsidRPr="0087677F">
        <w:t>за исключением фаз обратного движения испытательных блоков.</w:t>
      </w:r>
    </w:p>
    <w:p w:rsidR="0087677F" w:rsidRPr="0087677F" w:rsidRDefault="0087677F" w:rsidP="0087677F">
      <w:pPr>
        <w:pStyle w:val="SingleTxtGR"/>
        <w:ind w:left="2268" w:hanging="1134"/>
      </w:pPr>
      <w:r>
        <w:tab/>
      </w:r>
      <w:r>
        <w:tab/>
      </w:r>
      <w:r w:rsidRPr="0087677F">
        <w:t>Для подголовника встроенной конструкции граница между подголовником и спинкой сиденья определяется плоскостью, перпендикулярной исходной линии и расположенной на расстоянии</w:t>
      </w:r>
      <w:r w:rsidR="005015CE">
        <w:t xml:space="preserve"> 540 </w:t>
      </w:r>
      <w:r w:rsidRPr="0087677F">
        <w:t>мм от точки </w:t>
      </w:r>
      <w:r w:rsidRPr="0087677F">
        <w:rPr>
          <w:lang w:val="en-GB"/>
        </w:rPr>
        <w:t>R</w:t>
      </w:r>
      <w:r w:rsidRPr="0087677F">
        <w:t>.</w:t>
      </w:r>
    </w:p>
    <w:p w:rsidR="0087677F" w:rsidRPr="0087677F" w:rsidRDefault="0087677F" w:rsidP="0087677F">
      <w:pPr>
        <w:pStyle w:val="SingleTxtGR"/>
        <w:ind w:left="2268" w:hanging="1134"/>
      </w:pPr>
      <w:r>
        <w:tab/>
      </w:r>
      <w:r>
        <w:tab/>
      </w:r>
      <w:r w:rsidRPr="0087677F">
        <w:t>Все измерения производятся в продольной средней плоскости соответствующего сиденья или сидячего положения для каждого сиденья, являющегося передней границей багажного отделения.</w:t>
      </w:r>
    </w:p>
    <w:p w:rsidR="0087677F" w:rsidRPr="0087677F" w:rsidRDefault="0087677F" w:rsidP="0087677F">
      <w:pPr>
        <w:pStyle w:val="SingleTxtGR"/>
        <w:ind w:left="2268" w:hanging="1134"/>
      </w:pPr>
      <w:r>
        <w:tab/>
      </w:r>
      <w:r>
        <w:tab/>
      </w:r>
      <w:r w:rsidRPr="0087677F">
        <w:t xml:space="preserve">В ходе испытания, описанного в приложении 9, испытательные блоки должны оставаться позади спинки (спинок) данного сиденья (сидений). В случае повреждения устройства, втягивающего ремень безопасности, необходимо убедиться в том, что это устройство заблокировано в результате испытания или что его можно заблокировать посредством вытягивания лямки вручную. </w:t>
      </w:r>
    </w:p>
    <w:p w:rsidR="0087677F" w:rsidRPr="0087677F" w:rsidRDefault="0087677F" w:rsidP="0087677F">
      <w:pPr>
        <w:pStyle w:val="SingleTxtGR"/>
      </w:pPr>
      <w:r w:rsidRPr="0087677F">
        <w:t>5.16.2</w:t>
      </w:r>
      <w:r w:rsidRPr="0087677F">
        <w:tab/>
      </w:r>
      <w:r w:rsidRPr="0087677F">
        <w:tab/>
        <w:t>Системы перегородок</w:t>
      </w:r>
    </w:p>
    <w:p w:rsidR="0087677F" w:rsidRPr="0087677F" w:rsidRDefault="0087677F" w:rsidP="0087677F">
      <w:pPr>
        <w:pStyle w:val="SingleTxtGR"/>
        <w:ind w:left="2268" w:hanging="1134"/>
      </w:pPr>
      <w:r>
        <w:tab/>
      </w:r>
      <w:r>
        <w:tab/>
      </w:r>
      <w:r w:rsidRPr="0087677F">
        <w:t>По просьбе изготовителя транспортного средства испытание, описанное в приложении 9, может производиться при установленных системах перегородок, если эти системы установлены в качестве стандартного оборудования данного конкретного типа транспортного средства.</w:t>
      </w:r>
    </w:p>
    <w:p w:rsidR="0087677F" w:rsidRPr="0087677F" w:rsidRDefault="0087677F" w:rsidP="0087677F">
      <w:pPr>
        <w:pStyle w:val="SingleTxtGR"/>
        <w:ind w:left="2268" w:hanging="1134"/>
      </w:pPr>
      <w:r>
        <w:tab/>
      </w:r>
      <w:r>
        <w:tab/>
      </w:r>
      <w:r w:rsidRPr="0087677F">
        <w:t>Системы перегородок, представляющие собой веревочную или проволочную сетку, расположенную над спинками сидений в их нормальном положении использования, должны испытываться в соответствии с пунктом 2.2 приложения 9.</w:t>
      </w:r>
    </w:p>
    <w:p w:rsidR="0087677F" w:rsidRPr="0087677F" w:rsidRDefault="0087677F" w:rsidP="0087677F">
      <w:pPr>
        <w:pStyle w:val="SingleTxtGR"/>
        <w:ind w:left="2268" w:hanging="1134"/>
      </w:pPr>
      <w:r>
        <w:tab/>
      </w:r>
      <w:r>
        <w:tab/>
      </w:r>
      <w:r w:rsidRPr="0087677F">
        <w:t xml:space="preserve">Это требование считается выполненным, если в ходе испытания системы перегородок остаются в надлежащем положении. Вместе с тем допускается деформация систем перегородок в ходе испытания при </w:t>
      </w:r>
      <w:r w:rsidRPr="0087677F">
        <w:lastRenderedPageBreak/>
        <w:t xml:space="preserve">условии, что передняя граница системы перегородок (включая элементы испытываемой спинки (спинок) сиденья и/или подголовника (подголовников), твердость которых составляет более 50 единиц по </w:t>
      </w:r>
      <w:proofErr w:type="spellStart"/>
      <w:r w:rsidRPr="0087677F">
        <w:t>Шору</w:t>
      </w:r>
      <w:proofErr w:type="spellEnd"/>
      <w:r w:rsidRPr="0087677F">
        <w:t xml:space="preserve"> (</w:t>
      </w:r>
      <w:r w:rsidRPr="0087677F">
        <w:rPr>
          <w:lang w:val="en-GB"/>
        </w:rPr>
        <w:t>A</w:t>
      </w:r>
      <w:r w:rsidRPr="0087677F">
        <w:t>), не смещается вперед относительно поперечной вертикальной плоскости, проходящей через:</w:t>
      </w:r>
    </w:p>
    <w:p w:rsidR="0087677F" w:rsidRPr="0087677F" w:rsidRDefault="0087677F" w:rsidP="0087677F">
      <w:pPr>
        <w:pStyle w:val="SingleTxtGR"/>
        <w:ind w:left="2835" w:hanging="1701"/>
      </w:pPr>
      <w:r w:rsidRPr="00CE0B14">
        <w:tab/>
      </w:r>
      <w:r w:rsidRPr="00CE0B14">
        <w:tab/>
      </w:r>
      <w:r w:rsidRPr="0087677F">
        <w:rPr>
          <w:lang w:val="en-GB"/>
        </w:rPr>
        <w:t>a</w:t>
      </w:r>
      <w:r w:rsidRPr="0087677F">
        <w:t>)</w:t>
      </w:r>
      <w:r w:rsidRPr="0087677F">
        <w:tab/>
        <w:t>точку, расположенную на расстоянии 150 мм перед точкой </w:t>
      </w:r>
      <w:r w:rsidRPr="0087677F">
        <w:rPr>
          <w:lang w:val="en-GB"/>
        </w:rPr>
        <w:t>R</w:t>
      </w:r>
      <w:r w:rsidRPr="0087677F">
        <w:t xml:space="preserve"> данного сиденья для элементов подголовника;</w:t>
      </w:r>
    </w:p>
    <w:p w:rsidR="0087677F" w:rsidRPr="0087677F" w:rsidRDefault="0087677F" w:rsidP="0087677F">
      <w:pPr>
        <w:pStyle w:val="SingleTxtGR"/>
        <w:ind w:left="2835" w:hanging="1701"/>
      </w:pPr>
      <w:r w:rsidRPr="00CE0B14">
        <w:tab/>
      </w:r>
      <w:r w:rsidRPr="00CE0B14">
        <w:tab/>
      </w:r>
      <w:r w:rsidRPr="0087677F">
        <w:rPr>
          <w:lang w:val="en-GB"/>
        </w:rPr>
        <w:t>b</w:t>
      </w:r>
      <w:r w:rsidRPr="0087677F">
        <w:t>)</w:t>
      </w:r>
      <w:r w:rsidRPr="0087677F">
        <w:tab/>
        <w:t>точку, расположенную на расстоянии 100 мм перед точкой </w:t>
      </w:r>
      <w:r w:rsidRPr="0087677F">
        <w:rPr>
          <w:lang w:val="en-GB"/>
        </w:rPr>
        <w:t>R</w:t>
      </w:r>
      <w:r w:rsidRPr="0087677F">
        <w:t xml:space="preserve"> данного сиденья для элементов спинки сиденья и элементов системы перегородки, за исключением подголовника.</w:t>
      </w:r>
    </w:p>
    <w:p w:rsidR="0087677F" w:rsidRPr="0087677F" w:rsidRDefault="0087677F" w:rsidP="0087677F">
      <w:pPr>
        <w:pStyle w:val="SingleTxtGR"/>
        <w:ind w:left="2268" w:hanging="1134"/>
      </w:pPr>
      <w:r>
        <w:tab/>
      </w:r>
      <w:r>
        <w:tab/>
      </w:r>
      <w:r w:rsidRPr="0087677F">
        <w:t>Для подголовника со встроенной конструкцией граница между подголовником и спинкой сиденья определяется в соответствии с пунктом 5.16.1.</w:t>
      </w:r>
    </w:p>
    <w:p w:rsidR="0087677F" w:rsidRPr="0087677F" w:rsidRDefault="0087677F" w:rsidP="0087677F">
      <w:pPr>
        <w:pStyle w:val="SingleTxtGR"/>
        <w:ind w:left="2268" w:hanging="1134"/>
      </w:pPr>
      <w:r>
        <w:tab/>
      </w:r>
      <w:r>
        <w:tab/>
      </w:r>
      <w:r w:rsidRPr="0087677F">
        <w:t>Все измерения производятся в продольной средней плоскости соответствующего сиденья или сидячего положения для каждого сиденья, являющегося передней границей багажного отделения.</w:t>
      </w:r>
    </w:p>
    <w:p w:rsidR="0087677F" w:rsidRPr="0087677F" w:rsidRDefault="0087677F" w:rsidP="0087677F">
      <w:pPr>
        <w:pStyle w:val="SingleTxtGR"/>
        <w:ind w:left="2268" w:hanging="1134"/>
      </w:pPr>
      <w:r>
        <w:tab/>
      </w:r>
      <w:r>
        <w:tab/>
      </w:r>
      <w:r w:rsidRPr="0087677F">
        <w:t>После испытания не должно образовываться никаких острых краев или шероховатостей, которые могли бы повысить вероятность или серьезность ранений водителя и пассажиров.</w:t>
      </w:r>
      <w:bookmarkStart w:id="5" w:name="OLE_LINK9"/>
      <w:bookmarkStart w:id="6" w:name="OLE_LINK10"/>
      <w:r w:rsidRPr="0087677F">
        <w:t xml:space="preserve"> В случае повреждения устройства, втягивающего ремень безопасности, необходимо убедиться в том, что это устройство уже заблокировано или что его можно заблокировать посредством вытягивания лямки вручную</w:t>
      </w:r>
      <w:r w:rsidRPr="0087677F">
        <w:rPr>
          <w:bCs/>
        </w:rPr>
        <w:t>»</w:t>
      </w:r>
      <w:r w:rsidRPr="0087677F">
        <w:t>.</w:t>
      </w:r>
      <w:bookmarkEnd w:id="5"/>
      <w:bookmarkEnd w:id="6"/>
    </w:p>
    <w:p w:rsidR="0087677F" w:rsidRPr="0087677F" w:rsidRDefault="0087677F" w:rsidP="0087677F">
      <w:pPr>
        <w:pStyle w:val="SingleTxtGR"/>
      </w:pPr>
      <w:r w:rsidRPr="0087677F">
        <w:rPr>
          <w:i/>
        </w:rPr>
        <w:t>Пункт 7</w:t>
      </w:r>
      <w:r w:rsidRPr="0087677F">
        <w:t xml:space="preserve"> изменить следующим образом:</w:t>
      </w:r>
    </w:p>
    <w:p w:rsidR="0087677F" w:rsidRPr="0087677F" w:rsidRDefault="0087677F" w:rsidP="0087677F">
      <w:pPr>
        <w:pStyle w:val="H1GR"/>
      </w:pPr>
      <w:r w:rsidRPr="0087677F">
        <w:tab/>
      </w:r>
      <w:r w:rsidRPr="0087677F">
        <w:tab/>
      </w:r>
      <w:r w:rsidRPr="0087677F">
        <w:rPr>
          <w:b w:val="0"/>
        </w:rPr>
        <w:t>«</w:t>
      </w:r>
      <w:r w:rsidRPr="0087677F">
        <w:t>7.</w:t>
      </w:r>
      <w:r w:rsidRPr="0087677F">
        <w:tab/>
      </w:r>
      <w:r w:rsidRPr="0087677F">
        <w:tab/>
        <w:t>Соответствие производства</w:t>
      </w:r>
    </w:p>
    <w:p w:rsidR="0087677F" w:rsidRPr="0087677F" w:rsidRDefault="0087677F" w:rsidP="0087677F">
      <w:pPr>
        <w:pStyle w:val="SingleTxtGR"/>
        <w:ind w:left="2268" w:hanging="1134"/>
      </w:pPr>
      <w:r>
        <w:tab/>
      </w:r>
      <w:r>
        <w:tab/>
      </w:r>
      <w:r w:rsidRPr="0087677F">
        <w:t xml:space="preserve">Процедуры проверки соответствия производства должны соответствовать процедурам, изложенным в Соглашении (приложении 1 к документу </w:t>
      </w:r>
      <w:r w:rsidRPr="0087677F">
        <w:rPr>
          <w:lang w:val="en-US"/>
        </w:rPr>
        <w:t>E</w:t>
      </w:r>
      <w:r w:rsidRPr="0087677F">
        <w:t>/</w:t>
      </w:r>
      <w:r w:rsidRPr="0087677F">
        <w:rPr>
          <w:lang w:val="en-US"/>
        </w:rPr>
        <w:t>ECE</w:t>
      </w:r>
      <w:r w:rsidRPr="0087677F">
        <w:t>/</w:t>
      </w:r>
      <w:r w:rsidRPr="0087677F">
        <w:rPr>
          <w:lang w:val="en-US"/>
        </w:rPr>
        <w:t>TRANS</w:t>
      </w:r>
      <w:r w:rsidRPr="0087677F">
        <w:t>/505/</w:t>
      </w:r>
      <w:r w:rsidRPr="0087677F">
        <w:rPr>
          <w:lang w:val="en-US"/>
        </w:rPr>
        <w:t>Rev</w:t>
      </w:r>
      <w:r w:rsidRPr="0087677F">
        <w:t>.3), с учетом следующих требований:»</w:t>
      </w:r>
      <w:r>
        <w:t>.</w:t>
      </w:r>
    </w:p>
    <w:p w:rsidR="0087677F" w:rsidRPr="0087677F" w:rsidRDefault="0087677F" w:rsidP="0087677F">
      <w:pPr>
        <w:pStyle w:val="SingleTxtGR"/>
      </w:pPr>
      <w:r w:rsidRPr="0087677F">
        <w:rPr>
          <w:i/>
        </w:rPr>
        <w:t>Включить новые пункты 13.12–13.12.5</w:t>
      </w:r>
      <w:r w:rsidRPr="0087677F">
        <w:t xml:space="preserve"> следующего содержания:</w:t>
      </w:r>
    </w:p>
    <w:p w:rsidR="0087677F" w:rsidRPr="0087677F" w:rsidRDefault="0087677F" w:rsidP="0087677F">
      <w:pPr>
        <w:pStyle w:val="SingleTxtGR"/>
        <w:ind w:left="2268" w:hanging="1134"/>
        <w:rPr>
          <w:bCs/>
        </w:rPr>
      </w:pPr>
      <w:r w:rsidRPr="0087677F">
        <w:t>«</w:t>
      </w:r>
      <w:r w:rsidRPr="0087677F">
        <w:rPr>
          <w:bCs/>
        </w:rPr>
        <w:t>13.12</w:t>
      </w:r>
      <w:r w:rsidRPr="0087677F">
        <w:rPr>
          <w:bCs/>
        </w:rPr>
        <w:tab/>
      </w:r>
      <w:r w:rsidRPr="0087677F">
        <w:rPr>
          <w:bCs/>
        </w:rPr>
        <w:tab/>
        <w:t>Начиная с официальной даты вступления в силу поправок серии 09 ни одна из Договаривающихся сторон, применяющих настоящие Правила, не должна отказывать в предоставлении или признании официальных утверждений типа на основании настоящих Правил с внесенными в них поправками серии 09.</w:t>
      </w:r>
    </w:p>
    <w:p w:rsidR="0087677F" w:rsidRPr="0087677F" w:rsidRDefault="0087677F" w:rsidP="0087677F">
      <w:pPr>
        <w:pStyle w:val="SingleTxtGR"/>
        <w:ind w:left="2268" w:hanging="1134"/>
        <w:rPr>
          <w:bCs/>
        </w:rPr>
      </w:pPr>
      <w:r w:rsidRPr="0087677F">
        <w:rPr>
          <w:bCs/>
        </w:rPr>
        <w:t>13.12.1</w:t>
      </w:r>
      <w:r w:rsidRPr="0087677F">
        <w:rPr>
          <w:rFonts w:hint="eastAsia"/>
          <w:bCs/>
        </w:rPr>
        <w:tab/>
      </w:r>
      <w:r w:rsidRPr="0087677F">
        <w:rPr>
          <w:bCs/>
        </w:rPr>
        <w:t>Начиная с 1 сентября 2020 года Договаривающиеся стороны, применяющие настоящие Правила, не обязаны признавать официальные утверждения типа, выданные на основании поправок предшествующих серий, которые были первоначально распространены не ранее 1 сентября 2020 года.</w:t>
      </w:r>
    </w:p>
    <w:p w:rsidR="0087677F" w:rsidRPr="0087677F" w:rsidRDefault="0087677F" w:rsidP="0087677F">
      <w:pPr>
        <w:pStyle w:val="SingleTxtGR"/>
        <w:ind w:left="2268" w:hanging="1134"/>
        <w:rPr>
          <w:bCs/>
        </w:rPr>
      </w:pPr>
      <w:r w:rsidRPr="0087677F">
        <w:rPr>
          <w:bCs/>
        </w:rPr>
        <w:t>13.12.2</w:t>
      </w:r>
      <w:r w:rsidRPr="0087677F">
        <w:rPr>
          <w:rFonts w:hint="eastAsia"/>
          <w:bCs/>
        </w:rPr>
        <w:tab/>
      </w:r>
      <w:r w:rsidRPr="0087677F">
        <w:rPr>
          <w:bCs/>
        </w:rPr>
        <w:t>До 1 сентября 2022 года Договаривающиеся стороны, применяющие настоящие Правила, признают официальные утверждения типа на основании поправок предшествующих серий, которые были первоначально распространены до 1 сентября 2020 года.</w:t>
      </w:r>
    </w:p>
    <w:p w:rsidR="0087677F" w:rsidRPr="0087677F" w:rsidRDefault="0087677F" w:rsidP="0087677F">
      <w:pPr>
        <w:pStyle w:val="SingleTxtGR"/>
        <w:ind w:left="2268" w:hanging="1134"/>
        <w:rPr>
          <w:bCs/>
        </w:rPr>
      </w:pPr>
      <w:r w:rsidRPr="0087677F">
        <w:rPr>
          <w:bCs/>
        </w:rPr>
        <w:t>13.12.3</w:t>
      </w:r>
      <w:r w:rsidRPr="0087677F">
        <w:rPr>
          <w:rFonts w:hint="eastAsia"/>
          <w:bCs/>
        </w:rPr>
        <w:tab/>
      </w:r>
      <w:r w:rsidRPr="0087677F">
        <w:rPr>
          <w:bCs/>
        </w:rPr>
        <w:t>Начиная с 1 сентября 2022 года Договаривающиеся стороны, применяющие настоящие Правила, не обязаны признавать официальные утверждения типа, выданные на основании поправок предыдущих серий к настоящим Правилам.</w:t>
      </w:r>
    </w:p>
    <w:p w:rsidR="0087677F" w:rsidRPr="0087677F" w:rsidRDefault="0087677F" w:rsidP="0087677F">
      <w:pPr>
        <w:pStyle w:val="SingleTxtGR"/>
        <w:ind w:left="2268" w:hanging="1134"/>
        <w:rPr>
          <w:bCs/>
        </w:rPr>
      </w:pPr>
      <w:r w:rsidRPr="0087677F">
        <w:rPr>
          <w:bCs/>
        </w:rPr>
        <w:t>13.12.4</w:t>
      </w:r>
      <w:r w:rsidRPr="0087677F">
        <w:rPr>
          <w:rFonts w:hint="eastAsia"/>
          <w:bCs/>
        </w:rPr>
        <w:tab/>
      </w:r>
      <w:r w:rsidRPr="0087677F">
        <w:rPr>
          <w:bCs/>
        </w:rPr>
        <w:t xml:space="preserve">Независимо от пункта 13.12.3 Договаривающиеся стороны, применяющие настоящие Правила, продолжают признавать официальные утверждения типа, выданные на основании поправок </w:t>
      </w:r>
      <w:r w:rsidRPr="0087677F">
        <w:rPr>
          <w:bCs/>
        </w:rPr>
        <w:lastRenderedPageBreak/>
        <w:t>предшествующих серий к настоящим Правилам и касающиеся транспортных средств, которые не затронуты изменениями, внесенными на основании поправок серии 09.</w:t>
      </w:r>
    </w:p>
    <w:p w:rsidR="0087677F" w:rsidRPr="0087677F" w:rsidRDefault="0087677F" w:rsidP="0087677F">
      <w:pPr>
        <w:pStyle w:val="SingleTxtGR"/>
        <w:ind w:left="2268" w:hanging="1134"/>
      </w:pPr>
      <w:r w:rsidRPr="0087677F">
        <w:rPr>
          <w:bCs/>
        </w:rPr>
        <w:t>13.12.5</w:t>
      </w:r>
      <w:r w:rsidRPr="0087677F">
        <w:rPr>
          <w:bCs/>
        </w:rPr>
        <w:tab/>
        <w:t>Договаривающиеся стороны, применяющие настоящие Правила, не отказывают в предоставлении или распространении официальных утверждений типа на основании какой-либо предыдущей серии поправок к настоящим Правилам».</w:t>
      </w:r>
    </w:p>
    <w:p w:rsidR="0087677F" w:rsidRPr="0087677F" w:rsidRDefault="0087677F" w:rsidP="0087677F">
      <w:pPr>
        <w:pStyle w:val="SingleTxtGR"/>
      </w:pPr>
      <w:r w:rsidRPr="0087677F">
        <w:rPr>
          <w:i/>
        </w:rPr>
        <w:t>Приложение 2</w:t>
      </w:r>
      <w:r w:rsidRPr="0087677F">
        <w:t xml:space="preserve"> изменить следующим образом:</w:t>
      </w:r>
    </w:p>
    <w:p w:rsidR="0087677F" w:rsidRPr="0087677F" w:rsidRDefault="0087677F" w:rsidP="0087677F">
      <w:pPr>
        <w:pStyle w:val="SingleTxtGR"/>
      </w:pPr>
      <w:r w:rsidRPr="0087677F">
        <w:t xml:space="preserve">«Образец </w:t>
      </w:r>
      <w:r w:rsidRPr="0087677F">
        <w:rPr>
          <w:lang w:val="en-GB"/>
        </w:rPr>
        <w:t>A</w:t>
      </w:r>
    </w:p>
    <w:p w:rsidR="0087677F" w:rsidRPr="0087677F" w:rsidRDefault="0087677F" w:rsidP="0087677F">
      <w:pPr>
        <w:pStyle w:val="SingleTxtGR"/>
        <w:rPr>
          <w:lang w:val="en-GB"/>
        </w:rPr>
      </w:pPr>
      <w:r w:rsidRPr="0087677F">
        <w:rPr>
          <w:lang w:val="en-GB"/>
        </w:rPr>
        <w:t>…</w:t>
      </w:r>
    </w:p>
    <w:p w:rsidR="0087677F" w:rsidRPr="00F074E5" w:rsidRDefault="0087677F" w:rsidP="00EA13A4">
      <w:pPr>
        <w:pStyle w:val="SingleTxtG"/>
        <w:spacing w:after="0"/>
      </w:pPr>
      <w:r w:rsidRPr="00F074E5">
        <w:rPr>
          <w:noProof/>
          <w:lang w:val="ru-RU" w:eastAsia="ru-RU"/>
        </w:rPr>
        <w:drawing>
          <wp:inline distT="0" distB="0" distL="0" distR="0" wp14:anchorId="32993921" wp14:editId="3B317F08">
            <wp:extent cx="4659630" cy="951230"/>
            <wp:effectExtent l="0" t="0" r="762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77F" w:rsidRPr="004B75D4" w:rsidRDefault="0087677F" w:rsidP="00EA13A4">
      <w:pPr>
        <w:tabs>
          <w:tab w:val="left" w:pos="7100"/>
        </w:tabs>
      </w:pPr>
      <w:r w:rsidRPr="00F074E5">
        <w:tab/>
        <w:t>a</w:t>
      </w:r>
      <w:r w:rsidRPr="004B75D4">
        <w:t xml:space="preserve"> = мин. 8 мм</w:t>
      </w:r>
    </w:p>
    <w:p w:rsidR="0087677F" w:rsidRPr="0087677F" w:rsidRDefault="0087677F" w:rsidP="0087677F">
      <w:pPr>
        <w:pStyle w:val="SingleTxtGR"/>
        <w:spacing w:before="240"/>
      </w:pPr>
      <w:r w:rsidRPr="0087677F">
        <w:tab/>
        <w:t>Приведенный выше знак официального утверждения … под номером официального утверждения</w:t>
      </w:r>
      <w:r w:rsidRPr="0087677F">
        <w:rPr>
          <w:lang w:val="en-GB"/>
        </w:rPr>
        <w:t> </w:t>
      </w:r>
      <w:r w:rsidRPr="0087677F">
        <w:t>092439. Первые две цифры номера официального утверждения указывают, что правила уже включают поправки серии 09 …</w:t>
      </w:r>
    </w:p>
    <w:p w:rsidR="0087677F" w:rsidRPr="0087677F" w:rsidRDefault="0087677F" w:rsidP="0087677F">
      <w:pPr>
        <w:pStyle w:val="SingleTxtGR"/>
        <w:rPr>
          <w:lang w:val="en-GB"/>
        </w:rPr>
      </w:pPr>
      <w:r w:rsidRPr="0087677F">
        <w:t>Образец</w:t>
      </w:r>
      <w:r w:rsidRPr="0087677F">
        <w:rPr>
          <w:lang w:val="en-GB"/>
        </w:rPr>
        <w:t xml:space="preserve"> B</w:t>
      </w:r>
    </w:p>
    <w:p w:rsidR="0087677F" w:rsidRPr="0087677F" w:rsidRDefault="0087677F" w:rsidP="0087677F">
      <w:pPr>
        <w:pStyle w:val="SingleTxtGR"/>
        <w:rPr>
          <w:lang w:val="en-GB"/>
        </w:rPr>
      </w:pPr>
      <w:r w:rsidRPr="0087677F">
        <w:rPr>
          <w:lang w:val="en-GB"/>
        </w:rPr>
        <w:t>…</w:t>
      </w:r>
    </w:p>
    <w:p w:rsidR="0087677F" w:rsidRPr="00F074E5" w:rsidRDefault="0087677F" w:rsidP="00EA13A4">
      <w:pPr>
        <w:pStyle w:val="SingleTxtG"/>
        <w:spacing w:after="0"/>
      </w:pPr>
      <w:r w:rsidRPr="00F074E5">
        <w:rPr>
          <w:noProof/>
          <w:lang w:val="ru-RU" w:eastAsia="ru-RU"/>
        </w:rPr>
        <w:drawing>
          <wp:inline distT="0" distB="0" distL="0" distR="0" wp14:anchorId="4959B291" wp14:editId="11243454">
            <wp:extent cx="4594225" cy="987425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2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77F" w:rsidRPr="004B75D4" w:rsidRDefault="0087677F" w:rsidP="0087677F">
      <w:pPr>
        <w:tabs>
          <w:tab w:val="left" w:pos="7100"/>
        </w:tabs>
      </w:pPr>
      <w:r w:rsidRPr="00F074E5">
        <w:tab/>
        <w:t>a</w:t>
      </w:r>
      <w:r w:rsidRPr="004B75D4">
        <w:t xml:space="preserve"> = мин. 8 мм</w:t>
      </w:r>
    </w:p>
    <w:p w:rsidR="0087677F" w:rsidRPr="0087677F" w:rsidRDefault="0087677F" w:rsidP="00EA13A4">
      <w:pPr>
        <w:pStyle w:val="SingleTxtGR"/>
        <w:spacing w:before="240"/>
      </w:pPr>
      <w:r w:rsidRPr="0087677F">
        <w:tab/>
        <w:t>Приведенный выше знак официального утверждения … под номером официального утверждения</w:t>
      </w:r>
      <w:r w:rsidRPr="0087677F">
        <w:rPr>
          <w:lang w:val="en-GB"/>
        </w:rPr>
        <w:t> </w:t>
      </w:r>
      <w:r w:rsidRPr="0087677F">
        <w:t>0</w:t>
      </w:r>
      <w:r w:rsidRPr="0087677F">
        <w:rPr>
          <w:bCs/>
        </w:rPr>
        <w:t>9</w:t>
      </w:r>
      <w:r w:rsidRPr="0087677F">
        <w:t>2439. Первые две цифры номера официального утверждения указывают, что правила уже включали поправки серии 0</w:t>
      </w:r>
      <w:r w:rsidRPr="0087677F">
        <w:rPr>
          <w:bCs/>
        </w:rPr>
        <w:t>9</w:t>
      </w:r>
      <w:r w:rsidRPr="0087677F">
        <w:rPr>
          <w:b/>
        </w:rPr>
        <w:t xml:space="preserve"> </w:t>
      </w:r>
      <w:r w:rsidRPr="0087677F">
        <w:rPr>
          <w:bCs/>
        </w:rPr>
        <w:t>на момент предоставления официального утверждения.</w:t>
      </w:r>
    </w:p>
    <w:p w:rsidR="0087677F" w:rsidRPr="0087677F" w:rsidRDefault="0087677F" w:rsidP="0087677F">
      <w:pPr>
        <w:pStyle w:val="SingleTxtGR"/>
      </w:pPr>
      <w:r w:rsidRPr="0087677F">
        <w:t>Образец</w:t>
      </w:r>
      <w:r w:rsidRPr="0087677F">
        <w:rPr>
          <w:lang w:val="en-GB"/>
        </w:rPr>
        <w:t xml:space="preserve"> C</w:t>
      </w:r>
    </w:p>
    <w:p w:rsidR="0087677F" w:rsidRPr="0087677F" w:rsidRDefault="0087677F" w:rsidP="0087677F">
      <w:pPr>
        <w:pStyle w:val="SingleTxtGR"/>
        <w:rPr>
          <w:lang w:val="en-GB"/>
        </w:rPr>
      </w:pPr>
      <w:r w:rsidRPr="0087677F">
        <w:rPr>
          <w:lang w:val="en-GB"/>
        </w:rPr>
        <w:t>…</w:t>
      </w:r>
    </w:p>
    <w:p w:rsidR="0087677F" w:rsidRPr="00F074E5" w:rsidRDefault="0087677F" w:rsidP="0087677F">
      <w:pPr>
        <w:keepNext/>
        <w:keepLines/>
        <w:ind w:left="1134"/>
      </w:pPr>
      <w:r w:rsidRPr="00F074E5">
        <w:rPr>
          <w:noProof/>
          <w:lang w:eastAsia="ru-RU"/>
        </w:rPr>
        <w:drawing>
          <wp:inline distT="0" distB="0" distL="0" distR="0" wp14:anchorId="3B57350D" wp14:editId="1B9AF571">
            <wp:extent cx="5391150" cy="1045845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77F" w:rsidRPr="00E5719A" w:rsidRDefault="0087677F" w:rsidP="0087677F">
      <w:pPr>
        <w:keepNext/>
        <w:keepLines/>
        <w:tabs>
          <w:tab w:val="left" w:pos="7088"/>
        </w:tabs>
        <w:ind w:left="1134"/>
      </w:pPr>
      <w:r w:rsidRPr="00F074E5">
        <w:tab/>
        <w:t>a</w:t>
      </w:r>
      <w:r w:rsidRPr="00E5719A">
        <w:t xml:space="preserve"> = </w:t>
      </w:r>
      <w:r w:rsidRPr="004B75D4">
        <w:t>мин. 8 мм</w:t>
      </w:r>
    </w:p>
    <w:p w:rsidR="0087677F" w:rsidRPr="0087677F" w:rsidRDefault="0087677F" w:rsidP="00EA13A4">
      <w:pPr>
        <w:pStyle w:val="SingleTxtGR"/>
        <w:spacing w:before="240"/>
      </w:pPr>
      <w:r w:rsidRPr="0087677F">
        <w:t>…</w:t>
      </w:r>
    </w:p>
    <w:p w:rsidR="0087677F" w:rsidRPr="0087677F" w:rsidRDefault="0087677F" w:rsidP="0087677F">
      <w:pPr>
        <w:pStyle w:val="SingleTxtGR"/>
      </w:pPr>
      <w:r w:rsidRPr="0087677F">
        <w:tab/>
        <w:t>Номера официального утверждения указывают, что … включали поправки серии 0</w:t>
      </w:r>
      <w:r w:rsidRPr="0087677F">
        <w:rPr>
          <w:bCs/>
        </w:rPr>
        <w:t>9, а Правила № 33 были в их первоначальном варианте</w:t>
      </w:r>
      <w:r w:rsidRPr="0087677F">
        <w:t>...</w:t>
      </w:r>
    </w:p>
    <w:p w:rsidR="0087677F" w:rsidRPr="0087677F" w:rsidRDefault="00EA13A4" w:rsidP="00EA13A4">
      <w:pPr>
        <w:pStyle w:val="SingleTxtGR"/>
        <w:pageBreakBefore/>
        <w:rPr>
          <w:lang w:val="en-GB"/>
        </w:rPr>
      </w:pPr>
      <w:r>
        <w:lastRenderedPageBreak/>
        <w:t>Образец</w:t>
      </w:r>
      <w:r w:rsidR="0087677F" w:rsidRPr="0087677F">
        <w:rPr>
          <w:lang w:val="en-GB"/>
        </w:rPr>
        <w:t xml:space="preserve"> D</w:t>
      </w:r>
    </w:p>
    <w:p w:rsidR="0087677F" w:rsidRPr="0087677F" w:rsidRDefault="0087677F" w:rsidP="0087677F">
      <w:pPr>
        <w:pStyle w:val="SingleTxtGR"/>
        <w:rPr>
          <w:lang w:val="en-GB"/>
        </w:rPr>
      </w:pPr>
      <w:r w:rsidRPr="0087677F">
        <w:rPr>
          <w:lang w:val="en-GB"/>
        </w:rPr>
        <w:t>…</w:t>
      </w:r>
    </w:p>
    <w:p w:rsidR="0087677F" w:rsidRPr="00F074E5" w:rsidRDefault="0087677F" w:rsidP="0087677F">
      <w:pPr>
        <w:ind w:left="1134"/>
      </w:pPr>
      <w:r w:rsidRPr="00F074E5">
        <w:rPr>
          <w:rFonts w:cs="Courier New"/>
          <w:noProof/>
          <w:szCs w:val="18"/>
          <w:lang w:eastAsia="ru-RU"/>
        </w:rPr>
        <w:drawing>
          <wp:inline distT="0" distB="0" distL="0" distR="0" wp14:anchorId="4D4FC4C9" wp14:editId="083D2359">
            <wp:extent cx="5332730" cy="965835"/>
            <wp:effectExtent l="0" t="0" r="127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73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77F" w:rsidRPr="004B75D4" w:rsidRDefault="0087677F" w:rsidP="0087677F">
      <w:pPr>
        <w:tabs>
          <w:tab w:val="left" w:pos="7088"/>
        </w:tabs>
        <w:ind w:left="1134"/>
      </w:pPr>
      <w:r w:rsidRPr="00F074E5">
        <w:tab/>
        <w:t>a</w:t>
      </w:r>
      <w:r w:rsidRPr="004B75D4">
        <w:t xml:space="preserve"> = мин. 8 мм</w:t>
      </w:r>
    </w:p>
    <w:p w:rsidR="0087677F" w:rsidRPr="0087677F" w:rsidRDefault="0087677F" w:rsidP="00EA13A4">
      <w:pPr>
        <w:pStyle w:val="SingleTxtGR"/>
        <w:spacing w:before="240"/>
      </w:pPr>
      <w:r w:rsidRPr="0087677F">
        <w:tab/>
        <w:t>Приведенный выше знак официального утверждения … включали поправки серии 0</w:t>
      </w:r>
      <w:r w:rsidRPr="0087677F">
        <w:rPr>
          <w:bCs/>
        </w:rPr>
        <w:t>9, а Правила № 33 были в их первоначальном варианте</w:t>
      </w:r>
      <w:r w:rsidRPr="0087677F">
        <w:t>»</w:t>
      </w:r>
      <w:r w:rsidR="00EA13A4" w:rsidRPr="0087677F">
        <w:t>.</w:t>
      </w:r>
    </w:p>
    <w:p w:rsidR="0087677F" w:rsidRPr="0087677F" w:rsidRDefault="0087677F" w:rsidP="0087677F">
      <w:pPr>
        <w:pStyle w:val="SingleTxtGR"/>
        <w:rPr>
          <w:i/>
        </w:rPr>
      </w:pPr>
      <w:r w:rsidRPr="0087677F">
        <w:rPr>
          <w:i/>
          <w:iCs/>
        </w:rPr>
        <w:t>Приложение 9, включить новый пункт 2.1.1.7</w:t>
      </w:r>
      <w:r w:rsidRPr="0087677F">
        <w:t xml:space="preserve"> следующего содержания:</w:t>
      </w:r>
    </w:p>
    <w:p w:rsidR="00E12C5F" w:rsidRDefault="0087677F" w:rsidP="00EA13A4">
      <w:pPr>
        <w:pStyle w:val="SingleTxtGR"/>
        <w:ind w:left="2268" w:hanging="1134"/>
      </w:pPr>
      <w:r w:rsidRPr="0087677F">
        <w:t>«</w:t>
      </w:r>
      <w:r w:rsidRPr="0087677F">
        <w:rPr>
          <w:bCs/>
        </w:rPr>
        <w:t>2.1.1.7</w:t>
      </w:r>
      <w:r w:rsidRPr="0087677F">
        <w:rPr>
          <w:bCs/>
        </w:rPr>
        <w:tab/>
        <w:t>Все места для сидения в ряду испытываемых сидений должны быть оснащены всеми элементами их ремней безопасности, обеспечивающими удерживающую функцию и являющимися составной частью сиденья</w:t>
      </w:r>
      <w:r w:rsidRPr="0087677F">
        <w:t>».</w:t>
      </w:r>
    </w:p>
    <w:p w:rsidR="0087677F" w:rsidRPr="0087677F" w:rsidRDefault="0087677F" w:rsidP="0087677F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7677F" w:rsidRPr="0087677F" w:rsidSect="0087677F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BF8" w:rsidRPr="00A312BC" w:rsidRDefault="00A87BF8" w:rsidP="00A312BC"/>
  </w:endnote>
  <w:endnote w:type="continuationSeparator" w:id="0">
    <w:p w:rsidR="00A87BF8" w:rsidRPr="00A312BC" w:rsidRDefault="00A87BF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77F" w:rsidRPr="0087677F" w:rsidRDefault="0087677F">
    <w:pPr>
      <w:pStyle w:val="Footer"/>
    </w:pPr>
    <w:r w:rsidRPr="0087677F">
      <w:rPr>
        <w:b/>
        <w:sz w:val="18"/>
      </w:rPr>
      <w:fldChar w:fldCharType="begin"/>
    </w:r>
    <w:r w:rsidRPr="0087677F">
      <w:rPr>
        <w:b/>
        <w:sz w:val="18"/>
      </w:rPr>
      <w:instrText xml:space="preserve"> PAGE  \* MERGEFORMAT </w:instrText>
    </w:r>
    <w:r w:rsidRPr="0087677F">
      <w:rPr>
        <w:b/>
        <w:sz w:val="18"/>
      </w:rPr>
      <w:fldChar w:fldCharType="separate"/>
    </w:r>
    <w:r w:rsidR="00CE0B14">
      <w:rPr>
        <w:b/>
        <w:noProof/>
        <w:sz w:val="18"/>
      </w:rPr>
      <w:t>4</w:t>
    </w:r>
    <w:r w:rsidRPr="0087677F">
      <w:rPr>
        <w:b/>
        <w:sz w:val="18"/>
      </w:rPr>
      <w:fldChar w:fldCharType="end"/>
    </w:r>
    <w:r>
      <w:rPr>
        <w:b/>
        <w:sz w:val="18"/>
      </w:rPr>
      <w:tab/>
    </w:r>
    <w:r>
      <w:t>GE.18-13991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77F" w:rsidRPr="0087677F" w:rsidRDefault="0087677F" w:rsidP="0087677F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GE.18-13991</w:t>
    </w:r>
    <w:r>
      <w:tab/>
    </w:r>
    <w:r w:rsidRPr="0087677F">
      <w:rPr>
        <w:b/>
        <w:sz w:val="18"/>
      </w:rPr>
      <w:fldChar w:fldCharType="begin"/>
    </w:r>
    <w:r w:rsidRPr="0087677F">
      <w:rPr>
        <w:b/>
        <w:sz w:val="18"/>
      </w:rPr>
      <w:instrText xml:space="preserve"> PAGE  \* MERGEFORMAT </w:instrText>
    </w:r>
    <w:r w:rsidRPr="0087677F">
      <w:rPr>
        <w:b/>
        <w:sz w:val="18"/>
      </w:rPr>
      <w:fldChar w:fldCharType="separate"/>
    </w:r>
    <w:r w:rsidR="00CE0B14">
      <w:rPr>
        <w:b/>
        <w:noProof/>
        <w:sz w:val="18"/>
      </w:rPr>
      <w:t>5</w:t>
    </w:r>
    <w:r w:rsidRPr="0087677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87677F" w:rsidRDefault="0087677F" w:rsidP="0087677F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13991  (</w:t>
    </w:r>
    <w:proofErr w:type="gramEnd"/>
    <w:r>
      <w:t>R)</w:t>
    </w:r>
    <w:r>
      <w:rPr>
        <w:lang w:val="en-US"/>
      </w:rPr>
      <w:t xml:space="preserve">  280818  280818</w:t>
    </w:r>
    <w:r>
      <w:br/>
    </w:r>
    <w:r w:rsidRPr="0087677F">
      <w:rPr>
        <w:rFonts w:ascii="C39T30Lfz" w:hAnsi="C39T30Lfz"/>
        <w:kern w:val="14"/>
        <w:sz w:val="56"/>
      </w:rPr>
      <w:t></w:t>
    </w:r>
    <w:r w:rsidRPr="0087677F">
      <w:rPr>
        <w:rFonts w:ascii="C39T30Lfz" w:hAnsi="C39T30Lfz"/>
        <w:kern w:val="14"/>
        <w:sz w:val="56"/>
      </w:rPr>
      <w:t></w:t>
    </w:r>
    <w:r w:rsidRPr="0087677F">
      <w:rPr>
        <w:rFonts w:ascii="C39T30Lfz" w:hAnsi="C39T30Lfz"/>
        <w:kern w:val="14"/>
        <w:sz w:val="56"/>
      </w:rPr>
      <w:t></w:t>
    </w:r>
    <w:r w:rsidRPr="0087677F">
      <w:rPr>
        <w:rFonts w:ascii="C39T30Lfz" w:hAnsi="C39T30Lfz"/>
        <w:kern w:val="14"/>
        <w:sz w:val="56"/>
      </w:rPr>
      <w:t></w:t>
    </w:r>
    <w:r w:rsidRPr="0087677F">
      <w:rPr>
        <w:rFonts w:ascii="C39T30Lfz" w:hAnsi="C39T30Lfz"/>
        <w:kern w:val="14"/>
        <w:sz w:val="56"/>
      </w:rPr>
      <w:t></w:t>
    </w:r>
    <w:r w:rsidRPr="0087677F">
      <w:rPr>
        <w:rFonts w:ascii="C39T30Lfz" w:hAnsi="C39T30Lfz"/>
        <w:kern w:val="14"/>
        <w:sz w:val="56"/>
      </w:rPr>
      <w:t></w:t>
    </w:r>
    <w:r w:rsidRPr="0087677F">
      <w:rPr>
        <w:rFonts w:ascii="C39T30Lfz" w:hAnsi="C39T30Lfz"/>
        <w:kern w:val="14"/>
        <w:sz w:val="56"/>
      </w:rPr>
      <w:t></w:t>
    </w:r>
    <w:r w:rsidRPr="0087677F">
      <w:rPr>
        <w:rFonts w:ascii="C39T30Lfz" w:hAnsi="C39T30Lfz"/>
        <w:kern w:val="14"/>
        <w:sz w:val="56"/>
      </w:rPr>
      <w:t></w:t>
    </w:r>
    <w:r w:rsidRPr="0087677F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14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4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BF8" w:rsidRPr="001075E9" w:rsidRDefault="00A87BF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87BF8" w:rsidRDefault="00A87BF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7677F" w:rsidRPr="00034D30" w:rsidRDefault="0087677F" w:rsidP="0087677F">
      <w:pPr>
        <w:pStyle w:val="FootnoteText"/>
      </w:pPr>
      <w:r w:rsidRPr="00A90EA8">
        <w:tab/>
      </w:r>
      <w:r w:rsidRPr="0087677F">
        <w:rPr>
          <w:rStyle w:val="FootnoteReference"/>
          <w:sz w:val="20"/>
          <w:vertAlign w:val="baseline"/>
        </w:rPr>
        <w:t>*</w:t>
      </w:r>
      <w:r w:rsidRPr="00034D30">
        <w:rPr>
          <w:sz w:val="20"/>
        </w:rPr>
        <w:tab/>
      </w:r>
      <w:r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 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77F" w:rsidRPr="0087677F" w:rsidRDefault="00CE0B14">
    <w:pPr>
      <w:pStyle w:val="Header"/>
    </w:pPr>
    <w:fldSimple w:instr=" TITLE  \* MERGEFORMAT ">
      <w:r w:rsidR="0096455F">
        <w:t>ECE/TRANS/WP.29/2018/142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77F" w:rsidRPr="0087677F" w:rsidRDefault="00CE0B14" w:rsidP="0087677F">
    <w:pPr>
      <w:pStyle w:val="Header"/>
      <w:jc w:val="right"/>
    </w:pPr>
    <w:fldSimple w:instr=" TITLE  \* MERGEFORMAT ">
      <w:r w:rsidR="0096455F">
        <w:t>ECE/TRANS/WP.29/2018/142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F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2A09"/>
    <w:rsid w:val="00424203"/>
    <w:rsid w:val="00452493"/>
    <w:rsid w:val="00453318"/>
    <w:rsid w:val="00454AF2"/>
    <w:rsid w:val="00454E07"/>
    <w:rsid w:val="00472C5C"/>
    <w:rsid w:val="004E05B7"/>
    <w:rsid w:val="0050108D"/>
    <w:rsid w:val="005015CE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7677F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6455F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87BF8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0B14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27D14"/>
    <w:rsid w:val="00E73F76"/>
    <w:rsid w:val="00EA13A4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8DA5DCC-BFDC-45DA-A847-C1FCFACC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,5_G_6,Fußnotentext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,5_G_6 Char,Fußnotentext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87677F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character" w:customStyle="1" w:styleId="SingleTxtGChar">
    <w:name w:val="_ Single Txt_G Char"/>
    <w:link w:val="SingleTxtG"/>
    <w:qFormat/>
    <w:rsid w:val="0087677F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1231</Words>
  <Characters>7019</Characters>
  <Application>Microsoft Office Word</Application>
  <DocSecurity>0</DocSecurity>
  <Lines>58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ECE/TRANS/WP.29/2018/142</vt:lpstr>
      <vt:lpstr>ECE/TRANS/WP.29/2018/142</vt:lpstr>
      <vt:lpstr>A/</vt:lpstr>
    </vt:vector>
  </TitlesOfParts>
  <Company>DCM</Company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ECE/TRANS/WP.29/2018/142</dc:title>
  <dc:subject/>
  <dc:creator>Uliana ANTIPOVA</dc:creator>
  <cp:keywords/>
  <cp:lastModifiedBy>Secretariat</cp:lastModifiedBy>
  <cp:revision>2</cp:revision>
  <cp:lastPrinted>2018-08-28T14:08:00Z</cp:lastPrinted>
  <dcterms:created xsi:type="dcterms:W3CDTF">2018-10-18T13:52:00Z</dcterms:created>
  <dcterms:modified xsi:type="dcterms:W3CDTF">2018-10-18T13:52:00Z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