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1705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17057" w:rsidP="00E17057">
            <w:pPr>
              <w:jc w:val="right"/>
            </w:pPr>
            <w:r w:rsidRPr="00E17057">
              <w:rPr>
                <w:sz w:val="40"/>
              </w:rPr>
              <w:t>ECE</w:t>
            </w:r>
            <w:r>
              <w:t>/TRANS/WP.29/2018/101</w:t>
            </w:r>
            <w:r w:rsidR="00F25A95" w:rsidRPr="00F25A95">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17057" w:rsidP="00C97039">
            <w:pPr>
              <w:spacing w:before="240"/>
            </w:pPr>
            <w:proofErr w:type="spellStart"/>
            <w:r>
              <w:t>Distr</w:t>
            </w:r>
            <w:proofErr w:type="spellEnd"/>
            <w:r>
              <w:t>. générale</w:t>
            </w:r>
          </w:p>
          <w:p w:rsidR="00E17057" w:rsidRDefault="00E17057" w:rsidP="00E17057">
            <w:pPr>
              <w:spacing w:line="240" w:lineRule="exact"/>
            </w:pPr>
            <w:r>
              <w:t>24 août 2018</w:t>
            </w:r>
          </w:p>
          <w:p w:rsidR="00E17057" w:rsidRDefault="00E17057" w:rsidP="00E17057">
            <w:pPr>
              <w:spacing w:line="240" w:lineRule="exact"/>
            </w:pPr>
            <w:r>
              <w:t>Français</w:t>
            </w:r>
          </w:p>
          <w:p w:rsidR="00E17057" w:rsidRPr="00DB58B5" w:rsidRDefault="00E17057" w:rsidP="00E1705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6217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F1A50" w:rsidRDefault="005F1A50" w:rsidP="00AF0CB5">
      <w:pPr>
        <w:spacing w:before="120"/>
        <w:rPr>
          <w:b/>
          <w:sz w:val="24"/>
          <w:szCs w:val="24"/>
        </w:rPr>
      </w:pPr>
      <w:r w:rsidRPr="00685843">
        <w:rPr>
          <w:b/>
          <w:sz w:val="24"/>
          <w:szCs w:val="24"/>
        </w:rPr>
        <w:t>Forum mondial de l</w:t>
      </w:r>
      <w:r w:rsidR="0016217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F1A50" w:rsidRPr="00A96656" w:rsidRDefault="005F1A50" w:rsidP="005F1A50">
      <w:pPr>
        <w:tabs>
          <w:tab w:val="center" w:pos="4819"/>
        </w:tabs>
        <w:kinsoku/>
        <w:overflowPunct/>
        <w:autoSpaceDE/>
        <w:autoSpaceDN/>
        <w:adjustRightInd/>
        <w:snapToGrid/>
        <w:spacing w:before="120"/>
        <w:rPr>
          <w:rFonts w:eastAsia="Times New Roman"/>
          <w:b/>
        </w:rPr>
      </w:pPr>
      <w:r w:rsidRPr="00A96656">
        <w:rPr>
          <w:rFonts w:eastAsia="Times New Roman"/>
          <w:b/>
        </w:rPr>
        <w:t>176</w:t>
      </w:r>
      <w:r w:rsidRPr="005F1A50">
        <w:rPr>
          <w:rFonts w:eastAsia="Times New Roman"/>
          <w:b/>
          <w:vertAlign w:val="superscript"/>
        </w:rPr>
        <w:t>e</w:t>
      </w:r>
      <w:r>
        <w:rPr>
          <w:rFonts w:eastAsia="Times New Roman"/>
          <w:b/>
        </w:rPr>
        <w:t xml:space="preserve"> </w:t>
      </w:r>
      <w:r w:rsidRPr="00A96656">
        <w:rPr>
          <w:rFonts w:eastAsia="Times New Roman"/>
          <w:b/>
        </w:rPr>
        <w:t>session</w:t>
      </w:r>
    </w:p>
    <w:p w:rsidR="005F1A50" w:rsidRPr="00A96656" w:rsidRDefault="005F1A50" w:rsidP="005F1A50">
      <w:pPr>
        <w:kinsoku/>
        <w:overflowPunct/>
        <w:autoSpaceDE/>
        <w:autoSpaceDN/>
        <w:adjustRightInd/>
        <w:snapToGrid/>
        <w:rPr>
          <w:rFonts w:eastAsia="Times New Roman"/>
        </w:rPr>
      </w:pPr>
      <w:r w:rsidRPr="00A96656">
        <w:rPr>
          <w:rFonts w:eastAsia="Times New Roman"/>
        </w:rPr>
        <w:t>Genève, 13-16 novembre 2018</w:t>
      </w:r>
    </w:p>
    <w:p w:rsidR="005F1A50" w:rsidRPr="00A96656" w:rsidRDefault="005F1A50" w:rsidP="005F1A50">
      <w:pPr>
        <w:kinsoku/>
        <w:overflowPunct/>
        <w:autoSpaceDE/>
        <w:autoSpaceDN/>
        <w:adjustRightInd/>
        <w:snapToGrid/>
        <w:rPr>
          <w:rFonts w:eastAsia="Times New Roman"/>
        </w:rPr>
      </w:pPr>
      <w:r w:rsidRPr="00A96656">
        <w:rPr>
          <w:rFonts w:eastAsia="Times New Roman"/>
        </w:rPr>
        <w:t>Point 4.6.19 de l</w:t>
      </w:r>
      <w:r w:rsidR="0016217A">
        <w:rPr>
          <w:rFonts w:eastAsia="Times New Roman"/>
        </w:rPr>
        <w:t>’</w:t>
      </w:r>
      <w:r w:rsidRPr="00A96656">
        <w:rPr>
          <w:rFonts w:eastAsia="Times New Roman"/>
        </w:rPr>
        <w:t>ordre du jour provisoire</w:t>
      </w:r>
    </w:p>
    <w:p w:rsidR="005F1A50" w:rsidRDefault="005F1A50" w:rsidP="005F1A50">
      <w:pPr>
        <w:spacing w:line="240" w:lineRule="exact"/>
      </w:pPr>
      <w:r w:rsidRPr="00A96656">
        <w:rPr>
          <w:rFonts w:eastAsia="Times New Roman"/>
          <w:b/>
        </w:rPr>
        <w:t>Accord de 1958 :</w:t>
      </w:r>
      <w:r w:rsidRPr="00A96656">
        <w:rPr>
          <w:rFonts w:eastAsia="Times New Roman"/>
          <w:b/>
        </w:rPr>
        <w:br/>
        <w:t>Examen de projets d</w:t>
      </w:r>
      <w:r w:rsidR="0016217A">
        <w:rPr>
          <w:rFonts w:eastAsia="Times New Roman"/>
          <w:b/>
        </w:rPr>
        <w:t>’</w:t>
      </w:r>
      <w:r w:rsidRPr="00A96656">
        <w:rPr>
          <w:rFonts w:eastAsia="Times New Roman"/>
          <w:b/>
        </w:rPr>
        <w:t>amendements à des Règlements ONU existants,</w:t>
      </w:r>
      <w:r w:rsidRPr="00A96656">
        <w:rPr>
          <w:rFonts w:eastAsia="Times New Roman"/>
          <w:b/>
        </w:rPr>
        <w:br/>
        <w:t>soumis par le GRE</w:t>
      </w:r>
    </w:p>
    <w:p w:rsidR="005F1A50" w:rsidRPr="00A96656" w:rsidRDefault="005F1A50" w:rsidP="009E737B">
      <w:pPr>
        <w:pStyle w:val="HChG"/>
      </w:pPr>
      <w:r w:rsidRPr="00A96656">
        <w:tab/>
      </w:r>
      <w:r w:rsidRPr="00A96656">
        <w:tab/>
        <w:t>Proposition de complément 18 à la série 04 d</w:t>
      </w:r>
      <w:r w:rsidR="0016217A">
        <w:t>’</w:t>
      </w:r>
      <w:r w:rsidRPr="00A96656">
        <w:t>amendements au Règlement ONU n</w:t>
      </w:r>
      <w:r w:rsidRPr="00A96656">
        <w:rPr>
          <w:vertAlign w:val="superscript"/>
        </w:rPr>
        <w:t>o</w:t>
      </w:r>
      <w:r w:rsidRPr="00A96656">
        <w:t> </w:t>
      </w:r>
      <w:r w:rsidRPr="009E737B">
        <w:t>48</w:t>
      </w:r>
      <w:r w:rsidRPr="00A96656">
        <w:t xml:space="preserve"> (Installation des dispositifs d</w:t>
      </w:r>
      <w:r w:rsidR="0016217A">
        <w:t>’</w:t>
      </w:r>
      <w:r w:rsidRPr="00A96656">
        <w:t>éclairage et de signalisation lumineuse)</w:t>
      </w:r>
    </w:p>
    <w:p w:rsidR="00F9573C" w:rsidRDefault="005F1A50" w:rsidP="009E737B">
      <w:pPr>
        <w:pStyle w:val="H1G"/>
        <w:rPr>
          <w:b w:val="0"/>
          <w:sz w:val="20"/>
        </w:rPr>
      </w:pPr>
      <w:r>
        <w:tab/>
      </w:r>
      <w:r>
        <w:tab/>
      </w:r>
      <w:r w:rsidRPr="00A96656">
        <w:t>Communication du Groupe de travail de l</w:t>
      </w:r>
      <w:r w:rsidR="0016217A">
        <w:t>’</w:t>
      </w:r>
      <w:r w:rsidRPr="00A96656">
        <w:t>éclairage</w:t>
      </w:r>
      <w:r w:rsidR="00CD6DA6">
        <w:br/>
      </w:r>
      <w:r w:rsidRPr="00A96656">
        <w:t>et de la signalisation lumineuse</w:t>
      </w:r>
      <w:r w:rsidR="00F25A95" w:rsidRPr="00F25A95">
        <w:rPr>
          <w:rStyle w:val="FootnoteReference"/>
          <w:b w:val="0"/>
          <w:sz w:val="20"/>
          <w:vertAlign w:val="baseline"/>
        </w:rPr>
        <w:footnoteReference w:customMarkFollows="1" w:id="3"/>
        <w:t>**</w:t>
      </w:r>
    </w:p>
    <w:p w:rsidR="00D473EA" w:rsidRDefault="00CD6DA6" w:rsidP="00CD6DA6">
      <w:pPr>
        <w:pStyle w:val="SingleTxtG"/>
        <w:ind w:firstLine="567"/>
        <w:rPr>
          <w:rFonts w:eastAsia="Times New Roman"/>
        </w:rPr>
      </w:pPr>
      <w:r w:rsidRPr="00A96656">
        <w:rPr>
          <w:rFonts w:eastAsia="Times New Roman"/>
        </w:rPr>
        <w:t>Le texte reproduit ci-après, adopté par le Groupe de travail de l</w:t>
      </w:r>
      <w:r w:rsidR="0016217A">
        <w:rPr>
          <w:rFonts w:eastAsia="Times New Roman"/>
        </w:rPr>
        <w:t>’</w:t>
      </w:r>
      <w:r w:rsidRPr="00A96656">
        <w:rPr>
          <w:rFonts w:eastAsia="Times New Roman"/>
        </w:rPr>
        <w:t>éclairage et de la signalisation lumineuse (GRE) à sa soixante-dix-neuvième session (ECE/TRANS/WP.29/</w:t>
      </w:r>
      <w:r>
        <w:rPr>
          <w:rFonts w:eastAsia="Times New Roman"/>
        </w:rPr>
        <w:t xml:space="preserve"> </w:t>
      </w:r>
      <w:r w:rsidRPr="00A96656">
        <w:rPr>
          <w:rFonts w:eastAsia="Times New Roman"/>
        </w:rPr>
        <w:t>GRE/79, par.</w:t>
      </w:r>
      <w:r>
        <w:rPr>
          <w:rFonts w:eastAsia="Times New Roman"/>
        </w:rPr>
        <w:t> </w:t>
      </w:r>
      <w:r w:rsidRPr="00A96656">
        <w:rPr>
          <w:rFonts w:eastAsia="Times New Roman"/>
        </w:rPr>
        <w:t xml:space="preserve">9), est fondé sur le document </w:t>
      </w:r>
      <w:r w:rsidR="00F25A95" w:rsidRPr="00A96656">
        <w:rPr>
          <w:rFonts w:eastAsia="Times New Roman"/>
        </w:rPr>
        <w:t>ECE/TRANS/WP.29/</w:t>
      </w:r>
      <w:r w:rsidR="00F25A95">
        <w:rPr>
          <w:rFonts w:eastAsia="Times New Roman"/>
        </w:rPr>
        <w:t>GRE/</w:t>
      </w:r>
      <w:r w:rsidR="00F25A95" w:rsidRPr="00A96656">
        <w:rPr>
          <w:rFonts w:eastAsia="Times New Roman"/>
        </w:rPr>
        <w:t>2018/</w:t>
      </w:r>
      <w:r w:rsidR="00F25A95">
        <w:rPr>
          <w:rFonts w:eastAsia="Times New Roman"/>
        </w:rPr>
        <w:t xml:space="preserve">8 </w:t>
      </w:r>
      <w:r w:rsidRPr="00A96656">
        <w:rPr>
          <w:rFonts w:eastAsia="Times New Roman"/>
        </w:rPr>
        <w:t>et l</w:t>
      </w:r>
      <w:r w:rsidR="0016217A">
        <w:rPr>
          <w:rFonts w:eastAsia="Times New Roman"/>
        </w:rPr>
        <w:t>’</w:t>
      </w:r>
      <w:r w:rsidRPr="00A96656">
        <w:rPr>
          <w:rFonts w:eastAsia="Times New Roman"/>
        </w:rPr>
        <w:t>annexe</w:t>
      </w:r>
      <w:r>
        <w:rPr>
          <w:rFonts w:eastAsia="Times New Roman"/>
        </w:rPr>
        <w:t> </w:t>
      </w:r>
      <w:r w:rsidRPr="00A96656">
        <w:rPr>
          <w:rFonts w:eastAsia="Times New Roman"/>
        </w:rPr>
        <w:t>III au rapport. Il traite des trois Règlements ONU simplifiés qui portent sur les dispositifs de signalisation lumineuse (LSD),</w:t>
      </w:r>
      <w:r w:rsidRPr="00A96656">
        <w:rPr>
          <w:rFonts w:ascii="Segoe UI" w:hAnsi="Segoe UI" w:cs="Segoe UI"/>
        </w:rPr>
        <w:t xml:space="preserve"> </w:t>
      </w:r>
      <w:r w:rsidRPr="00A96656">
        <w:rPr>
          <w:rFonts w:eastAsia="Times New Roman"/>
        </w:rPr>
        <w:t>les dispositifs d</w:t>
      </w:r>
      <w:r w:rsidR="0016217A">
        <w:rPr>
          <w:rFonts w:eastAsia="Times New Roman"/>
        </w:rPr>
        <w:t>’</w:t>
      </w:r>
      <w:r w:rsidRPr="00A96656">
        <w:rPr>
          <w:rFonts w:eastAsia="Times New Roman"/>
        </w:rPr>
        <w:t>éclairage de la route (RID) et les dispositifs catadioptriques (RRD) (ECE/TRANS/WP.29/2018/157, ECE/TRANS/WP.29/2018/158 et ECE/TRANS/WP.29/2018/159, respectivement). Il est soumis au Forum mondial de l</w:t>
      </w:r>
      <w:r w:rsidR="0016217A">
        <w:rPr>
          <w:rFonts w:eastAsia="Times New Roman"/>
        </w:rPr>
        <w:t>’</w:t>
      </w:r>
      <w:r w:rsidRPr="00A96656">
        <w:rPr>
          <w:rFonts w:eastAsia="Times New Roman"/>
        </w:rPr>
        <w:t>harmonisation des Règlements concernant les véhicules (WP.29) et au Comité d</w:t>
      </w:r>
      <w:r w:rsidR="0016217A">
        <w:rPr>
          <w:rFonts w:eastAsia="Times New Roman"/>
        </w:rPr>
        <w:t>’</w:t>
      </w:r>
      <w:r w:rsidRPr="00A96656">
        <w:rPr>
          <w:rFonts w:eastAsia="Times New Roman"/>
        </w:rPr>
        <w:t xml:space="preserve">administration </w:t>
      </w:r>
      <w:r>
        <w:rPr>
          <w:rFonts w:eastAsia="Times New Roman"/>
        </w:rPr>
        <w:t xml:space="preserve">(AC.1) </w:t>
      </w:r>
      <w:r w:rsidRPr="00A96656">
        <w:rPr>
          <w:rFonts w:eastAsia="Times New Roman"/>
        </w:rPr>
        <w:t>pour examen à leurs sessions de novembre</w:t>
      </w:r>
      <w:r w:rsidR="00D473EA">
        <w:rPr>
          <w:rFonts w:eastAsia="Times New Roman"/>
        </w:rPr>
        <w:t xml:space="preserve"> </w:t>
      </w:r>
      <w:r w:rsidRPr="00A96656">
        <w:rPr>
          <w:rFonts w:eastAsia="Times New Roman"/>
        </w:rPr>
        <w:t>2018</w:t>
      </w:r>
      <w:r w:rsidR="00D473EA">
        <w:rPr>
          <w:rFonts w:eastAsia="Times New Roman"/>
        </w:rPr>
        <w:t>.</w:t>
      </w:r>
    </w:p>
    <w:p w:rsidR="00CD6DA6" w:rsidRDefault="00D473EA" w:rsidP="000C19B9">
      <w:pPr>
        <w:pStyle w:val="HChG"/>
        <w:spacing w:line="304" w:lineRule="exact"/>
      </w:pPr>
      <w:r>
        <w:br w:type="page"/>
      </w:r>
      <w:r w:rsidRPr="00A96656">
        <w:lastRenderedPageBreak/>
        <w:tab/>
      </w:r>
      <w:r w:rsidRPr="00A96656">
        <w:tab/>
        <w:t>Complément 18 à la série 04 d</w:t>
      </w:r>
      <w:r w:rsidR="0016217A">
        <w:t>’</w:t>
      </w:r>
      <w:r w:rsidRPr="00A96656">
        <w:t>amendements au Règlement ONU n</w:t>
      </w:r>
      <w:r w:rsidRPr="00A96656">
        <w:rPr>
          <w:vertAlign w:val="superscript"/>
        </w:rPr>
        <w:t>o</w:t>
      </w:r>
      <w:r w:rsidRPr="00A96656">
        <w:t> 48 (Installation des dispositifs d</w:t>
      </w:r>
      <w:r w:rsidR="0016217A">
        <w:t>’</w:t>
      </w:r>
      <w:r w:rsidRPr="00A96656">
        <w:t xml:space="preserve">éclairage </w:t>
      </w:r>
      <w:r w:rsidR="00AD2087">
        <w:br/>
      </w:r>
      <w:r w:rsidRPr="00A96656">
        <w:t>et de signalisation lumineuse)</w:t>
      </w:r>
    </w:p>
    <w:p w:rsidR="00AD2087" w:rsidRPr="00A96656" w:rsidRDefault="00AD2087" w:rsidP="00F74F65">
      <w:pPr>
        <w:kinsoku/>
        <w:overflowPunct/>
        <w:autoSpaceDE/>
        <w:autoSpaceDN/>
        <w:adjustRightInd/>
        <w:snapToGrid/>
        <w:spacing w:after="120"/>
        <w:ind w:left="2268" w:right="1134" w:hanging="1134"/>
        <w:jc w:val="both"/>
        <w:rPr>
          <w:rFonts w:eastAsia="Times New Roman"/>
        </w:rPr>
      </w:pPr>
      <w:r w:rsidRPr="00A96656">
        <w:rPr>
          <w:i/>
          <w:lang w:eastAsia="it-IT"/>
        </w:rPr>
        <w:t>Paragraphe</w:t>
      </w:r>
      <w:r w:rsidRPr="00A96656">
        <w:rPr>
          <w:rFonts w:eastAsia="Times New Roman"/>
          <w:i/>
        </w:rPr>
        <w:t xml:space="preserve"> 2.7.16.4</w:t>
      </w:r>
      <w:r w:rsidRPr="00A96656">
        <w:rPr>
          <w:rFonts w:eastAsia="Times New Roman"/>
        </w:rPr>
        <w:t>, lire</w:t>
      </w:r>
      <w:r>
        <w:rPr>
          <w:rFonts w:eastAsia="Times New Roman"/>
        </w:rPr>
        <w:t> </w:t>
      </w:r>
      <w:r w:rsidRPr="00A96656">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2.7.16.4</w:t>
      </w:r>
      <w:r w:rsidRPr="00053937">
        <w:rPr>
          <w:rFonts w:eastAsia="Times New Roman"/>
        </w:rPr>
        <w:tab/>
        <w:t>Les matériaux rétroréfléchissants homologués en classes</w:t>
      </w:r>
      <w:r w:rsidR="000C19B9">
        <w:rPr>
          <w:rFonts w:eastAsia="Times New Roman"/>
        </w:rPr>
        <w:t> </w:t>
      </w:r>
      <w:r w:rsidRPr="00053937">
        <w:rPr>
          <w:rFonts w:eastAsia="Times New Roman"/>
        </w:rPr>
        <w:t xml:space="preserve">D, E ou F </w:t>
      </w:r>
      <w:r>
        <w:rPr>
          <w:rFonts w:eastAsia="Times New Roman"/>
        </w:rPr>
        <w:t>en application du</w:t>
      </w:r>
      <w:r w:rsidRPr="00053937">
        <w:rPr>
          <w:rFonts w:eastAsia="Times New Roman"/>
        </w:rPr>
        <w:t xml:space="preserve"> Règlement ONU n</w:t>
      </w:r>
      <w:r w:rsidRPr="00053937">
        <w:rPr>
          <w:rFonts w:eastAsia="Times New Roman"/>
          <w:vertAlign w:val="superscript"/>
        </w:rPr>
        <w:t>o</w:t>
      </w:r>
      <w:r w:rsidRPr="00AD2087">
        <w:rPr>
          <w:rFonts w:eastAsia="Times New Roman"/>
        </w:rPr>
        <w:t> </w:t>
      </w:r>
      <w:r w:rsidRPr="00053937">
        <w:rPr>
          <w:rFonts w:eastAsia="Times New Roman"/>
        </w:rPr>
        <w:t>104 ou [RRD] et utilisés à d</w:t>
      </w:r>
      <w:r w:rsidR="0016217A">
        <w:rPr>
          <w:rFonts w:eastAsia="Times New Roman"/>
        </w:rPr>
        <w:t>’</w:t>
      </w:r>
      <w:r w:rsidRPr="00053937">
        <w:rPr>
          <w:rFonts w:eastAsia="Times New Roman"/>
        </w:rPr>
        <w:t>autres fins conformément aux prescriptions nationales. »</w:t>
      </w:r>
      <w:r>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2.7.28</w:t>
      </w:r>
      <w:r w:rsidRPr="00053937">
        <w:rPr>
          <w:rFonts w:eastAsia="Times New Roman"/>
        </w:rPr>
        <w:t>, lire</w:t>
      </w:r>
      <w:r>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2.7.28</w:t>
      </w:r>
      <w:r w:rsidRPr="00053937">
        <w:rPr>
          <w:rFonts w:eastAsia="Times New Roman"/>
        </w:rPr>
        <w:tab/>
        <w:t>“</w:t>
      </w:r>
      <w:r w:rsidRPr="00053937">
        <w:rPr>
          <w:rFonts w:eastAsia="Times New Roman"/>
          <w:i/>
        </w:rPr>
        <w:t>Système d</w:t>
      </w:r>
      <w:r w:rsidR="0016217A">
        <w:rPr>
          <w:rFonts w:eastAsia="Times New Roman"/>
          <w:i/>
        </w:rPr>
        <w:t>’</w:t>
      </w:r>
      <w:r w:rsidRPr="00053937">
        <w:rPr>
          <w:rFonts w:eastAsia="Times New Roman"/>
          <w:i/>
        </w:rPr>
        <w:t>éclairage avant adaptatif</w:t>
      </w:r>
      <w:r w:rsidRPr="00053937">
        <w:rPr>
          <w:rFonts w:eastAsia="Times New Roman"/>
        </w:rPr>
        <w:t>” (AFS), un dispositif d</w:t>
      </w:r>
      <w:r w:rsidR="0016217A">
        <w:rPr>
          <w:rFonts w:eastAsia="Times New Roman"/>
        </w:rPr>
        <w:t>’</w:t>
      </w:r>
      <w:r w:rsidRPr="00053937">
        <w:rPr>
          <w:rFonts w:eastAsia="Times New Roman"/>
        </w:rPr>
        <w:t>éclairage homologué conformément au Règlement ONU n</w:t>
      </w:r>
      <w:r w:rsidRPr="00053937">
        <w:rPr>
          <w:rFonts w:eastAsia="Times New Roman"/>
          <w:vertAlign w:val="superscript"/>
        </w:rPr>
        <w:t>o</w:t>
      </w:r>
      <w:r w:rsidRPr="00AD2087">
        <w:rPr>
          <w:rFonts w:eastAsia="Times New Roman"/>
        </w:rPr>
        <w:t> </w:t>
      </w:r>
      <w:r w:rsidRPr="00053937">
        <w:rPr>
          <w:rFonts w:eastAsia="Times New Roman"/>
        </w:rPr>
        <w:t>123 ou [RID], qui émet des faisceaux possédant des caractéristiques différenciées pour une adaptation automatique à des conditions variables d</w:t>
      </w:r>
      <w:r w:rsidR="0016217A">
        <w:rPr>
          <w:rFonts w:eastAsia="Times New Roman"/>
        </w:rPr>
        <w:t>’</w:t>
      </w:r>
      <w:r w:rsidRPr="00053937">
        <w:rPr>
          <w:rFonts w:eastAsia="Times New Roman"/>
        </w:rPr>
        <w:t>utilisation du faisceau de croisement et, le cas échéant, du faisceau de route.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3.2.6.2</w:t>
      </w:r>
      <w:r w:rsidRPr="00053937">
        <w:rPr>
          <w:rFonts w:eastAsia="Times New Roman"/>
        </w:rPr>
        <w:t>, lire</w:t>
      </w:r>
      <w:r w:rsidR="00F74F65">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3.2.6.2</w:t>
      </w:r>
      <w:r w:rsidRPr="00053937">
        <w:rPr>
          <w:rFonts w:eastAsia="Times New Roman"/>
        </w:rPr>
        <w:tab/>
      </w:r>
      <w:r w:rsidRPr="00053937">
        <w:rPr>
          <w:rFonts w:eastAsia="Times New Roman"/>
          <w:bCs/>
        </w:rPr>
        <w:t>Les signaux de commande AFS correspondants et leurs caractéristiques techniques, définies conformément à l</w:t>
      </w:r>
      <w:r w:rsidR="0016217A">
        <w:rPr>
          <w:rFonts w:eastAsia="Times New Roman"/>
          <w:bCs/>
        </w:rPr>
        <w:t>’</w:t>
      </w:r>
      <w:r w:rsidRPr="00053937">
        <w:rPr>
          <w:rFonts w:eastAsia="Times New Roman"/>
          <w:bCs/>
        </w:rPr>
        <w:t>annexe 10 du Règlement ONU n</w:t>
      </w:r>
      <w:r w:rsidRPr="00053937">
        <w:rPr>
          <w:rFonts w:eastAsia="Times New Roman"/>
          <w:bCs/>
          <w:vertAlign w:val="superscript"/>
        </w:rPr>
        <w:t>o</w:t>
      </w:r>
      <w:r w:rsidRPr="00053937">
        <w:rPr>
          <w:rFonts w:eastAsia="Times New Roman"/>
          <w:bCs/>
        </w:rPr>
        <w:t> 123 ou à l</w:t>
      </w:r>
      <w:r w:rsidR="0016217A">
        <w:rPr>
          <w:rFonts w:eastAsia="Times New Roman"/>
          <w:bCs/>
        </w:rPr>
        <w:t>’</w:t>
      </w:r>
      <w:r w:rsidRPr="00053937">
        <w:rPr>
          <w:rFonts w:eastAsia="Times New Roman"/>
          <w:bCs/>
        </w:rPr>
        <w:t>annexe 14 du Règlement ONU n</w:t>
      </w:r>
      <w:r w:rsidRPr="00053937">
        <w:rPr>
          <w:rFonts w:eastAsia="Times New Roman"/>
          <w:bCs/>
          <w:vertAlign w:val="superscript"/>
        </w:rPr>
        <w:t>o</w:t>
      </w:r>
      <w:r w:rsidRPr="00053937">
        <w:rPr>
          <w:rFonts w:eastAsia="Times New Roman"/>
          <w:bCs/>
        </w:rPr>
        <w:t> [RID] ;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5.9.3</w:t>
      </w:r>
      <w:r w:rsidRPr="00053937">
        <w:rPr>
          <w:rFonts w:eastAsia="Times New Roman"/>
        </w:rPr>
        <w:t>, lire</w:t>
      </w:r>
      <w:r w:rsidR="00F74F65">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5.9.3</w:t>
      </w:r>
      <w:r w:rsidRPr="00053937">
        <w:rPr>
          <w:rFonts w:eastAsia="Times New Roman"/>
        </w:rPr>
        <w:tab/>
        <w:t>Les caractéristiques photométriques des feux indicateurs de direction des catégories 1, 1a, 1b, 2a ou 2b peuvent varier durant un clignotement par activation séquentielle conformément au paragraphe 5.6 du Règlement ONU</w:t>
      </w:r>
      <w:r w:rsidR="00F74F65">
        <w:rPr>
          <w:rFonts w:eastAsia="Times New Roman"/>
        </w:rPr>
        <w:t> </w:t>
      </w:r>
      <w:r w:rsidRPr="00053937">
        <w:rPr>
          <w:rFonts w:eastAsia="Times New Roman"/>
        </w:rPr>
        <w:t>n</w:t>
      </w:r>
      <w:r w:rsidRPr="00053937">
        <w:rPr>
          <w:rFonts w:eastAsia="Times New Roman"/>
          <w:vertAlign w:val="superscript"/>
        </w:rPr>
        <w:t>o</w:t>
      </w:r>
      <w:r w:rsidRPr="00053937">
        <w:rPr>
          <w:rFonts w:eastAsia="Times New Roman"/>
        </w:rPr>
        <w:t> 6 ou au paragraphe 5.6.11 du Règlement ONU n</w:t>
      </w:r>
      <w:r w:rsidRPr="00053937">
        <w:rPr>
          <w:rFonts w:eastAsia="Times New Roman"/>
          <w:vertAlign w:val="superscript"/>
        </w:rPr>
        <w:t>o</w:t>
      </w:r>
      <w:r w:rsidRPr="00053937">
        <w:rPr>
          <w:rFonts w:eastAsia="Times New Roman"/>
        </w:rPr>
        <w:t> [LSD].</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ab/>
        <w:t>Cette disposition ne doit pas s</w:t>
      </w:r>
      <w:r w:rsidR="0016217A">
        <w:rPr>
          <w:rFonts w:eastAsia="Times New Roman"/>
        </w:rPr>
        <w:t>’</w:t>
      </w:r>
      <w:r w:rsidRPr="00053937">
        <w:rPr>
          <w:rFonts w:eastAsia="Times New Roman"/>
        </w:rPr>
        <w:t>appliquer lorsque les feux indicateurs de direction des catégories 2a et 2b sont utilisés comme signal de freinage d</w:t>
      </w:r>
      <w:r w:rsidR="0016217A">
        <w:rPr>
          <w:rFonts w:eastAsia="Times New Roman"/>
        </w:rPr>
        <w:t>’</w:t>
      </w:r>
      <w:r w:rsidRPr="00053937">
        <w:rPr>
          <w:rFonts w:eastAsia="Times New Roman"/>
        </w:rPr>
        <w:t>urgence conformément au paragraphe 6.23.1 du présent Règlement.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6.1</w:t>
      </w:r>
      <w:r w:rsidRPr="00053937">
        <w:rPr>
          <w:rFonts w:eastAsia="Times New Roman"/>
        </w:rPr>
        <w:t>, lire</w:t>
      </w:r>
      <w:r w:rsidR="007B17D0">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w:t>
      </w:r>
      <w:r w:rsidRPr="00053937">
        <w:rPr>
          <w:rFonts w:eastAsia="Times New Roman"/>
        </w:rPr>
        <w:tab/>
        <w:t>Feu de route (Règlements ONU n</w:t>
      </w:r>
      <w:r w:rsidRPr="00053937">
        <w:rPr>
          <w:rFonts w:eastAsia="Times New Roman"/>
          <w:vertAlign w:val="superscript"/>
        </w:rPr>
        <w:t>os</w:t>
      </w:r>
      <w:r w:rsidRPr="007B17D0">
        <w:rPr>
          <w:rFonts w:eastAsia="Times New Roman"/>
        </w:rPr>
        <w:t> </w:t>
      </w:r>
      <w:r w:rsidRPr="00053937">
        <w:rPr>
          <w:rFonts w:eastAsia="Times New Roman"/>
        </w:rPr>
        <w:t>98, 112 et [RID])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6.1.2</w:t>
      </w:r>
      <w:r w:rsidRPr="00053937">
        <w:rPr>
          <w:rFonts w:eastAsia="Times New Roman"/>
        </w:rPr>
        <w:t>, lire</w:t>
      </w:r>
      <w:r w:rsidR="007B17D0">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line="240" w:lineRule="auto"/>
        <w:ind w:left="2268" w:right="1134" w:hanging="1134"/>
        <w:jc w:val="both"/>
        <w:rPr>
          <w:rFonts w:eastAsia="Times New Roman"/>
        </w:rPr>
      </w:pPr>
      <w:r w:rsidRPr="00053937">
        <w:rPr>
          <w:rFonts w:eastAsia="Times New Roman"/>
        </w:rPr>
        <w:t>« 6.1.2</w:t>
      </w:r>
      <w:r w:rsidRPr="00053937">
        <w:rPr>
          <w:rFonts w:eastAsia="Times New Roman"/>
        </w:rPr>
        <w:tab/>
        <w:t>Nombre</w:t>
      </w:r>
    </w:p>
    <w:p w:rsidR="00AD2087" w:rsidRPr="00053937" w:rsidRDefault="00AD2087" w:rsidP="007B17D0">
      <w:pPr>
        <w:kinsoku/>
        <w:overflowPunct/>
        <w:autoSpaceDE/>
        <w:autoSpaceDN/>
        <w:adjustRightInd/>
        <w:snapToGrid/>
        <w:spacing w:after="120"/>
        <w:ind w:left="2268" w:right="1134"/>
        <w:jc w:val="both"/>
        <w:rPr>
          <w:rFonts w:eastAsia="Times New Roman"/>
        </w:rPr>
      </w:pPr>
      <w:r w:rsidRPr="00053937">
        <w:rPr>
          <w:rFonts w:eastAsia="Times New Roman"/>
        </w:rPr>
        <w:tab/>
        <w:t>Deux ou quatre, homologués conformément :</w:t>
      </w:r>
    </w:p>
    <w:p w:rsidR="00AD2087" w:rsidRPr="00053937" w:rsidRDefault="00C5145D" w:rsidP="00D73E7E">
      <w:pPr>
        <w:kinsoku/>
        <w:overflowPunct/>
        <w:autoSpaceDE/>
        <w:autoSpaceDN/>
        <w:adjustRightInd/>
        <w:snapToGrid/>
        <w:spacing w:after="120" w:line="240" w:lineRule="auto"/>
        <w:ind w:left="2835" w:right="1134" w:hanging="567"/>
        <w:jc w:val="both"/>
        <w:rPr>
          <w:rFonts w:eastAsia="Times New Roman"/>
        </w:rPr>
      </w:pPr>
      <w:r>
        <w:rPr>
          <w:rFonts w:eastAsia="Times New Roman"/>
        </w:rPr>
        <w:t>a)</w:t>
      </w:r>
      <w:r w:rsidR="00AD2087" w:rsidRPr="00053937">
        <w:rPr>
          <w:rFonts w:eastAsia="Times New Roman"/>
        </w:rPr>
        <w:tab/>
        <w:t>Au Règlement ONU n</w:t>
      </w:r>
      <w:r w:rsidR="00AD2087" w:rsidRPr="00053937">
        <w:rPr>
          <w:rFonts w:eastAsia="Times New Roman"/>
          <w:vertAlign w:val="superscript"/>
        </w:rPr>
        <w:t>o </w:t>
      </w:r>
      <w:r w:rsidR="00AD2087" w:rsidRPr="00053937">
        <w:rPr>
          <w:rFonts w:eastAsia="Times New Roman"/>
        </w:rPr>
        <w:t>98 ou 112, à l</w:t>
      </w:r>
      <w:r w:rsidR="0016217A">
        <w:rPr>
          <w:rFonts w:eastAsia="Times New Roman"/>
        </w:rPr>
        <w:t>’</w:t>
      </w:r>
      <w:r w:rsidR="00AD2087" w:rsidRPr="00053937">
        <w:rPr>
          <w:rFonts w:eastAsia="Times New Roman"/>
        </w:rPr>
        <w:t>exclusion des projecteurs de la classe A ;</w:t>
      </w:r>
    </w:p>
    <w:p w:rsidR="00AD2087" w:rsidRPr="00053937" w:rsidRDefault="00AD2087" w:rsidP="00D73E7E">
      <w:pPr>
        <w:kinsoku/>
        <w:overflowPunct/>
        <w:autoSpaceDE/>
        <w:autoSpaceDN/>
        <w:adjustRightInd/>
        <w:snapToGrid/>
        <w:spacing w:after="120"/>
        <w:ind w:left="2268" w:right="1134"/>
        <w:jc w:val="both"/>
        <w:rPr>
          <w:rFonts w:eastAsia="Times New Roman"/>
        </w:rPr>
      </w:pPr>
      <w:r w:rsidRPr="00053937">
        <w:rPr>
          <w:rFonts w:eastAsia="Times New Roman"/>
        </w:rPr>
        <w:t>ou</w:t>
      </w:r>
    </w:p>
    <w:p w:rsidR="00AD2087" w:rsidRPr="00053937" w:rsidRDefault="00D73E7E" w:rsidP="00D73E7E">
      <w:pPr>
        <w:kinsoku/>
        <w:overflowPunct/>
        <w:autoSpaceDE/>
        <w:autoSpaceDN/>
        <w:adjustRightInd/>
        <w:snapToGrid/>
        <w:spacing w:after="120" w:line="240" w:lineRule="auto"/>
        <w:ind w:left="2835" w:right="1134" w:hanging="567"/>
        <w:jc w:val="both"/>
        <w:rPr>
          <w:rFonts w:eastAsia="Times New Roman"/>
        </w:rPr>
      </w:pPr>
      <w:r>
        <w:rPr>
          <w:rFonts w:eastAsia="Times New Roman"/>
        </w:rPr>
        <w:t>b)</w:t>
      </w:r>
      <w:r w:rsidR="00AD2087" w:rsidRPr="00053937">
        <w:rPr>
          <w:rFonts w:eastAsia="Times New Roman"/>
        </w:rPr>
        <w:tab/>
        <w:t>Au Règlement ONU n</w:t>
      </w:r>
      <w:r w:rsidR="00AD2087" w:rsidRPr="00053937">
        <w:rPr>
          <w:rFonts w:eastAsia="Times New Roman"/>
          <w:vertAlign w:val="superscript"/>
        </w:rPr>
        <w:t>o</w:t>
      </w:r>
      <w:r w:rsidR="00AD2087" w:rsidRPr="00053937">
        <w:rPr>
          <w:rFonts w:eastAsia="Times New Roman"/>
        </w:rPr>
        <w:t> [RID], pour les projecteurs des classes B et D seulement.</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Pour les véhicules de la catégorie N</w:t>
      </w:r>
      <w:r w:rsidRPr="00053937">
        <w:rPr>
          <w:rFonts w:eastAsia="Times New Roman"/>
          <w:vertAlign w:val="subscript"/>
        </w:rPr>
        <w:t>3</w:t>
      </w:r>
      <w:r w:rsidRPr="00053937">
        <w:rPr>
          <w:rFonts w:eastAsia="Times New Roman"/>
        </w:rPr>
        <w:t> : deux feux de route supplémentaires peuvent être installés.</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Les véhicules déjà équipés de quatre projecteurs occultables ne peuvent être dotés de deux projecteurs supplémentaires que s</w:t>
      </w:r>
      <w:r w:rsidR="0016217A">
        <w:rPr>
          <w:rFonts w:eastAsia="Times New Roman"/>
        </w:rPr>
        <w:t>’</w:t>
      </w:r>
      <w:r w:rsidRPr="00053937">
        <w:rPr>
          <w:rFonts w:eastAsia="Times New Roman"/>
        </w:rPr>
        <w:t>ils sont destinés à la signalisation lumineuse, consistant en un allumage intermittent à de courts intervalles (voir le paragraphe 5.12</w:t>
      </w:r>
      <w:r w:rsidR="000C19B9">
        <w:rPr>
          <w:rFonts w:eastAsia="Times New Roman"/>
        </w:rPr>
        <w:t xml:space="preserve"> ci-dessus</w:t>
      </w:r>
      <w:r w:rsidRPr="00053937">
        <w:rPr>
          <w:rFonts w:eastAsia="Times New Roman"/>
        </w:rPr>
        <w:t>) en conduite de jour.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6.2</w:t>
      </w:r>
      <w:r w:rsidRPr="00053937">
        <w:rPr>
          <w:rFonts w:eastAsia="Times New Roman"/>
        </w:rPr>
        <w:t>, lire</w:t>
      </w:r>
      <w:r w:rsidR="00D73E7E">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w:t>
      </w:r>
      <w:r w:rsidRPr="00053937">
        <w:rPr>
          <w:rFonts w:eastAsia="Times New Roman"/>
        </w:rPr>
        <w:tab/>
        <w:t>Feu de croisement (Règlements ONU n</w:t>
      </w:r>
      <w:r w:rsidRPr="00053937">
        <w:rPr>
          <w:rFonts w:eastAsia="Times New Roman"/>
          <w:vertAlign w:val="superscript"/>
        </w:rPr>
        <w:t>os</w:t>
      </w:r>
      <w:r w:rsidRPr="00DB6E93">
        <w:rPr>
          <w:rFonts w:eastAsia="Times New Roman"/>
        </w:rPr>
        <w:t> </w:t>
      </w:r>
      <w:r w:rsidRPr="00053937">
        <w:rPr>
          <w:rFonts w:eastAsia="Times New Roman"/>
        </w:rPr>
        <w:t>98, 112 et [RID]) ».</w:t>
      </w:r>
    </w:p>
    <w:p w:rsidR="00AD2087" w:rsidRPr="00053937" w:rsidRDefault="00AD2087" w:rsidP="00D73E7E">
      <w:pPr>
        <w:keepNext/>
        <w:kinsoku/>
        <w:overflowPunct/>
        <w:autoSpaceDE/>
        <w:autoSpaceDN/>
        <w:adjustRightInd/>
        <w:snapToGrid/>
        <w:spacing w:after="120"/>
        <w:ind w:left="2268" w:right="1134" w:hanging="1134"/>
        <w:jc w:val="both"/>
        <w:rPr>
          <w:rFonts w:eastAsia="Times New Roman"/>
        </w:rPr>
      </w:pPr>
      <w:r w:rsidRPr="00053937">
        <w:rPr>
          <w:rFonts w:eastAsia="Times New Roman"/>
          <w:i/>
        </w:rPr>
        <w:t>Paragraphe 6.2.2</w:t>
      </w:r>
      <w:r w:rsidRPr="00053937">
        <w:rPr>
          <w:rFonts w:eastAsia="Times New Roman"/>
        </w:rPr>
        <w:t>, lire</w:t>
      </w:r>
      <w:r w:rsidR="00D73E7E">
        <w:rPr>
          <w:rFonts w:eastAsia="Times New Roman"/>
        </w:rPr>
        <w:t> </w:t>
      </w:r>
      <w:r w:rsidRPr="00053937">
        <w:rPr>
          <w:rFonts w:eastAsia="Times New Roman"/>
        </w:rPr>
        <w:t>:</w:t>
      </w:r>
    </w:p>
    <w:p w:rsidR="00AD2087" w:rsidRPr="00053937" w:rsidRDefault="00AD2087" w:rsidP="00D73E7E">
      <w:pPr>
        <w:keepNext/>
        <w:kinsoku/>
        <w:overflowPunct/>
        <w:autoSpaceDE/>
        <w:autoSpaceDN/>
        <w:adjustRightInd/>
        <w:snapToGrid/>
        <w:spacing w:after="120"/>
        <w:ind w:left="2268" w:right="1134" w:hanging="1134"/>
        <w:jc w:val="both"/>
        <w:rPr>
          <w:rFonts w:eastAsia="Times New Roman"/>
        </w:rPr>
      </w:pPr>
      <w:r w:rsidRPr="00053937">
        <w:rPr>
          <w:rFonts w:eastAsia="Times New Roman"/>
        </w:rPr>
        <w:t>« 6.2.2</w:t>
      </w:r>
      <w:r w:rsidRPr="00053937">
        <w:rPr>
          <w:rFonts w:eastAsia="Times New Roman"/>
        </w:rPr>
        <w:tab/>
        <w:t>Nombre</w:t>
      </w:r>
    </w:p>
    <w:p w:rsidR="00AD2087" w:rsidRPr="00053937" w:rsidRDefault="00AD2087" w:rsidP="004558DE">
      <w:pPr>
        <w:kinsoku/>
        <w:overflowPunct/>
        <w:autoSpaceDE/>
        <w:autoSpaceDN/>
        <w:adjustRightInd/>
        <w:snapToGrid/>
        <w:spacing w:after="120"/>
        <w:ind w:left="2268" w:right="1134"/>
        <w:jc w:val="both"/>
        <w:rPr>
          <w:rFonts w:eastAsia="Times New Roman"/>
        </w:rPr>
      </w:pPr>
      <w:r w:rsidRPr="00053937">
        <w:rPr>
          <w:rFonts w:eastAsia="Times New Roman"/>
        </w:rPr>
        <w:tab/>
        <w:t>Deux, homologués conformément :</w:t>
      </w:r>
    </w:p>
    <w:p w:rsidR="00AD2087" w:rsidRPr="00053937" w:rsidRDefault="00AD2087" w:rsidP="004558DE">
      <w:pPr>
        <w:kinsoku/>
        <w:overflowPunct/>
        <w:autoSpaceDE/>
        <w:autoSpaceDN/>
        <w:adjustRightInd/>
        <w:snapToGrid/>
        <w:spacing w:after="120" w:line="240" w:lineRule="auto"/>
        <w:ind w:left="2835" w:right="1134" w:hanging="567"/>
        <w:jc w:val="both"/>
        <w:rPr>
          <w:rFonts w:eastAsia="Times New Roman"/>
        </w:rPr>
      </w:pPr>
      <w:r w:rsidRPr="00053937">
        <w:rPr>
          <w:rFonts w:eastAsia="Times New Roman"/>
        </w:rPr>
        <w:lastRenderedPageBreak/>
        <w:t>a)</w:t>
      </w:r>
      <w:r w:rsidRPr="00053937">
        <w:rPr>
          <w:rFonts w:eastAsia="Times New Roman"/>
        </w:rPr>
        <w:tab/>
        <w:t>Au Règlement ONU n</w:t>
      </w:r>
      <w:r w:rsidRPr="00053937">
        <w:rPr>
          <w:rFonts w:eastAsia="Times New Roman"/>
          <w:vertAlign w:val="superscript"/>
        </w:rPr>
        <w:t>o</w:t>
      </w:r>
      <w:r w:rsidRPr="004558DE">
        <w:rPr>
          <w:rFonts w:eastAsia="Times New Roman"/>
        </w:rPr>
        <w:t> </w:t>
      </w:r>
      <w:r w:rsidRPr="00053937">
        <w:rPr>
          <w:rFonts w:eastAsia="Times New Roman"/>
        </w:rPr>
        <w:t>98 ou 112, à l</w:t>
      </w:r>
      <w:r w:rsidR="0016217A">
        <w:rPr>
          <w:rFonts w:eastAsia="Times New Roman"/>
        </w:rPr>
        <w:t>’</w:t>
      </w:r>
      <w:r w:rsidRPr="00053937">
        <w:rPr>
          <w:rFonts w:eastAsia="Times New Roman"/>
        </w:rPr>
        <w:t>exclusion des projecteurs de la classe A ;</w:t>
      </w:r>
    </w:p>
    <w:p w:rsidR="00AD2087" w:rsidRPr="00053937" w:rsidRDefault="00AD2087" w:rsidP="004558DE">
      <w:pPr>
        <w:kinsoku/>
        <w:overflowPunct/>
        <w:autoSpaceDE/>
        <w:autoSpaceDN/>
        <w:adjustRightInd/>
        <w:snapToGrid/>
        <w:spacing w:after="120"/>
        <w:ind w:left="2268" w:right="1134"/>
        <w:jc w:val="both"/>
        <w:rPr>
          <w:rFonts w:eastAsia="Times New Roman"/>
        </w:rPr>
      </w:pPr>
      <w:r w:rsidRPr="00053937">
        <w:rPr>
          <w:rFonts w:eastAsia="Times New Roman"/>
        </w:rPr>
        <w:t>ou</w:t>
      </w:r>
    </w:p>
    <w:p w:rsidR="00AD2087" w:rsidRPr="00053937" w:rsidRDefault="00AD2087" w:rsidP="004558DE">
      <w:pPr>
        <w:kinsoku/>
        <w:overflowPunct/>
        <w:autoSpaceDE/>
        <w:autoSpaceDN/>
        <w:adjustRightInd/>
        <w:snapToGrid/>
        <w:spacing w:after="120" w:line="240" w:lineRule="auto"/>
        <w:ind w:left="2835" w:right="1134" w:hanging="567"/>
        <w:jc w:val="both"/>
        <w:rPr>
          <w:rFonts w:eastAsia="Times New Roman"/>
        </w:rPr>
      </w:pPr>
      <w:r w:rsidRPr="00053937">
        <w:rPr>
          <w:rFonts w:eastAsia="Times New Roman"/>
        </w:rPr>
        <w:t>b)</w:t>
      </w:r>
      <w:r w:rsidRPr="00053937">
        <w:rPr>
          <w:rFonts w:eastAsia="Times New Roman"/>
        </w:rPr>
        <w:tab/>
        <w:t xml:space="preserve">Au Règlement ONU </w:t>
      </w:r>
      <w:r w:rsidR="004558DE" w:rsidRPr="00053937">
        <w:rPr>
          <w:rFonts w:eastAsia="Times New Roman"/>
        </w:rPr>
        <w:t>n</w:t>
      </w:r>
      <w:r w:rsidR="004558DE" w:rsidRPr="00053937">
        <w:rPr>
          <w:rFonts w:eastAsia="Times New Roman"/>
          <w:vertAlign w:val="superscript"/>
        </w:rPr>
        <w:t>o</w:t>
      </w:r>
      <w:r w:rsidR="004558DE" w:rsidRPr="004558DE">
        <w:rPr>
          <w:rFonts w:eastAsia="Times New Roman"/>
        </w:rPr>
        <w:t> </w:t>
      </w:r>
      <w:r w:rsidRPr="00053937">
        <w:rPr>
          <w:rFonts w:eastAsia="Times New Roman"/>
        </w:rPr>
        <w:t xml:space="preserve">[RID], pour </w:t>
      </w:r>
      <w:r>
        <w:rPr>
          <w:rFonts w:eastAsia="Times New Roman"/>
        </w:rPr>
        <w:t>l</w:t>
      </w:r>
      <w:r w:rsidRPr="00053937">
        <w:rPr>
          <w:rFonts w:eastAsia="Times New Roman"/>
        </w:rPr>
        <w:t>es projecteurs des classes B et D seulement.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6.2.7</w:t>
      </w:r>
      <w:r w:rsidRPr="00053937">
        <w:rPr>
          <w:rFonts w:eastAsia="Times New Roman"/>
        </w:rPr>
        <w:t>, lire</w:t>
      </w:r>
      <w:r w:rsidR="004558DE">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6.2.7</w:t>
      </w:r>
      <w:r w:rsidRPr="00053937">
        <w:rPr>
          <w:rFonts w:eastAsia="Times New Roman"/>
        </w:rPr>
        <w:tab/>
        <w:t>Branchements électriques</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La commande de passage en faisceau-croisement doit provoquer l</w:t>
      </w:r>
      <w:r w:rsidR="0016217A">
        <w:rPr>
          <w:rFonts w:eastAsia="Times New Roman"/>
        </w:rPr>
        <w:t>’</w:t>
      </w:r>
      <w:r w:rsidRPr="00053937">
        <w:rPr>
          <w:rFonts w:eastAsia="Times New Roman"/>
        </w:rPr>
        <w:t>extinction simultanée de tous les feux de route.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Les feux de croisement peuvent rester allumés en même temps que les feux de route.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Dans le cas de feux de croisement conformes au Règlement ONU n</w:t>
      </w:r>
      <w:r w:rsidRPr="00053937">
        <w:rPr>
          <w:rFonts w:eastAsia="Times New Roman"/>
          <w:vertAlign w:val="superscript"/>
        </w:rPr>
        <w:t>o</w:t>
      </w:r>
      <w:r w:rsidRPr="00DB6E93">
        <w:rPr>
          <w:rFonts w:eastAsia="Times New Roman"/>
        </w:rPr>
        <w:t> </w:t>
      </w:r>
      <w:r w:rsidRPr="00053937">
        <w:rPr>
          <w:rFonts w:eastAsia="Times New Roman"/>
        </w:rPr>
        <w:t>98 ou [RID], les sources lumineuses à décharge doivent rester allumées en même temps que les feux de route.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L</w:t>
      </w:r>
      <w:r w:rsidR="0016217A">
        <w:rPr>
          <w:rFonts w:eastAsia="Times New Roman"/>
        </w:rPr>
        <w:t>’</w:t>
      </w:r>
      <w:r w:rsidRPr="00053937">
        <w:rPr>
          <w:rFonts w:eastAsia="Times New Roman"/>
        </w:rPr>
        <w:t>éclairage de virage peut être produit au moyen d</w:t>
      </w:r>
      <w:r w:rsidR="0016217A">
        <w:rPr>
          <w:rFonts w:eastAsia="Times New Roman"/>
        </w:rPr>
        <w:t>’</w:t>
      </w:r>
      <w:r w:rsidRPr="00053937">
        <w:rPr>
          <w:rFonts w:eastAsia="Times New Roman"/>
        </w:rPr>
        <w:t>une source lumineuse supplémentaire ou d</w:t>
      </w:r>
      <w:r w:rsidR="0016217A">
        <w:rPr>
          <w:rFonts w:eastAsia="Times New Roman"/>
        </w:rPr>
        <w:t>’</w:t>
      </w:r>
      <w:r w:rsidRPr="00053937">
        <w:rPr>
          <w:rFonts w:eastAsia="Times New Roman"/>
        </w:rPr>
        <w:t>un ou plusieurs modules DEL, situés à l</w:t>
      </w:r>
      <w:r w:rsidR="0016217A">
        <w:rPr>
          <w:rFonts w:eastAsia="Times New Roman"/>
        </w:rPr>
        <w:t>’</w:t>
      </w:r>
      <w:r w:rsidRPr="00053937">
        <w:rPr>
          <w:rFonts w:eastAsia="Times New Roman"/>
        </w:rPr>
        <w:t xml:space="preserve">intérieur des feux de croisement ou dans </w:t>
      </w:r>
      <w:r>
        <w:rPr>
          <w:rFonts w:eastAsia="Times New Roman"/>
        </w:rPr>
        <w:t>un</w:t>
      </w:r>
      <w:r w:rsidRPr="00053937">
        <w:rPr>
          <w:rFonts w:eastAsia="Times New Roman"/>
        </w:rPr>
        <w:t xml:space="preserve"> feu (à l</w:t>
      </w:r>
      <w:r w:rsidR="0016217A">
        <w:rPr>
          <w:rFonts w:eastAsia="Times New Roman"/>
        </w:rPr>
        <w:t>’</w:t>
      </w:r>
      <w:r w:rsidRPr="00053937">
        <w:rPr>
          <w:rFonts w:eastAsia="Times New Roman"/>
        </w:rPr>
        <w:t>exception du feu de route) groupé ou mutuellement incorporé avec lesdits feux de croisement, à condition que le rayon de courbure horizontal de la trajectoire du centre de gravité du véhicule ne dépasse pas 500 m. Le constructeur doit pouvoir démontrer que cette condition est remplie, par calcul ou par tout autre moyen agréé par l</w:t>
      </w:r>
      <w:r w:rsidR="0016217A">
        <w:rPr>
          <w:rFonts w:eastAsia="Times New Roman"/>
        </w:rPr>
        <w:t>’</w:t>
      </w:r>
      <w:r w:rsidRPr="00053937">
        <w:rPr>
          <w:rFonts w:eastAsia="Times New Roman"/>
        </w:rPr>
        <w:t>autorité d</w:t>
      </w:r>
      <w:r w:rsidR="0016217A">
        <w:rPr>
          <w:rFonts w:eastAsia="Times New Roman"/>
        </w:rPr>
        <w:t>’</w:t>
      </w:r>
      <w:r w:rsidRPr="00053937">
        <w:rPr>
          <w:rFonts w:eastAsia="Times New Roman"/>
        </w:rPr>
        <w:t>homologation de type.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Les feux de croisement peuvent s</w:t>
      </w:r>
      <w:r w:rsidR="0016217A">
        <w:rPr>
          <w:rFonts w:eastAsia="Times New Roman"/>
        </w:rPr>
        <w:t>’</w:t>
      </w:r>
      <w:r w:rsidRPr="00053937">
        <w:rPr>
          <w:rFonts w:eastAsia="Times New Roman"/>
        </w:rPr>
        <w:t>allumer et s</w:t>
      </w:r>
      <w:r w:rsidR="0016217A">
        <w:rPr>
          <w:rFonts w:eastAsia="Times New Roman"/>
        </w:rPr>
        <w:t>’</w:t>
      </w:r>
      <w:r w:rsidRPr="00053937">
        <w:rPr>
          <w:rFonts w:eastAsia="Times New Roman"/>
        </w:rPr>
        <w:t>éteindre automatiquement. Toutefois, l</w:t>
      </w:r>
      <w:r w:rsidR="0016217A">
        <w:rPr>
          <w:rFonts w:eastAsia="Times New Roman"/>
        </w:rPr>
        <w:t>’</w:t>
      </w:r>
      <w:r w:rsidRPr="00053937">
        <w:rPr>
          <w:rFonts w:eastAsia="Times New Roman"/>
        </w:rPr>
        <w:t>allumage et l</w:t>
      </w:r>
      <w:r w:rsidR="0016217A">
        <w:rPr>
          <w:rFonts w:eastAsia="Times New Roman"/>
        </w:rPr>
        <w:t>’</w:t>
      </w:r>
      <w:r w:rsidRPr="00053937">
        <w:rPr>
          <w:rFonts w:eastAsia="Times New Roman"/>
        </w:rPr>
        <w:t>extinction manuels de ces feux doivent toujours être possibles.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6.2.9</w:t>
      </w:r>
      <w:r w:rsidRPr="00053937">
        <w:rPr>
          <w:rFonts w:eastAsia="Times New Roman"/>
        </w:rPr>
        <w:t>, lire</w:t>
      </w:r>
      <w:r w:rsidR="004558DE">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i/>
        </w:rPr>
      </w:pPr>
      <w:r w:rsidRPr="00053937">
        <w:rPr>
          <w:rFonts w:eastAsia="Times New Roman"/>
        </w:rPr>
        <w:t>« 6.2.9</w:t>
      </w:r>
      <w:r w:rsidRPr="00053937">
        <w:rPr>
          <w:rFonts w:eastAsia="Times New Roman"/>
        </w:rPr>
        <w:tab/>
        <w:t>Autres prescriptions</w:t>
      </w:r>
    </w:p>
    <w:p w:rsidR="00AD2087" w:rsidRPr="00053937" w:rsidRDefault="00AD2087" w:rsidP="004558DE">
      <w:pPr>
        <w:kinsoku/>
        <w:overflowPunct/>
        <w:autoSpaceDE/>
        <w:autoSpaceDN/>
        <w:adjustRightInd/>
        <w:snapToGrid/>
        <w:spacing w:after="120"/>
        <w:ind w:left="2268" w:right="1134"/>
        <w:jc w:val="both"/>
        <w:rPr>
          <w:rFonts w:eastAsia="Times New Roman"/>
        </w:rPr>
      </w:pPr>
      <w:r w:rsidRPr="00053937">
        <w:rPr>
          <w:rFonts w:eastAsia="Times New Roman"/>
        </w:rPr>
        <w:tab/>
        <w:t>...</w:t>
      </w:r>
    </w:p>
    <w:p w:rsidR="00AD2087" w:rsidRPr="00053937" w:rsidRDefault="00AD2087" w:rsidP="004558DE">
      <w:pPr>
        <w:kinsoku/>
        <w:overflowPunct/>
        <w:autoSpaceDE/>
        <w:autoSpaceDN/>
        <w:adjustRightInd/>
        <w:snapToGrid/>
        <w:spacing w:after="120"/>
        <w:ind w:left="2268" w:right="1134"/>
        <w:jc w:val="both"/>
        <w:rPr>
          <w:rFonts w:eastAsia="Times New Roman"/>
        </w:rPr>
      </w:pPr>
      <w:r w:rsidRPr="00053937">
        <w:rPr>
          <w:rFonts w:eastAsia="Times New Roman"/>
        </w:rPr>
        <w:tab/>
        <w:t>L</w:t>
      </w:r>
      <w:r w:rsidR="0016217A">
        <w:rPr>
          <w:rFonts w:eastAsia="Times New Roman"/>
        </w:rPr>
        <w:t>’</w:t>
      </w:r>
      <w:r w:rsidRPr="00053937">
        <w:rPr>
          <w:rFonts w:eastAsia="Times New Roman"/>
        </w:rPr>
        <w:t>éclairage de virage ne peut être obtenu qu</w:t>
      </w:r>
      <w:r w:rsidR="0016217A">
        <w:rPr>
          <w:rFonts w:eastAsia="Times New Roman"/>
        </w:rPr>
        <w:t>’</w:t>
      </w:r>
      <w:r w:rsidRPr="00053937">
        <w:rPr>
          <w:rFonts w:eastAsia="Times New Roman"/>
        </w:rPr>
        <w:t>au moyen de feux de croisement conformes au Règlement ONU n</w:t>
      </w:r>
      <w:r w:rsidRPr="00053937">
        <w:rPr>
          <w:rFonts w:eastAsia="Times New Roman"/>
          <w:vertAlign w:val="superscript"/>
        </w:rPr>
        <w:t>o</w:t>
      </w:r>
      <w:r w:rsidRPr="004558DE">
        <w:rPr>
          <w:rFonts w:eastAsia="Times New Roman"/>
        </w:rPr>
        <w:t> </w:t>
      </w:r>
      <w:r w:rsidRPr="00053937">
        <w:rPr>
          <w:rFonts w:eastAsia="Times New Roman"/>
        </w:rPr>
        <w:t>98 ou 112 ou [RID].</w:t>
      </w:r>
    </w:p>
    <w:p w:rsidR="00AD2087" w:rsidRPr="00053937" w:rsidRDefault="00AD2087" w:rsidP="004558DE">
      <w:pPr>
        <w:kinsoku/>
        <w:overflowPunct/>
        <w:autoSpaceDE/>
        <w:autoSpaceDN/>
        <w:adjustRightInd/>
        <w:snapToGrid/>
        <w:spacing w:after="120"/>
        <w:ind w:left="2268" w:right="1134"/>
        <w:jc w:val="both"/>
        <w:rPr>
          <w:rFonts w:eastAsia="Times New Roman"/>
        </w:rPr>
      </w:pPr>
      <w:r w:rsidRPr="00053937">
        <w:rPr>
          <w:rFonts w:eastAsia="Times New Roman"/>
        </w:rPr>
        <w:tab/>
        <w:t>...</w:t>
      </w:r>
      <w:r>
        <w:rPr>
          <w:rFonts w:eastAsia="Times New Roman"/>
        </w:rPr>
        <w:t> ».</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
        </w:rPr>
        <w:t>Paragraphe 6.3</w:t>
      </w:r>
      <w:r w:rsidRPr="00053937">
        <w:rPr>
          <w:rFonts w:eastAsia="Times New Roman"/>
        </w:rPr>
        <w:t>, lire</w:t>
      </w:r>
      <w:r w:rsidR="00DB6E93">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6.3</w:t>
      </w:r>
      <w:r w:rsidRPr="00053937">
        <w:rPr>
          <w:rFonts w:eastAsia="Times New Roman"/>
        </w:rPr>
        <w:tab/>
        <w:t>Feu de brouillard avant (Règlement ONU n</w:t>
      </w:r>
      <w:r w:rsidRPr="00053937">
        <w:rPr>
          <w:rFonts w:eastAsia="Times New Roman"/>
          <w:vertAlign w:val="superscript"/>
        </w:rPr>
        <w:t>o</w:t>
      </w:r>
      <w:r w:rsidRPr="00DB6E93">
        <w:rPr>
          <w:rFonts w:eastAsia="Times New Roman"/>
        </w:rPr>
        <w:t> </w:t>
      </w:r>
      <w:r w:rsidRPr="00053937">
        <w:rPr>
          <w:rFonts w:eastAsia="Times New Roman"/>
        </w:rPr>
        <w:t>19 ou [RID])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6.3.2</w:t>
      </w:r>
      <w:r w:rsidRPr="00053937">
        <w:rPr>
          <w:rFonts w:eastAsia="Times New Roman"/>
        </w:rPr>
        <w:t>, lire</w:t>
      </w:r>
      <w:r w:rsidR="00DB6E93">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iCs/>
        </w:rPr>
      </w:pPr>
      <w:r w:rsidRPr="00053937">
        <w:rPr>
          <w:rFonts w:eastAsia="Times New Roman"/>
        </w:rPr>
        <w:t>« 6.3.2</w:t>
      </w:r>
      <w:r w:rsidRPr="00053937">
        <w:rPr>
          <w:rFonts w:eastAsia="Times New Roman"/>
        </w:rPr>
        <w:tab/>
      </w:r>
      <w:r w:rsidRPr="00053937">
        <w:rPr>
          <w:rFonts w:eastAsia="Times New Roman"/>
          <w:iCs/>
        </w:rPr>
        <w:t>Nombre</w:t>
      </w:r>
    </w:p>
    <w:p w:rsidR="00AD2087" w:rsidRPr="00053937" w:rsidRDefault="00AD2087" w:rsidP="00F74F65">
      <w:pPr>
        <w:kinsoku/>
        <w:overflowPunct/>
        <w:autoSpaceDE/>
        <w:autoSpaceDN/>
        <w:adjustRightInd/>
        <w:snapToGrid/>
        <w:spacing w:after="120"/>
        <w:ind w:left="2268" w:right="1134"/>
        <w:jc w:val="both"/>
        <w:rPr>
          <w:rFonts w:eastAsia="Times New Roman"/>
          <w:bCs/>
        </w:rPr>
      </w:pPr>
      <w:r w:rsidRPr="00053937">
        <w:rPr>
          <w:rFonts w:eastAsia="Times New Roman"/>
          <w:bCs/>
          <w:iCs/>
        </w:rPr>
        <w:t>Deux, conformes aux prescriptions de la série 03 et des séries ultérieures d</w:t>
      </w:r>
      <w:r w:rsidR="0016217A">
        <w:rPr>
          <w:rFonts w:eastAsia="Times New Roman"/>
          <w:bCs/>
          <w:iCs/>
        </w:rPr>
        <w:t>’</w:t>
      </w:r>
      <w:r w:rsidRPr="00053937">
        <w:rPr>
          <w:rFonts w:eastAsia="Times New Roman"/>
          <w:bCs/>
          <w:iCs/>
        </w:rPr>
        <w:t>amendements au Règlement ONU n</w:t>
      </w:r>
      <w:r w:rsidRPr="00053937">
        <w:rPr>
          <w:rFonts w:eastAsia="Times New Roman"/>
          <w:bCs/>
          <w:iCs/>
          <w:vertAlign w:val="superscript"/>
        </w:rPr>
        <w:t>o</w:t>
      </w:r>
      <w:r w:rsidRPr="00053937">
        <w:rPr>
          <w:rFonts w:eastAsia="Times New Roman"/>
          <w:bCs/>
          <w:iCs/>
        </w:rPr>
        <w:t> 19, ou aux prescriptions du Règlement ONU n</w:t>
      </w:r>
      <w:r w:rsidRPr="00053937">
        <w:rPr>
          <w:rFonts w:eastAsia="Times New Roman"/>
          <w:bCs/>
          <w:iCs/>
          <w:vertAlign w:val="superscript"/>
        </w:rPr>
        <w:t>o</w:t>
      </w:r>
      <w:r w:rsidRPr="00053937">
        <w:rPr>
          <w:rFonts w:eastAsia="Times New Roman"/>
          <w:bCs/>
          <w:iCs/>
        </w:rPr>
        <w:t> [RID].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6.3.7</w:t>
      </w:r>
      <w:r w:rsidRPr="00053937">
        <w:rPr>
          <w:rFonts w:eastAsia="Times New Roman"/>
        </w:rPr>
        <w:t>, lire</w:t>
      </w:r>
      <w:r w:rsidR="00C5145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6.3.7</w:t>
      </w:r>
      <w:r w:rsidRPr="00053937">
        <w:rPr>
          <w:rFonts w:eastAsia="Times New Roman"/>
        </w:rPr>
        <w:tab/>
      </w:r>
      <w:r w:rsidRPr="00C5145D">
        <w:rPr>
          <w:rFonts w:eastAsia="Times New Roman"/>
        </w:rPr>
        <w:t>Branchements</w:t>
      </w:r>
      <w:r w:rsidRPr="00053937">
        <w:rPr>
          <w:rFonts w:eastAsia="Times New Roman"/>
        </w:rPr>
        <w:t xml:space="preserve"> électriques</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bCs/>
        </w:rPr>
        <w:tab/>
      </w:r>
      <w:r w:rsidRPr="00053937">
        <w:rPr>
          <w:rFonts w:eastAsia="Times New Roman"/>
        </w:rPr>
        <w:t>Il doit être possible d</w:t>
      </w:r>
      <w:r w:rsidR="0016217A">
        <w:rPr>
          <w:rFonts w:eastAsia="Times New Roman"/>
        </w:rPr>
        <w:t>’</w:t>
      </w:r>
      <w:r w:rsidRPr="00053937">
        <w:rPr>
          <w:rFonts w:eastAsia="Times New Roman"/>
        </w:rPr>
        <w:t>allumer et d</w:t>
      </w:r>
      <w:r w:rsidR="0016217A">
        <w:rPr>
          <w:rFonts w:eastAsia="Times New Roman"/>
        </w:rPr>
        <w:t>’</w:t>
      </w:r>
      <w:r w:rsidRPr="00053937">
        <w:rPr>
          <w:rFonts w:eastAsia="Times New Roman"/>
        </w:rPr>
        <w:t>éteindre les feux de brouillard avant indépendamment des feux de route, des feux de croisement ou de toute combinaison entre eux, à moins que :</w:t>
      </w:r>
    </w:p>
    <w:p w:rsidR="00AD2087" w:rsidRPr="00053937" w:rsidRDefault="00AD2087" w:rsidP="00F74F65">
      <w:pPr>
        <w:kinsoku/>
        <w:overflowPunct/>
        <w:autoSpaceDE/>
        <w:autoSpaceDN/>
        <w:adjustRightInd/>
        <w:snapToGrid/>
        <w:spacing w:after="120"/>
        <w:ind w:left="2694" w:right="1134" w:hanging="426"/>
        <w:jc w:val="both"/>
        <w:rPr>
          <w:rFonts w:eastAsia="Times New Roman"/>
        </w:rPr>
      </w:pPr>
      <w:r w:rsidRPr="00053937">
        <w:rPr>
          <w:rFonts w:eastAsia="Times New Roman"/>
        </w:rPr>
        <w:t>a)</w:t>
      </w:r>
      <w:r w:rsidRPr="00053937">
        <w:rPr>
          <w:rFonts w:eastAsia="Times New Roman"/>
        </w:rPr>
        <w:tab/>
        <w:t>Les feux de brouillard avant ne soient utilisés par une autre fonction d</w:t>
      </w:r>
      <w:r w:rsidR="0016217A">
        <w:rPr>
          <w:rFonts w:eastAsia="Times New Roman"/>
        </w:rPr>
        <w:t>’</w:t>
      </w:r>
      <w:r w:rsidRPr="00053937">
        <w:rPr>
          <w:rFonts w:eastAsia="Times New Roman"/>
        </w:rPr>
        <w:t>éclairage d</w:t>
      </w:r>
      <w:r w:rsidR="0016217A">
        <w:rPr>
          <w:rFonts w:eastAsia="Times New Roman"/>
        </w:rPr>
        <w:t>’</w:t>
      </w:r>
      <w:r w:rsidRPr="00053937">
        <w:rPr>
          <w:rFonts w:eastAsia="Times New Roman"/>
        </w:rPr>
        <w:t>un AFS ; toutefois, l</w:t>
      </w:r>
      <w:r w:rsidR="0016217A">
        <w:rPr>
          <w:rFonts w:eastAsia="Times New Roman"/>
        </w:rPr>
        <w:t>’</w:t>
      </w:r>
      <w:r w:rsidRPr="00053937">
        <w:rPr>
          <w:rFonts w:eastAsia="Times New Roman"/>
        </w:rPr>
        <w:t>allumage des feux de brouillard avant doit l</w:t>
      </w:r>
      <w:r w:rsidR="0016217A">
        <w:rPr>
          <w:rFonts w:eastAsia="Times New Roman"/>
        </w:rPr>
        <w:t>’</w:t>
      </w:r>
      <w:r w:rsidRPr="00053937">
        <w:rPr>
          <w:rFonts w:eastAsia="Times New Roman"/>
        </w:rPr>
        <w:t>emporter sur la fonction d</w:t>
      </w:r>
      <w:r w:rsidR="0016217A">
        <w:rPr>
          <w:rFonts w:eastAsia="Times New Roman"/>
        </w:rPr>
        <w:t>’</w:t>
      </w:r>
      <w:r w:rsidRPr="00053937">
        <w:rPr>
          <w:rFonts w:eastAsia="Times New Roman"/>
        </w:rPr>
        <w:t xml:space="preserve">éclairage </w:t>
      </w:r>
      <w:r>
        <w:rPr>
          <w:rFonts w:eastAsia="Times New Roman"/>
        </w:rPr>
        <w:t>dont</w:t>
      </w:r>
      <w:r w:rsidRPr="00053937">
        <w:rPr>
          <w:rFonts w:eastAsia="Times New Roman"/>
        </w:rPr>
        <w:t xml:space="preserve"> les feux de brouillard </w:t>
      </w:r>
      <w:r>
        <w:rPr>
          <w:rFonts w:eastAsia="Times New Roman"/>
        </w:rPr>
        <w:t>avant font partie</w:t>
      </w:r>
      <w:r w:rsidRPr="00053937">
        <w:rPr>
          <w:rFonts w:eastAsia="Times New Roman"/>
        </w:rPr>
        <w:t> ; ou</w:t>
      </w:r>
    </w:p>
    <w:p w:rsidR="00AD2087" w:rsidRPr="00053937" w:rsidRDefault="00AD2087" w:rsidP="00F74F65">
      <w:pPr>
        <w:kinsoku/>
        <w:overflowPunct/>
        <w:autoSpaceDE/>
        <w:autoSpaceDN/>
        <w:adjustRightInd/>
        <w:snapToGrid/>
        <w:spacing w:after="120"/>
        <w:ind w:left="2694" w:right="1134" w:hanging="426"/>
        <w:jc w:val="both"/>
        <w:rPr>
          <w:rFonts w:eastAsia="Times New Roman"/>
        </w:rPr>
      </w:pPr>
      <w:r w:rsidRPr="00053937">
        <w:rPr>
          <w:rFonts w:eastAsia="Times New Roman"/>
        </w:rPr>
        <w:lastRenderedPageBreak/>
        <w:t>b)</w:t>
      </w:r>
      <w:r w:rsidRPr="00053937">
        <w:rPr>
          <w:rFonts w:eastAsia="Times New Roman"/>
        </w:rPr>
        <w:tab/>
        <w:t>Les feux de brouillard avant ne puissent pas être allumés en même temps que tout autre feu avec lesquels ils sont mutuellement incorporés, comme indiqué par le symbole correspondant (“/”), conformément au point 10.1 de l</w:t>
      </w:r>
      <w:r w:rsidR="0016217A">
        <w:rPr>
          <w:rFonts w:eastAsia="Times New Roman"/>
        </w:rPr>
        <w:t>’</w:t>
      </w:r>
      <w:r w:rsidRPr="00053937">
        <w:rPr>
          <w:rFonts w:eastAsia="Times New Roman"/>
        </w:rPr>
        <w:t>annexe 1 du Règlement ONU n</w:t>
      </w:r>
      <w:r w:rsidRPr="00053937">
        <w:rPr>
          <w:rFonts w:eastAsia="Times New Roman"/>
          <w:vertAlign w:val="superscript"/>
        </w:rPr>
        <w:t>o</w:t>
      </w:r>
      <w:r w:rsidRPr="00053937">
        <w:rPr>
          <w:rFonts w:eastAsia="Times New Roman"/>
        </w:rPr>
        <w:t> 19 ou au point 9.5.1 de l</w:t>
      </w:r>
      <w:r w:rsidR="0016217A">
        <w:rPr>
          <w:rFonts w:eastAsia="Times New Roman"/>
        </w:rPr>
        <w:t>’</w:t>
      </w:r>
      <w:r w:rsidRPr="00053937">
        <w:rPr>
          <w:rFonts w:eastAsia="Times New Roman"/>
        </w:rPr>
        <w:t>annexe 1 du Règlement ONU n</w:t>
      </w:r>
      <w:r w:rsidRPr="00053937">
        <w:rPr>
          <w:rFonts w:eastAsia="Times New Roman"/>
          <w:vertAlign w:val="superscript"/>
        </w:rPr>
        <w:t>o</w:t>
      </w:r>
      <w:r w:rsidRPr="00053937">
        <w:rPr>
          <w:rFonts w:eastAsia="Times New Roman"/>
        </w:rPr>
        <w:t> [RID]. ».</w:t>
      </w:r>
    </w:p>
    <w:p w:rsidR="00AD2087" w:rsidRPr="00053937" w:rsidRDefault="00AD2087" w:rsidP="00F74F65">
      <w:pPr>
        <w:kinsoku/>
        <w:overflowPunct/>
        <w:autoSpaceDE/>
        <w:autoSpaceDN/>
        <w:adjustRightInd/>
        <w:snapToGrid/>
        <w:spacing w:after="120"/>
        <w:ind w:left="2268" w:right="1134" w:hanging="1134"/>
        <w:jc w:val="both"/>
        <w:rPr>
          <w:rFonts w:eastAsia="Times New Roman"/>
          <w:iCs/>
          <w:kern w:val="2"/>
          <w:lang w:eastAsia="ja-JP"/>
        </w:rPr>
      </w:pPr>
      <w:r w:rsidRPr="00053937">
        <w:rPr>
          <w:rFonts w:eastAsia="Times New Roman"/>
          <w:i/>
          <w:iCs/>
          <w:kern w:val="2"/>
          <w:lang w:eastAsia="ja-JP"/>
        </w:rPr>
        <w:t>Paragraphe 6.3.9</w:t>
      </w:r>
      <w:r w:rsidRPr="00053937">
        <w:rPr>
          <w:rFonts w:eastAsia="Times New Roman"/>
          <w:iCs/>
          <w:kern w:val="2"/>
          <w:lang w:eastAsia="ja-JP"/>
        </w:rPr>
        <w:t>,</w:t>
      </w:r>
      <w:r w:rsidRPr="00053937">
        <w:rPr>
          <w:rFonts w:eastAsia="Times New Roman"/>
          <w:i/>
          <w:iCs/>
          <w:kern w:val="2"/>
          <w:lang w:eastAsia="ja-JP"/>
        </w:rPr>
        <w:t xml:space="preserve"> </w:t>
      </w:r>
      <w:r w:rsidRPr="00053937">
        <w:rPr>
          <w:rFonts w:eastAsia="Times New Roman"/>
          <w:iCs/>
          <w:kern w:val="2"/>
          <w:lang w:eastAsia="ja-JP"/>
        </w:rPr>
        <w:t>lire</w:t>
      </w:r>
      <w:r w:rsidR="00AA31AD">
        <w:rPr>
          <w:rFonts w:eastAsia="Times New Roman"/>
          <w:iCs/>
          <w:kern w:val="2"/>
          <w:lang w:eastAsia="ja-JP"/>
        </w:rPr>
        <w:t> </w:t>
      </w:r>
      <w:r w:rsidRPr="00053937">
        <w:rPr>
          <w:rFonts w:eastAsia="Times New Roman"/>
          <w:iCs/>
          <w:kern w:val="2"/>
          <w:lang w:eastAsia="ja-JP"/>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iCs/>
          <w:kern w:val="2"/>
          <w:lang w:eastAsia="ja-JP"/>
        </w:rPr>
      </w:pPr>
      <w:r w:rsidRPr="00053937">
        <w:rPr>
          <w:rFonts w:eastAsia="Times New Roman"/>
          <w:iCs/>
          <w:kern w:val="2"/>
          <w:lang w:eastAsia="ja-JP"/>
        </w:rPr>
        <w:t>« 6.3.9</w:t>
      </w:r>
      <w:r w:rsidRPr="00053937">
        <w:rPr>
          <w:rFonts w:eastAsia="Times New Roman"/>
          <w:iCs/>
          <w:kern w:val="2"/>
          <w:lang w:eastAsia="ja-JP"/>
        </w:rPr>
        <w:tab/>
        <w:t>Autres prescriptions</w:t>
      </w:r>
    </w:p>
    <w:p w:rsidR="00AD2087" w:rsidRPr="00053937" w:rsidRDefault="00AD2087" w:rsidP="00F74F65">
      <w:pPr>
        <w:kinsoku/>
        <w:overflowPunct/>
        <w:autoSpaceDE/>
        <w:autoSpaceDN/>
        <w:adjustRightInd/>
        <w:snapToGrid/>
        <w:spacing w:after="120"/>
        <w:ind w:left="2268" w:right="1134"/>
        <w:jc w:val="both"/>
        <w:rPr>
          <w:rFonts w:eastAsia="Times New Roman"/>
          <w:iCs/>
          <w:kern w:val="2"/>
          <w:lang w:eastAsia="ja-JP"/>
        </w:rPr>
      </w:pPr>
      <w:r w:rsidRPr="00053937">
        <w:rPr>
          <w:rFonts w:eastAsia="Times New Roman"/>
          <w:iCs/>
          <w:kern w:val="2"/>
          <w:lang w:eastAsia="ja-JP"/>
        </w:rPr>
        <w:t>En cas de réponse affirmative à la question posée dans la fiche d</w:t>
      </w:r>
      <w:r w:rsidR="0016217A">
        <w:rPr>
          <w:rFonts w:eastAsia="Times New Roman"/>
          <w:iCs/>
          <w:kern w:val="2"/>
          <w:lang w:eastAsia="ja-JP"/>
        </w:rPr>
        <w:t>’</w:t>
      </w:r>
      <w:r w:rsidRPr="00053937">
        <w:rPr>
          <w:rFonts w:eastAsia="Times New Roman"/>
          <w:iCs/>
          <w:kern w:val="2"/>
          <w:lang w:eastAsia="ja-JP"/>
        </w:rPr>
        <w:t>information figurant à l</w:t>
      </w:r>
      <w:r w:rsidR="0016217A">
        <w:rPr>
          <w:rFonts w:eastAsia="Times New Roman"/>
          <w:iCs/>
          <w:kern w:val="2"/>
          <w:lang w:eastAsia="ja-JP"/>
        </w:rPr>
        <w:t>’</w:t>
      </w:r>
      <w:r w:rsidRPr="00053937">
        <w:rPr>
          <w:rFonts w:eastAsia="Times New Roman"/>
          <w:iCs/>
          <w:kern w:val="2"/>
          <w:lang w:eastAsia="ja-JP"/>
        </w:rPr>
        <w:t>annexe 1 du Règlement ONU n</w:t>
      </w:r>
      <w:r w:rsidRPr="00053937">
        <w:rPr>
          <w:rFonts w:eastAsia="Times New Roman"/>
          <w:iCs/>
          <w:kern w:val="2"/>
          <w:vertAlign w:val="superscript"/>
          <w:lang w:eastAsia="ja-JP"/>
        </w:rPr>
        <w:t>o</w:t>
      </w:r>
      <w:r w:rsidRPr="00053937">
        <w:rPr>
          <w:rFonts w:eastAsia="Times New Roman"/>
          <w:iCs/>
          <w:kern w:val="2"/>
          <w:lang w:eastAsia="ja-JP"/>
        </w:rPr>
        <w:t> 19 ou dans l</w:t>
      </w:r>
      <w:r w:rsidR="0016217A">
        <w:rPr>
          <w:rFonts w:eastAsia="Times New Roman"/>
          <w:iCs/>
          <w:kern w:val="2"/>
          <w:lang w:eastAsia="ja-JP"/>
        </w:rPr>
        <w:t>’</w:t>
      </w:r>
      <w:r w:rsidRPr="00053937">
        <w:rPr>
          <w:rFonts w:eastAsia="Times New Roman"/>
          <w:iCs/>
          <w:kern w:val="2"/>
          <w:lang w:eastAsia="ja-JP"/>
        </w:rPr>
        <w:t>annexe</w:t>
      </w:r>
      <w:r w:rsidR="000D35C1">
        <w:rPr>
          <w:rFonts w:eastAsia="Times New Roman"/>
          <w:iCs/>
          <w:kern w:val="2"/>
          <w:lang w:eastAsia="ja-JP"/>
        </w:rPr>
        <w:t> </w:t>
      </w:r>
      <w:r w:rsidRPr="00053937">
        <w:rPr>
          <w:rFonts w:eastAsia="Times New Roman"/>
          <w:iCs/>
          <w:kern w:val="2"/>
          <w:lang w:eastAsia="ja-JP"/>
        </w:rPr>
        <w:t>1 du Règlement ONU n</w:t>
      </w:r>
      <w:r w:rsidRPr="00053937">
        <w:rPr>
          <w:rFonts w:eastAsia="Times New Roman"/>
          <w:iCs/>
          <w:kern w:val="2"/>
          <w:vertAlign w:val="superscript"/>
          <w:lang w:eastAsia="ja-JP"/>
        </w:rPr>
        <w:t>o</w:t>
      </w:r>
      <w:r w:rsidRPr="00053937">
        <w:rPr>
          <w:rFonts w:eastAsia="Times New Roman"/>
          <w:iCs/>
          <w:kern w:val="2"/>
          <w:lang w:eastAsia="ja-JP"/>
        </w:rPr>
        <w:t> [RID], l</w:t>
      </w:r>
      <w:r w:rsidR="0016217A">
        <w:rPr>
          <w:rFonts w:eastAsia="Times New Roman"/>
          <w:iCs/>
          <w:kern w:val="2"/>
          <w:lang w:eastAsia="ja-JP"/>
        </w:rPr>
        <w:t>’</w:t>
      </w:r>
      <w:r w:rsidRPr="00053937">
        <w:rPr>
          <w:rFonts w:eastAsia="Times New Roman"/>
          <w:iCs/>
          <w:kern w:val="2"/>
          <w:lang w:eastAsia="ja-JP"/>
        </w:rPr>
        <w:t>alignement et les intensités lumineuses du faisceau de brouillard de la classe “F3” peuvent être ajustés automatiquement...</w:t>
      </w:r>
      <w:r>
        <w:rPr>
          <w:rFonts w:eastAsia="Times New Roman"/>
          <w:iCs/>
          <w:kern w:val="2"/>
          <w:lang w:eastAsia="ja-JP"/>
        </w:rPr>
        <w:t>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6.4</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6.4</w:t>
      </w:r>
      <w:r w:rsidRPr="00053937">
        <w:rPr>
          <w:rFonts w:eastAsia="Times New Roman"/>
        </w:rPr>
        <w:tab/>
        <w:t>Feu de marche arrière (Règlement ONU n</w:t>
      </w:r>
      <w:r w:rsidRPr="00053937">
        <w:rPr>
          <w:rFonts w:eastAsia="Times New Roman"/>
          <w:vertAlign w:val="superscript"/>
        </w:rPr>
        <w:t>o</w:t>
      </w:r>
      <w:r w:rsidRPr="000D35C1">
        <w:rPr>
          <w:rFonts w:eastAsia="Times New Roman"/>
        </w:rPr>
        <w:t> </w:t>
      </w:r>
      <w:r w:rsidRPr="00053937">
        <w:rPr>
          <w:rFonts w:eastAsia="Times New Roman"/>
        </w:rPr>
        <w:t>23 ou</w:t>
      </w:r>
      <w:r w:rsidR="000D35C1">
        <w:rPr>
          <w:rFonts w:eastAsia="Times New Roman"/>
        </w:rPr>
        <w:t xml:space="preserve"> </w:t>
      </w:r>
      <w:r w:rsidRPr="00053937">
        <w:rPr>
          <w:rFonts w:eastAsia="Times New Roman"/>
        </w:rPr>
        <w:t>[LSD])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6.5</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rPr>
          <w:rFonts w:eastAsia="Times New Roman"/>
        </w:rPr>
      </w:pPr>
      <w:r w:rsidRPr="00053937">
        <w:rPr>
          <w:rFonts w:eastAsia="Times New Roman"/>
        </w:rPr>
        <w:t>« 6.5</w:t>
      </w:r>
      <w:r w:rsidRPr="00053937">
        <w:rPr>
          <w:rFonts w:eastAsia="Times New Roman"/>
        </w:rPr>
        <w:tab/>
        <w:t>Feu indicateur de direction (Règlement ONU n</w:t>
      </w:r>
      <w:r w:rsidRPr="00053937">
        <w:rPr>
          <w:rFonts w:eastAsia="Times New Roman"/>
          <w:vertAlign w:val="superscript"/>
        </w:rPr>
        <w:t>o</w:t>
      </w:r>
      <w:r w:rsidRPr="000D35C1">
        <w:rPr>
          <w:rFonts w:eastAsia="Times New Roman"/>
        </w:rPr>
        <w:t> </w:t>
      </w:r>
      <w:r w:rsidRPr="00053937">
        <w:rPr>
          <w:rFonts w:eastAsia="Times New Roman"/>
        </w:rPr>
        <w:t>6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6.5.8</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6.5.8</w:t>
      </w:r>
      <w:r w:rsidRPr="00053937">
        <w:rPr>
          <w:rFonts w:eastAsia="Times New Roman"/>
        </w:rPr>
        <w:tab/>
        <w:t>Témoin</w:t>
      </w:r>
    </w:p>
    <w:p w:rsidR="00AD2087" w:rsidRPr="00053937" w:rsidRDefault="00AD2087" w:rsidP="000D35C1">
      <w:pPr>
        <w:kinsoku/>
        <w:overflowPunct/>
        <w:autoSpaceDE/>
        <w:autoSpaceDN/>
        <w:adjustRightInd/>
        <w:snapToGrid/>
        <w:spacing w:after="120"/>
        <w:ind w:left="2268" w:right="1134"/>
        <w:jc w:val="both"/>
        <w:rPr>
          <w:rFonts w:eastAsia="Times New Roman"/>
        </w:rPr>
      </w:pPr>
      <w:r w:rsidRPr="00053937">
        <w:rPr>
          <w:rFonts w:eastAsia="Times New Roman"/>
        </w:rPr>
        <w:tab/>
      </w:r>
      <w:r w:rsidR="008F7397">
        <w:rPr>
          <w:rFonts w:eastAsia="Times New Roman"/>
        </w:rPr>
        <w:t>…</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Il doit être activé par le signal produit conformément au paragraphe 6.2.2 du Règlement ONU n</w:t>
      </w:r>
      <w:r w:rsidRPr="00053937">
        <w:rPr>
          <w:rFonts w:eastAsia="Times New Roman"/>
          <w:vertAlign w:val="superscript"/>
        </w:rPr>
        <w:t>o</w:t>
      </w:r>
      <w:r w:rsidRPr="00053937">
        <w:rPr>
          <w:rFonts w:eastAsia="Times New Roman"/>
        </w:rPr>
        <w:t> 6 ou conformément au paragraphe 5.6.3 du Règlement ONU n</w:t>
      </w:r>
      <w:r w:rsidRPr="00053937">
        <w:rPr>
          <w:rFonts w:eastAsia="Times New Roman"/>
          <w:vertAlign w:val="superscript"/>
        </w:rPr>
        <w:t>o</w:t>
      </w:r>
      <w:r w:rsidRPr="00053937">
        <w:rPr>
          <w:rFonts w:eastAsia="Times New Roman"/>
        </w:rPr>
        <w:t> [LSD], ou d</w:t>
      </w:r>
      <w:r w:rsidR="0016217A">
        <w:rPr>
          <w:rFonts w:eastAsia="Times New Roman"/>
        </w:rPr>
        <w:t>’</w:t>
      </w:r>
      <w:r w:rsidRPr="00053937">
        <w:rPr>
          <w:rFonts w:eastAsia="Times New Roman"/>
        </w:rPr>
        <w:t>une autre manière qui convient</w:t>
      </w:r>
      <w:r w:rsidRPr="00053937">
        <w:rPr>
          <w:rFonts w:eastAsia="Times New Roman"/>
          <w:vertAlign w:val="superscript"/>
        </w:rPr>
        <w:t>13</w:t>
      </w:r>
      <w:r w:rsidRPr="00053937">
        <w:rPr>
          <w:rFonts w:eastAsia="Times New Roman"/>
        </w:rPr>
        <w:t>.</w:t>
      </w:r>
    </w:p>
    <w:p w:rsidR="00AD2087" w:rsidRPr="00053937" w:rsidRDefault="00AD2087" w:rsidP="008F7397">
      <w:pPr>
        <w:kinsoku/>
        <w:overflowPunct/>
        <w:autoSpaceDE/>
        <w:autoSpaceDN/>
        <w:adjustRightInd/>
        <w:snapToGrid/>
        <w:spacing w:after="120"/>
        <w:ind w:left="2268" w:right="1134"/>
        <w:jc w:val="both"/>
        <w:rPr>
          <w:rFonts w:eastAsia="Times New Roman"/>
        </w:rPr>
      </w:pPr>
      <w:r w:rsidRPr="00053937">
        <w:rPr>
          <w:rFonts w:eastAsia="Times New Roman"/>
        </w:rPr>
        <w:tab/>
      </w:r>
      <w:r w:rsidR="00021B47">
        <w:rPr>
          <w:rFonts w:eastAsia="Times New Roman"/>
        </w:rPr>
        <w:t>…</w:t>
      </w:r>
      <w:r w:rsidR="000D35C1">
        <w:rPr>
          <w:rFonts w:eastAsia="Times New Roman"/>
        </w:rPr>
        <w:t>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6.7</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6.7</w:t>
      </w:r>
      <w:r w:rsidRPr="00053937">
        <w:rPr>
          <w:rFonts w:eastAsia="Times New Roman"/>
        </w:rPr>
        <w:tab/>
        <w:t>Feu-stop (Règlement ONU n</w:t>
      </w:r>
      <w:r w:rsidRPr="00053937">
        <w:rPr>
          <w:rFonts w:eastAsia="Times New Roman"/>
          <w:vertAlign w:val="superscript"/>
        </w:rPr>
        <w:t>o</w:t>
      </w:r>
      <w:r w:rsidRPr="00053937">
        <w:rPr>
          <w:rFonts w:eastAsia="Times New Roman"/>
        </w:rPr>
        <w:t> 7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6.8</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6.8</w:t>
      </w:r>
      <w:r w:rsidRPr="00053937">
        <w:rPr>
          <w:rFonts w:eastAsia="Times New Roman"/>
        </w:rPr>
        <w:tab/>
        <w:t>Dispositif d</w:t>
      </w:r>
      <w:r w:rsidR="0016217A">
        <w:rPr>
          <w:rFonts w:eastAsia="Times New Roman"/>
        </w:rPr>
        <w:t>’</w:t>
      </w:r>
      <w:r w:rsidRPr="00053937">
        <w:rPr>
          <w:rFonts w:eastAsia="Times New Roman"/>
        </w:rPr>
        <w:t>éclairage de la plaque d</w:t>
      </w:r>
      <w:r w:rsidR="0016217A">
        <w:rPr>
          <w:rFonts w:eastAsia="Times New Roman"/>
        </w:rPr>
        <w:t>’</w:t>
      </w:r>
      <w:r w:rsidRPr="00053937">
        <w:rPr>
          <w:rFonts w:eastAsia="Times New Roman"/>
        </w:rPr>
        <w:t>immatriculation arrière (Règlement ONU n</w:t>
      </w:r>
      <w:r w:rsidRPr="00053937">
        <w:rPr>
          <w:rFonts w:eastAsia="Times New Roman"/>
          <w:vertAlign w:val="superscript"/>
        </w:rPr>
        <w:t>o</w:t>
      </w:r>
      <w:r w:rsidRPr="00053937">
        <w:rPr>
          <w:rFonts w:eastAsia="Times New Roman"/>
        </w:rPr>
        <w:t> 4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6.9</w:t>
      </w:r>
      <w:r w:rsidRPr="00053937">
        <w:rPr>
          <w:rFonts w:eastAsia="Times New Roman"/>
        </w:rPr>
        <w:t>, lire</w:t>
      </w:r>
      <w:r w:rsidR="008F7397">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6.9</w:t>
      </w:r>
      <w:r w:rsidRPr="00053937">
        <w:rPr>
          <w:rFonts w:eastAsia="Times New Roman"/>
        </w:rPr>
        <w:tab/>
        <w:t>Feu de position avant (Règlement ONU n</w:t>
      </w:r>
      <w:r w:rsidRPr="00053937">
        <w:rPr>
          <w:rFonts w:eastAsia="Times New Roman"/>
          <w:vertAlign w:val="superscript"/>
        </w:rPr>
        <w:t>o</w:t>
      </w:r>
      <w:r w:rsidRPr="00053937">
        <w:rPr>
          <w:rFonts w:eastAsia="Times New Roman"/>
        </w:rPr>
        <w:t> 7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6.10</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6.10</w:t>
      </w:r>
      <w:r w:rsidRPr="00053937">
        <w:rPr>
          <w:rFonts w:eastAsia="Times New Roman"/>
        </w:rPr>
        <w:tab/>
        <w:t>Feu de position arrière (Règlement ONU n</w:t>
      </w:r>
      <w:r w:rsidRPr="00053937">
        <w:rPr>
          <w:rFonts w:eastAsia="Times New Roman"/>
          <w:vertAlign w:val="superscript"/>
        </w:rPr>
        <w:t>o</w:t>
      </w:r>
      <w:r w:rsidRPr="00053937">
        <w:rPr>
          <w:rFonts w:eastAsia="Times New Roman"/>
        </w:rPr>
        <w:t> 7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6.11</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rPr>
        <w:t>« 6.11</w:t>
      </w:r>
      <w:r w:rsidRPr="00053937">
        <w:rPr>
          <w:rFonts w:eastAsia="Times New Roman"/>
        </w:rPr>
        <w:tab/>
        <w:t>Feu de brouillard arrière (Règlement ONU n</w:t>
      </w:r>
      <w:r w:rsidRPr="00053937">
        <w:rPr>
          <w:rFonts w:eastAsia="Times New Roman"/>
          <w:vertAlign w:val="superscript"/>
        </w:rPr>
        <w:t>o</w:t>
      </w:r>
      <w:r w:rsidRPr="00053937">
        <w:rPr>
          <w:rFonts w:eastAsia="Times New Roman"/>
        </w:rPr>
        <w:t> 38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6.12</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rPr>
        <w:t>« 6.12</w:t>
      </w:r>
      <w:r w:rsidRPr="00053937">
        <w:rPr>
          <w:rFonts w:eastAsia="Times New Roman"/>
        </w:rPr>
        <w:tab/>
        <w:t>Feu de stationnement (Règlement ONU n</w:t>
      </w:r>
      <w:r w:rsidRPr="00053937">
        <w:rPr>
          <w:rFonts w:eastAsia="Times New Roman"/>
          <w:vertAlign w:val="superscript"/>
        </w:rPr>
        <w:t>o</w:t>
      </w:r>
      <w:r w:rsidRPr="00053937">
        <w:rPr>
          <w:rFonts w:eastAsia="Times New Roman"/>
        </w:rPr>
        <w:t> 77 ou 7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6.13</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6.13</w:t>
      </w:r>
      <w:r w:rsidRPr="00053937">
        <w:rPr>
          <w:rFonts w:eastAsia="Times New Roman"/>
        </w:rPr>
        <w:tab/>
        <w:t>Feu d</w:t>
      </w:r>
      <w:r w:rsidR="0016217A">
        <w:rPr>
          <w:rFonts w:eastAsia="Times New Roman"/>
        </w:rPr>
        <w:t>’</w:t>
      </w:r>
      <w:r w:rsidRPr="00053937">
        <w:rPr>
          <w:rFonts w:eastAsia="Times New Roman"/>
        </w:rPr>
        <w:t>encombrement (feu de gabarit) (Règlement ONU n</w:t>
      </w:r>
      <w:r w:rsidRPr="00053937">
        <w:rPr>
          <w:rFonts w:eastAsia="Times New Roman"/>
          <w:vertAlign w:val="superscript"/>
        </w:rPr>
        <w:t>o</w:t>
      </w:r>
      <w:r w:rsidRPr="00053937">
        <w:rPr>
          <w:rFonts w:eastAsia="Times New Roman"/>
        </w:rPr>
        <w:t> 7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6.14</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6.14</w:t>
      </w:r>
      <w:r w:rsidRPr="00053937">
        <w:rPr>
          <w:rFonts w:eastAsia="Times New Roman"/>
        </w:rPr>
        <w:tab/>
        <w:t>Catadioptre arrière, non triangulaire (Règlement ONU n</w:t>
      </w:r>
      <w:r w:rsidRPr="00053937">
        <w:rPr>
          <w:rFonts w:eastAsia="Times New Roman"/>
          <w:vertAlign w:val="superscript"/>
        </w:rPr>
        <w:t>o</w:t>
      </w:r>
      <w:r w:rsidRPr="00053937">
        <w:rPr>
          <w:rFonts w:eastAsia="Times New Roman"/>
        </w:rPr>
        <w:t> 3 ou [RRD]) ».</w:t>
      </w:r>
    </w:p>
    <w:p w:rsidR="00AD2087" w:rsidRPr="00053937" w:rsidRDefault="00AD2087" w:rsidP="000D35C1">
      <w:pPr>
        <w:keepNext/>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6.14.2</w:t>
      </w:r>
      <w:r w:rsidRPr="00053937">
        <w:rPr>
          <w:rFonts w:eastAsia="Times New Roman"/>
        </w:rPr>
        <w:t>, lire</w:t>
      </w:r>
      <w:r w:rsidR="000D35C1">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6.14.2</w:t>
      </w:r>
      <w:r w:rsidRPr="00053937">
        <w:rPr>
          <w:rFonts w:eastAsia="Times New Roman"/>
        </w:rPr>
        <w:tab/>
        <w:t>Nombre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 xml:space="preserve">Deux, dont les performances doivent être conformes aux prescriptions concernant les catadioptres de la classe IA ou IB, énoncées dans le Règlement </w:t>
      </w:r>
      <w:r w:rsidRPr="00053937">
        <w:rPr>
          <w:rFonts w:eastAsia="Times New Roman"/>
        </w:rPr>
        <w:lastRenderedPageBreak/>
        <w:t>ONU n</w:t>
      </w:r>
      <w:r w:rsidRPr="00053937">
        <w:rPr>
          <w:rFonts w:eastAsia="Times New Roman"/>
          <w:vertAlign w:val="superscript"/>
        </w:rPr>
        <w:t>o</w:t>
      </w:r>
      <w:r w:rsidRPr="00053937">
        <w:rPr>
          <w:rFonts w:eastAsia="Times New Roman"/>
        </w:rPr>
        <w:t> 3 ou [RRD]. Les dispositifs et matériaux réfléchissants supplémentaires (y compris deux catadioptres ne répondant pas au</w:t>
      </w:r>
      <w:r>
        <w:rPr>
          <w:rFonts w:eastAsia="Times New Roman"/>
        </w:rPr>
        <w:t>x prescriptions du</w:t>
      </w:r>
      <w:r w:rsidRPr="00053937">
        <w:rPr>
          <w:rFonts w:eastAsia="Times New Roman"/>
        </w:rPr>
        <w:t xml:space="preserve"> paragraphe 6.14.4 ci</w:t>
      </w:r>
      <w:r w:rsidRPr="00053937">
        <w:rPr>
          <w:rFonts w:eastAsia="Times New Roman"/>
        </w:rPr>
        <w:noBreakHyphen/>
        <w:t>dessous) sont autorisés à condition qu</w:t>
      </w:r>
      <w:r w:rsidR="0016217A">
        <w:rPr>
          <w:rFonts w:eastAsia="Times New Roman"/>
        </w:rPr>
        <w:t>’</w:t>
      </w:r>
      <w:r w:rsidRPr="00053937">
        <w:rPr>
          <w:rFonts w:eastAsia="Times New Roman"/>
        </w:rPr>
        <w:t>ils ne nuisent pas à l</w:t>
      </w:r>
      <w:r w:rsidR="0016217A">
        <w:rPr>
          <w:rFonts w:eastAsia="Times New Roman"/>
        </w:rPr>
        <w:t>’</w:t>
      </w:r>
      <w:r w:rsidRPr="00053937">
        <w:rPr>
          <w:rFonts w:eastAsia="Times New Roman"/>
        </w:rPr>
        <w:t>efficacité des dispositifs obligatoires d</w:t>
      </w:r>
      <w:r w:rsidR="0016217A">
        <w:rPr>
          <w:rFonts w:eastAsia="Times New Roman"/>
        </w:rPr>
        <w:t>’</w:t>
      </w:r>
      <w:r w:rsidRPr="00053937">
        <w:rPr>
          <w:rFonts w:eastAsia="Times New Roman"/>
        </w:rPr>
        <w:t>éclairage et de signalisation lumineuse.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6.15</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6.15</w:t>
      </w:r>
      <w:r w:rsidRPr="00053937">
        <w:rPr>
          <w:rFonts w:eastAsia="Times New Roman"/>
        </w:rPr>
        <w:tab/>
        <w:t>Catadioptre arrière, triangulaire (Règlement ONU n</w:t>
      </w:r>
      <w:r w:rsidRPr="00053937">
        <w:rPr>
          <w:rFonts w:eastAsia="Times New Roman"/>
          <w:vertAlign w:val="superscript"/>
        </w:rPr>
        <w:t>o</w:t>
      </w:r>
      <w:r w:rsidRPr="00053937">
        <w:rPr>
          <w:rFonts w:eastAsia="Times New Roman"/>
        </w:rPr>
        <w:t> 3 ou [RRD])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6.15.2</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6.15.2</w:t>
      </w:r>
      <w:r w:rsidRPr="00053937">
        <w:rPr>
          <w:rFonts w:eastAsia="Times New Roman"/>
        </w:rPr>
        <w:tab/>
        <w:t>Nombre</w:t>
      </w:r>
    </w:p>
    <w:p w:rsidR="00AD2087" w:rsidRPr="00053937" w:rsidRDefault="00AD2087" w:rsidP="00F74F65">
      <w:pPr>
        <w:kinsoku/>
        <w:overflowPunct/>
        <w:autoSpaceDE/>
        <w:autoSpaceDN/>
        <w:adjustRightInd/>
        <w:snapToGrid/>
        <w:spacing w:after="120"/>
        <w:ind w:left="2268" w:right="1134"/>
        <w:jc w:val="both"/>
        <w:rPr>
          <w:rFonts w:eastAsia="Times New Roman"/>
        </w:rPr>
      </w:pPr>
      <w:r w:rsidRPr="00053937">
        <w:rPr>
          <w:rFonts w:eastAsia="Times New Roman"/>
        </w:rPr>
        <w:t>Deux, dont les performances doivent être conformes aux prescriptions concernant les catadioptres de la classe IIIA ou IIIB, énoncées dans le Règlement ONU n</w:t>
      </w:r>
      <w:r w:rsidRPr="00053937">
        <w:rPr>
          <w:rFonts w:eastAsia="Times New Roman"/>
          <w:vertAlign w:val="superscript"/>
        </w:rPr>
        <w:t>o</w:t>
      </w:r>
      <w:r w:rsidRPr="00053937">
        <w:rPr>
          <w:rFonts w:eastAsia="Times New Roman"/>
        </w:rPr>
        <w:t> 3 ou [RRD]. Les dispositifs et matériaux réfléchissants supplémentaires (y compris deux catadioptres ne répondant pas au</w:t>
      </w:r>
      <w:r>
        <w:rPr>
          <w:rFonts w:eastAsia="Times New Roman"/>
        </w:rPr>
        <w:t>x</w:t>
      </w:r>
      <w:r w:rsidRPr="00053937">
        <w:rPr>
          <w:rFonts w:eastAsia="Times New Roman"/>
        </w:rPr>
        <w:t xml:space="preserve"> </w:t>
      </w:r>
      <w:r w:rsidRPr="00A34E85">
        <w:rPr>
          <w:rFonts w:eastAsia="Times New Roman"/>
        </w:rPr>
        <w:t xml:space="preserve">prescriptions du </w:t>
      </w:r>
      <w:r w:rsidRPr="00053937">
        <w:rPr>
          <w:rFonts w:eastAsia="Times New Roman"/>
        </w:rPr>
        <w:t>paragraphe 6.15.4 ci</w:t>
      </w:r>
      <w:r w:rsidRPr="00053937">
        <w:rPr>
          <w:rFonts w:eastAsia="Times New Roman"/>
        </w:rPr>
        <w:noBreakHyphen/>
        <w:t>dessous) sont autorisés à condition qu</w:t>
      </w:r>
      <w:r w:rsidR="0016217A">
        <w:rPr>
          <w:rFonts w:eastAsia="Times New Roman"/>
        </w:rPr>
        <w:t>’</w:t>
      </w:r>
      <w:r w:rsidRPr="00053937">
        <w:rPr>
          <w:rFonts w:eastAsia="Times New Roman"/>
        </w:rPr>
        <w:t>ils ne nuisent pas à l</w:t>
      </w:r>
      <w:r w:rsidR="0016217A">
        <w:rPr>
          <w:rFonts w:eastAsia="Times New Roman"/>
        </w:rPr>
        <w:t>’</w:t>
      </w:r>
      <w:r w:rsidRPr="00053937">
        <w:rPr>
          <w:rFonts w:eastAsia="Times New Roman"/>
        </w:rPr>
        <w:t>efficacité des dispositifs obligatoires d</w:t>
      </w:r>
      <w:r w:rsidR="0016217A">
        <w:rPr>
          <w:rFonts w:eastAsia="Times New Roman"/>
        </w:rPr>
        <w:t>’</w:t>
      </w:r>
      <w:r w:rsidRPr="00053937">
        <w:rPr>
          <w:rFonts w:eastAsia="Times New Roman"/>
        </w:rPr>
        <w:t>éclairage et de signalisation lumineuse.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6.16</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6.16</w:t>
      </w:r>
      <w:r w:rsidRPr="00053937">
        <w:rPr>
          <w:rFonts w:eastAsia="Times New Roman"/>
        </w:rPr>
        <w:tab/>
        <w:t>Catadioptre avant, non triangulaire (Règlement ONU n</w:t>
      </w:r>
      <w:r w:rsidRPr="00053937">
        <w:rPr>
          <w:rFonts w:eastAsia="Times New Roman"/>
          <w:vertAlign w:val="superscript"/>
        </w:rPr>
        <w:t>o</w:t>
      </w:r>
      <w:r w:rsidRPr="00053937">
        <w:rPr>
          <w:rFonts w:eastAsia="Times New Roman"/>
        </w:rPr>
        <w:t> 3 ou</w:t>
      </w:r>
      <w:r w:rsidR="00021B47">
        <w:rPr>
          <w:rFonts w:eastAsia="Times New Roman"/>
        </w:rPr>
        <w:t xml:space="preserve"> </w:t>
      </w:r>
      <w:r w:rsidRPr="00053937">
        <w:rPr>
          <w:rFonts w:eastAsia="Times New Roman"/>
        </w:rPr>
        <w:t>[RRD])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6.16.2</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6.16.2</w:t>
      </w:r>
      <w:r w:rsidRPr="00053937">
        <w:rPr>
          <w:rFonts w:eastAsia="Times New Roman"/>
        </w:rPr>
        <w:tab/>
        <w:t>Nombre</w:t>
      </w:r>
    </w:p>
    <w:p w:rsidR="00AD2087" w:rsidRPr="00053937" w:rsidRDefault="00AD2087" w:rsidP="00F74F65">
      <w:pPr>
        <w:kinsoku/>
        <w:overflowPunct/>
        <w:autoSpaceDE/>
        <w:autoSpaceDN/>
        <w:adjustRightInd/>
        <w:snapToGrid/>
        <w:spacing w:after="120"/>
        <w:ind w:left="2268" w:right="1134"/>
        <w:jc w:val="both"/>
        <w:rPr>
          <w:rFonts w:eastAsia="Times New Roman"/>
          <w:spacing w:val="-2"/>
        </w:rPr>
      </w:pPr>
      <w:r w:rsidRPr="00053937">
        <w:rPr>
          <w:rFonts w:eastAsia="Times New Roman"/>
          <w:spacing w:val="-2"/>
        </w:rPr>
        <w:t>Deux, dont les performances doivent être conformes aux prescriptions concernant les catadioptres de la classe IA ou IB, énoncées dans le Règlement ONU n</w:t>
      </w:r>
      <w:r w:rsidRPr="00053937">
        <w:rPr>
          <w:rFonts w:eastAsia="Times New Roman"/>
          <w:spacing w:val="-2"/>
          <w:vertAlign w:val="superscript"/>
        </w:rPr>
        <w:t>o</w:t>
      </w:r>
      <w:r w:rsidRPr="00053937">
        <w:rPr>
          <w:rFonts w:eastAsia="Times New Roman"/>
          <w:spacing w:val="-2"/>
        </w:rPr>
        <w:t> 3 ou</w:t>
      </w:r>
      <w:r w:rsidR="00021B47">
        <w:rPr>
          <w:rFonts w:eastAsia="Times New Roman"/>
          <w:spacing w:val="-2"/>
        </w:rPr>
        <w:t xml:space="preserve"> </w:t>
      </w:r>
      <w:r w:rsidRPr="00053937">
        <w:rPr>
          <w:rFonts w:eastAsia="Times New Roman"/>
          <w:spacing w:val="-2"/>
        </w:rPr>
        <w:t>[RRD]. Les dispositifs et matériaux réfléchissants supplémentaires (y compris deux catadioptres ne répondant pas au</w:t>
      </w:r>
      <w:r>
        <w:rPr>
          <w:rFonts w:eastAsia="Times New Roman"/>
          <w:spacing w:val="-2"/>
        </w:rPr>
        <w:t xml:space="preserve">x </w:t>
      </w:r>
      <w:r w:rsidRPr="00A34E85">
        <w:rPr>
          <w:rFonts w:eastAsia="Times New Roman"/>
          <w:spacing w:val="-2"/>
        </w:rPr>
        <w:t>prescriptions du</w:t>
      </w:r>
      <w:r w:rsidRPr="00053937">
        <w:rPr>
          <w:rFonts w:eastAsia="Times New Roman"/>
          <w:spacing w:val="-2"/>
        </w:rPr>
        <w:t xml:space="preserve"> paragraphe 6.16.4 ci</w:t>
      </w:r>
      <w:r w:rsidRPr="00053937">
        <w:rPr>
          <w:rFonts w:eastAsia="Times New Roman"/>
          <w:spacing w:val="-2"/>
        </w:rPr>
        <w:noBreakHyphen/>
        <w:t>dessous) sont autorisés à condition qu</w:t>
      </w:r>
      <w:r w:rsidR="0016217A">
        <w:rPr>
          <w:rFonts w:eastAsia="Times New Roman"/>
          <w:spacing w:val="-2"/>
        </w:rPr>
        <w:t>’</w:t>
      </w:r>
      <w:r w:rsidRPr="00053937">
        <w:rPr>
          <w:rFonts w:eastAsia="Times New Roman"/>
          <w:spacing w:val="-2"/>
        </w:rPr>
        <w:t>ils ne nuisent pas à l</w:t>
      </w:r>
      <w:r w:rsidR="0016217A">
        <w:rPr>
          <w:rFonts w:eastAsia="Times New Roman"/>
          <w:spacing w:val="-2"/>
        </w:rPr>
        <w:t>’</w:t>
      </w:r>
      <w:r w:rsidRPr="00053937">
        <w:rPr>
          <w:rFonts w:eastAsia="Times New Roman"/>
          <w:spacing w:val="-2"/>
        </w:rPr>
        <w:t>efficacité des dispositifs obligatoires d</w:t>
      </w:r>
      <w:r w:rsidR="0016217A">
        <w:rPr>
          <w:rFonts w:eastAsia="Times New Roman"/>
          <w:spacing w:val="-2"/>
        </w:rPr>
        <w:t>’</w:t>
      </w:r>
      <w:r w:rsidRPr="00053937">
        <w:rPr>
          <w:rFonts w:eastAsia="Times New Roman"/>
          <w:spacing w:val="-2"/>
        </w:rPr>
        <w:t>éclairage et de signalisation lumineuse.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6.17</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6.17</w:t>
      </w:r>
      <w:r w:rsidRPr="00053937">
        <w:rPr>
          <w:rFonts w:eastAsia="Times New Roman"/>
        </w:rPr>
        <w:tab/>
        <w:t>Catadioptre latéral, non triangulaire (Règlement ONU n</w:t>
      </w:r>
      <w:r w:rsidRPr="00053937">
        <w:rPr>
          <w:rFonts w:eastAsia="Times New Roman"/>
          <w:vertAlign w:val="superscript"/>
        </w:rPr>
        <w:t>o</w:t>
      </w:r>
      <w:r w:rsidRPr="00053937">
        <w:rPr>
          <w:rFonts w:eastAsia="Times New Roman"/>
        </w:rPr>
        <w:t> 3 ou</w:t>
      </w:r>
      <w:r w:rsidR="00021B47">
        <w:rPr>
          <w:rFonts w:eastAsia="Times New Roman"/>
        </w:rPr>
        <w:t xml:space="preserve"> </w:t>
      </w:r>
      <w:r w:rsidRPr="00053937">
        <w:rPr>
          <w:rFonts w:eastAsia="Times New Roman"/>
        </w:rPr>
        <w:t>[RRD])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6.17.2</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6.17.2</w:t>
      </w:r>
      <w:r w:rsidRPr="00053937">
        <w:rPr>
          <w:rFonts w:eastAsia="Times New Roman"/>
        </w:rPr>
        <w:tab/>
        <w:t>Nombre</w:t>
      </w:r>
    </w:p>
    <w:p w:rsidR="00AD2087" w:rsidRPr="00053937" w:rsidRDefault="00AD2087" w:rsidP="00F74F65">
      <w:pPr>
        <w:kinsoku/>
        <w:overflowPunct/>
        <w:autoSpaceDE/>
        <w:autoSpaceDN/>
        <w:adjustRightInd/>
        <w:snapToGrid/>
        <w:spacing w:after="120"/>
        <w:ind w:left="2268" w:right="1134"/>
        <w:jc w:val="both"/>
        <w:rPr>
          <w:rFonts w:eastAsia="Times New Roman"/>
          <w:spacing w:val="-2"/>
        </w:rPr>
      </w:pPr>
      <w:r w:rsidRPr="00053937">
        <w:rPr>
          <w:rFonts w:eastAsia="Times New Roman"/>
          <w:spacing w:val="-2"/>
        </w:rPr>
        <w:t>Tel que les prescriptions relatives à l</w:t>
      </w:r>
      <w:r w:rsidR="0016217A">
        <w:rPr>
          <w:rFonts w:eastAsia="Times New Roman"/>
          <w:spacing w:val="-2"/>
        </w:rPr>
        <w:t>’</w:t>
      </w:r>
      <w:r w:rsidRPr="00053937">
        <w:rPr>
          <w:rFonts w:eastAsia="Times New Roman"/>
          <w:spacing w:val="-2"/>
        </w:rPr>
        <w:t>emplacement en longueur soient respectées. Les performances de ces dispositifs doivent être conformes aux prescriptions concernant les catadioptres de la classe IA ou IB, énoncées dans le Règlement ONU n</w:t>
      </w:r>
      <w:r w:rsidRPr="00053937">
        <w:rPr>
          <w:rFonts w:eastAsia="Times New Roman"/>
          <w:spacing w:val="-2"/>
          <w:vertAlign w:val="superscript"/>
        </w:rPr>
        <w:t>o</w:t>
      </w:r>
      <w:r w:rsidRPr="00053937">
        <w:rPr>
          <w:rFonts w:eastAsia="Times New Roman"/>
          <w:spacing w:val="-2"/>
        </w:rPr>
        <w:t> 3 ou</w:t>
      </w:r>
      <w:r w:rsidR="00021B47">
        <w:rPr>
          <w:rFonts w:eastAsia="Times New Roman"/>
          <w:spacing w:val="-2"/>
        </w:rPr>
        <w:t xml:space="preserve"> </w:t>
      </w:r>
      <w:r w:rsidRPr="00053937">
        <w:rPr>
          <w:rFonts w:eastAsia="Times New Roman"/>
          <w:spacing w:val="-2"/>
        </w:rPr>
        <w:t>[RRD]. Les dispositifs et matériaux réfléchissants supplémentaires (y compris deux catadioptres ne répondant pas au</w:t>
      </w:r>
      <w:r>
        <w:rPr>
          <w:rFonts w:eastAsia="Times New Roman"/>
          <w:spacing w:val="-2"/>
        </w:rPr>
        <w:t>x</w:t>
      </w:r>
      <w:r w:rsidRPr="00A34E85">
        <w:rPr>
          <w:rFonts w:eastAsia="Times New Roman"/>
        </w:rPr>
        <w:t xml:space="preserve"> </w:t>
      </w:r>
      <w:r w:rsidRPr="00A34E85">
        <w:rPr>
          <w:rFonts w:eastAsia="Times New Roman"/>
          <w:spacing w:val="-2"/>
        </w:rPr>
        <w:t>prescriptions du</w:t>
      </w:r>
      <w:r w:rsidRPr="00053937">
        <w:rPr>
          <w:rFonts w:eastAsia="Times New Roman"/>
          <w:spacing w:val="-2"/>
        </w:rPr>
        <w:t xml:space="preserve"> paragraphe 6.17.4 ci</w:t>
      </w:r>
      <w:r w:rsidRPr="00053937">
        <w:rPr>
          <w:rFonts w:eastAsia="Times New Roman"/>
          <w:spacing w:val="-2"/>
        </w:rPr>
        <w:noBreakHyphen/>
        <w:t>dessous) sont autorisés à condition qu</w:t>
      </w:r>
      <w:r w:rsidR="0016217A">
        <w:rPr>
          <w:rFonts w:eastAsia="Times New Roman"/>
          <w:spacing w:val="-2"/>
        </w:rPr>
        <w:t>’</w:t>
      </w:r>
      <w:r w:rsidRPr="00053937">
        <w:rPr>
          <w:rFonts w:eastAsia="Times New Roman"/>
          <w:spacing w:val="-2"/>
        </w:rPr>
        <w:t>ils ne nuisent pas à l</w:t>
      </w:r>
      <w:r w:rsidR="0016217A">
        <w:rPr>
          <w:rFonts w:eastAsia="Times New Roman"/>
          <w:spacing w:val="-2"/>
        </w:rPr>
        <w:t>’</w:t>
      </w:r>
      <w:r w:rsidRPr="00053937">
        <w:rPr>
          <w:rFonts w:eastAsia="Times New Roman"/>
          <w:spacing w:val="-2"/>
        </w:rPr>
        <w:t>efficacité des dispositifs obligatoires d</w:t>
      </w:r>
      <w:r w:rsidR="0016217A">
        <w:rPr>
          <w:rFonts w:eastAsia="Times New Roman"/>
          <w:spacing w:val="-2"/>
        </w:rPr>
        <w:t>’</w:t>
      </w:r>
      <w:r w:rsidRPr="00053937">
        <w:rPr>
          <w:rFonts w:eastAsia="Times New Roman"/>
          <w:spacing w:val="-2"/>
        </w:rPr>
        <w:t>éclairage et de signalisation lumineuse. ».</w:t>
      </w:r>
    </w:p>
    <w:p w:rsidR="00AD2087" w:rsidRPr="00053937" w:rsidRDefault="00AD2087" w:rsidP="00F74F65">
      <w:pPr>
        <w:keepNext/>
        <w:keepLines/>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6.18</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eepNext/>
        <w:keepLines/>
        <w:kinsoku/>
        <w:overflowPunct/>
        <w:autoSpaceDE/>
        <w:autoSpaceDN/>
        <w:adjustRightInd/>
        <w:snapToGrid/>
        <w:spacing w:after="120"/>
        <w:ind w:left="2268" w:right="1134" w:hanging="1134"/>
        <w:jc w:val="both"/>
        <w:rPr>
          <w:rFonts w:eastAsia="Times New Roman"/>
        </w:rPr>
      </w:pPr>
      <w:r w:rsidRPr="00053937">
        <w:rPr>
          <w:rFonts w:eastAsia="Times New Roman"/>
        </w:rPr>
        <w:t>« 6.18</w:t>
      </w:r>
      <w:r w:rsidRPr="00053937">
        <w:rPr>
          <w:rFonts w:eastAsia="Times New Roman"/>
        </w:rPr>
        <w:tab/>
        <w:t>Feux de position latéraux (Règlement ONU n</w:t>
      </w:r>
      <w:r w:rsidRPr="00053937">
        <w:rPr>
          <w:rFonts w:eastAsia="Times New Roman"/>
          <w:vertAlign w:val="superscript"/>
        </w:rPr>
        <w:t>o</w:t>
      </w:r>
      <w:r w:rsidRPr="00053937">
        <w:rPr>
          <w:rFonts w:eastAsia="Times New Roman"/>
        </w:rPr>
        <w:t> 91 ou [LSD])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6.19</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rPr>
          <w:rFonts w:eastAsia="Times New Roman"/>
        </w:rPr>
      </w:pPr>
      <w:r w:rsidRPr="00053937">
        <w:rPr>
          <w:rFonts w:eastAsia="Times New Roman"/>
        </w:rPr>
        <w:t>« 6.19</w:t>
      </w:r>
      <w:r w:rsidRPr="00053937">
        <w:rPr>
          <w:rFonts w:eastAsia="Times New Roman"/>
        </w:rPr>
        <w:tab/>
        <w:t>Feu de circulation diurne (Règlement ONU n</w:t>
      </w:r>
      <w:r w:rsidRPr="00053937">
        <w:rPr>
          <w:rFonts w:eastAsia="Times New Roman"/>
          <w:vertAlign w:val="superscript"/>
        </w:rPr>
        <w:t>o</w:t>
      </w:r>
      <w:r w:rsidRPr="00053937">
        <w:rPr>
          <w:rFonts w:eastAsia="Times New Roman"/>
        </w:rPr>
        <w:t> 87 ou [LSD])</w:t>
      </w:r>
      <w:r w:rsidRPr="00053937">
        <w:rPr>
          <w:rFonts w:eastAsia="Times New Roman"/>
          <w:vertAlign w:val="superscript"/>
        </w:rPr>
        <w:t>14</w:t>
      </w:r>
      <w:r w:rsidRPr="00053937">
        <w:rPr>
          <w:rFonts w:eastAsia="Times New Roman"/>
        </w:rPr>
        <w:t> ».</w:t>
      </w:r>
    </w:p>
    <w:p w:rsidR="00AD2087" w:rsidRPr="00053937" w:rsidRDefault="00AD2087" w:rsidP="006E55AD">
      <w:pPr>
        <w:keepNext/>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6.20</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6.20</w:t>
      </w:r>
      <w:r w:rsidRPr="00053937">
        <w:rPr>
          <w:rFonts w:eastAsia="Times New Roman"/>
        </w:rPr>
        <w:tab/>
        <w:t>Feu d</w:t>
      </w:r>
      <w:r w:rsidR="0016217A">
        <w:rPr>
          <w:rFonts w:eastAsia="Times New Roman"/>
        </w:rPr>
        <w:t>’</w:t>
      </w:r>
      <w:r w:rsidRPr="00053937">
        <w:rPr>
          <w:rFonts w:eastAsia="Times New Roman"/>
        </w:rPr>
        <w:t>angle (Règlement ONU n</w:t>
      </w:r>
      <w:r w:rsidRPr="00053937">
        <w:rPr>
          <w:rFonts w:eastAsia="Times New Roman"/>
          <w:vertAlign w:val="superscript"/>
        </w:rPr>
        <w:t>o</w:t>
      </w:r>
      <w:r w:rsidRPr="00053937">
        <w:rPr>
          <w:rFonts w:eastAsia="Times New Roman"/>
        </w:rPr>
        <w:t> 119 ou [RID])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6.21</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6.21</w:t>
      </w:r>
      <w:r w:rsidRPr="00053937">
        <w:rPr>
          <w:rFonts w:eastAsia="Times New Roman"/>
        </w:rPr>
        <w:tab/>
        <w:t>Marquages à grande visibilité (Règlement ONU n</w:t>
      </w:r>
      <w:r w:rsidRPr="00053937">
        <w:rPr>
          <w:rFonts w:eastAsia="Times New Roman"/>
          <w:vertAlign w:val="superscript"/>
        </w:rPr>
        <w:t>o</w:t>
      </w:r>
      <w:r w:rsidRPr="00053937">
        <w:rPr>
          <w:rFonts w:eastAsia="Times New Roman"/>
        </w:rPr>
        <w:t> 104 ou [RRD])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lastRenderedPageBreak/>
        <w:t>Paragraphe 6.21.1.2.5</w:t>
      </w:r>
      <w:r w:rsidRPr="00053937">
        <w:rPr>
          <w:rFonts w:eastAsia="Times New Roman"/>
        </w:rPr>
        <w:t>, lire</w:t>
      </w:r>
      <w:r w:rsidR="006E55AD">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w:t>
      </w:r>
      <w:r w:rsidRPr="00D62292">
        <w:rPr>
          <w:rFonts w:eastAsia="Times New Roman"/>
          <w:spacing w:val="-2"/>
        </w:rPr>
        <w:t>6.21.1.2.5</w:t>
      </w:r>
      <w:r w:rsidRPr="00053937">
        <w:rPr>
          <w:rFonts w:eastAsia="Times New Roman"/>
        </w:rPr>
        <w:tab/>
        <w:t>Dans les cas où le fabricant, après vérification par le service technique, peut prouver à l</w:t>
      </w:r>
      <w:r w:rsidR="0016217A">
        <w:rPr>
          <w:rFonts w:eastAsia="Times New Roman"/>
        </w:rPr>
        <w:t>’</w:t>
      </w:r>
      <w:r w:rsidRPr="00053937">
        <w:rPr>
          <w:rFonts w:eastAsia="Times New Roman"/>
        </w:rPr>
        <w:t>autorité d</w:t>
      </w:r>
      <w:r w:rsidR="0016217A">
        <w:rPr>
          <w:rFonts w:eastAsia="Times New Roman"/>
        </w:rPr>
        <w:t>’</w:t>
      </w:r>
      <w:r w:rsidRPr="00053937">
        <w:rPr>
          <w:rFonts w:eastAsia="Times New Roman"/>
        </w:rPr>
        <w:t>homologation de type qu</w:t>
      </w:r>
      <w:r w:rsidR="0016217A">
        <w:rPr>
          <w:rFonts w:eastAsia="Times New Roman"/>
        </w:rPr>
        <w:t>’</w:t>
      </w:r>
      <w:r w:rsidRPr="00053937">
        <w:rPr>
          <w:rFonts w:eastAsia="Times New Roman"/>
        </w:rPr>
        <w:t>il est impossible de se conformer aux prescriptions énoncées aux paragraphes 6.21.2 à 6.21.7.5 ci</w:t>
      </w:r>
      <w:r w:rsidRPr="00053937">
        <w:rPr>
          <w:rFonts w:eastAsia="Times New Roman"/>
        </w:rPr>
        <w:noBreakHyphen/>
        <w:t>dessous, en raison de prescriptions en matière de fonctionnement qui peuvent imposer au véhicule une forme, une structure ou une conception spéciales, le respect partiel de ces prescriptions peut être accepté. Cela dépend du nombre de prescriptions devant, si possible, être satisfaites et de l</w:t>
      </w:r>
      <w:r w:rsidR="0016217A">
        <w:rPr>
          <w:rFonts w:eastAsia="Times New Roman"/>
        </w:rPr>
        <w:t>’</w:t>
      </w:r>
      <w:r w:rsidRPr="00053937">
        <w:rPr>
          <w:rFonts w:eastAsia="Times New Roman"/>
        </w:rPr>
        <w:t>application des marquages à grande visibilité qui satisfont en partie aux prescriptions les plus strictes concernant la structure du véhicule. On peut notamment mettre en place, lorsque la structure le permet, des plaques ou des supports supplémentaires constitués d</w:t>
      </w:r>
      <w:r w:rsidR="0016217A">
        <w:rPr>
          <w:rFonts w:eastAsia="Times New Roman"/>
        </w:rPr>
        <w:t>’</w:t>
      </w:r>
      <w:r w:rsidRPr="00053937">
        <w:rPr>
          <w:rFonts w:eastAsia="Times New Roman"/>
        </w:rPr>
        <w:t>un matériau conforme au Règlement ONU n</w:t>
      </w:r>
      <w:r w:rsidRPr="00053937">
        <w:rPr>
          <w:rFonts w:eastAsia="Times New Roman"/>
          <w:vertAlign w:val="superscript"/>
        </w:rPr>
        <w:t>o</w:t>
      </w:r>
      <w:r w:rsidRPr="00053937">
        <w:rPr>
          <w:rFonts w:eastAsia="Times New Roman"/>
        </w:rPr>
        <w:t> 104 ou [RRD], afin que la signalisation soit claire et uniforme et réponde à l</w:t>
      </w:r>
      <w:r w:rsidR="0016217A">
        <w:rPr>
          <w:rFonts w:eastAsia="Times New Roman"/>
        </w:rPr>
        <w:t>’</w:t>
      </w:r>
      <w:r w:rsidRPr="00053937">
        <w:rPr>
          <w:rFonts w:eastAsia="Times New Roman"/>
        </w:rPr>
        <w:t>objectif de grande visibilité.</w:t>
      </w:r>
    </w:p>
    <w:p w:rsidR="00AD2087" w:rsidRPr="00053937" w:rsidRDefault="00AD2087" w:rsidP="006E55AD">
      <w:pPr>
        <w:kinsoku/>
        <w:overflowPunct/>
        <w:autoSpaceDE/>
        <w:autoSpaceDN/>
        <w:adjustRightInd/>
        <w:snapToGrid/>
        <w:spacing w:after="120"/>
        <w:ind w:left="2268" w:right="1134"/>
        <w:jc w:val="both"/>
        <w:rPr>
          <w:rFonts w:eastAsia="Times New Roman"/>
        </w:rPr>
      </w:pPr>
      <w:r w:rsidRPr="00053937">
        <w:rPr>
          <w:rFonts w:eastAsia="Times New Roman"/>
        </w:rPr>
        <w:tab/>
        <w:t xml:space="preserve">Lorsque le respect partiel est jugé acceptable, les dispositifs rétroréfléchissants tels que les catadioptres de la classe IVA </w:t>
      </w:r>
      <w:r>
        <w:rPr>
          <w:rFonts w:eastAsia="Times New Roman"/>
        </w:rPr>
        <w:t>du</w:t>
      </w:r>
      <w:r w:rsidRPr="00053937">
        <w:rPr>
          <w:rFonts w:eastAsia="Times New Roman"/>
        </w:rPr>
        <w:t xml:space="preserve"> Règlement ONU n</w:t>
      </w:r>
      <w:r w:rsidRPr="00053937">
        <w:rPr>
          <w:rFonts w:eastAsia="Times New Roman"/>
          <w:vertAlign w:val="superscript"/>
        </w:rPr>
        <w:t>o</w:t>
      </w:r>
      <w:r w:rsidRPr="00053937">
        <w:rPr>
          <w:rFonts w:eastAsia="Times New Roman"/>
        </w:rPr>
        <w:t> 3 ou [RRD] ou les supports constitués d</w:t>
      </w:r>
      <w:r w:rsidR="0016217A">
        <w:rPr>
          <w:rFonts w:eastAsia="Times New Roman"/>
        </w:rPr>
        <w:t>’</w:t>
      </w:r>
      <w:r w:rsidRPr="00053937">
        <w:rPr>
          <w:rFonts w:eastAsia="Times New Roman"/>
        </w:rPr>
        <w:t>un matériau rétroréfléchissant conforme aux prescriptions photométriques de la classe</w:t>
      </w:r>
      <w:r w:rsidR="00D62292">
        <w:rPr>
          <w:rFonts w:eastAsia="Times New Roman"/>
        </w:rPr>
        <w:t> </w:t>
      </w:r>
      <w:r w:rsidRPr="00053937">
        <w:rPr>
          <w:rFonts w:eastAsia="Times New Roman"/>
        </w:rPr>
        <w:t xml:space="preserve">C </w:t>
      </w:r>
      <w:r>
        <w:rPr>
          <w:rFonts w:eastAsia="Times New Roman"/>
        </w:rPr>
        <w:t>du</w:t>
      </w:r>
      <w:r w:rsidRPr="00053937">
        <w:rPr>
          <w:rFonts w:eastAsia="Times New Roman"/>
        </w:rPr>
        <w:t xml:space="preserve"> Règlement ONU n</w:t>
      </w:r>
      <w:r w:rsidRPr="00053937">
        <w:rPr>
          <w:rFonts w:eastAsia="Times New Roman"/>
          <w:vertAlign w:val="superscript"/>
        </w:rPr>
        <w:t>o</w:t>
      </w:r>
      <w:r w:rsidRPr="00053937">
        <w:rPr>
          <w:rFonts w:eastAsia="Times New Roman"/>
        </w:rPr>
        <w:t> 104 ou [RRD] peuvent en partie remplacer les marquages à grande visibilité requis. Dans ce cas, il convient d</w:t>
      </w:r>
      <w:r w:rsidR="0016217A">
        <w:rPr>
          <w:rFonts w:eastAsia="Times New Roman"/>
        </w:rPr>
        <w:t>’</w:t>
      </w:r>
      <w:r w:rsidRPr="00053937">
        <w:rPr>
          <w:rFonts w:eastAsia="Times New Roman"/>
        </w:rPr>
        <w:t>installer de tels dispositifs rétroréfléchissants tous les 1 500 </w:t>
      </w:r>
      <w:proofErr w:type="spellStart"/>
      <w:r w:rsidRPr="00053937">
        <w:rPr>
          <w:rFonts w:eastAsia="Times New Roman"/>
        </w:rPr>
        <w:t>mm.</w:t>
      </w:r>
      <w:proofErr w:type="spellEnd"/>
    </w:p>
    <w:p w:rsidR="00AD2087" w:rsidRPr="00053937" w:rsidRDefault="00AD2087" w:rsidP="00B5792A">
      <w:pPr>
        <w:kinsoku/>
        <w:overflowPunct/>
        <w:autoSpaceDE/>
        <w:autoSpaceDN/>
        <w:adjustRightInd/>
        <w:snapToGrid/>
        <w:spacing w:after="120"/>
        <w:ind w:left="2268" w:right="1134"/>
        <w:jc w:val="both"/>
        <w:rPr>
          <w:rFonts w:eastAsia="Times New Roman"/>
        </w:rPr>
      </w:pPr>
      <w:r w:rsidRPr="00053937">
        <w:rPr>
          <w:rFonts w:eastAsia="Times New Roman"/>
        </w:rPr>
        <w:tab/>
        <w:t>Les renseignements nécessaires doivent être consignés sur la fiche de communication.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6.21.4.2.1.1</w:t>
      </w:r>
      <w:r w:rsidRPr="00053937">
        <w:rPr>
          <w:rFonts w:eastAsia="Times New Roman"/>
        </w:rPr>
        <w:t>, lire</w:t>
      </w:r>
      <w:r w:rsidR="00B5792A">
        <w:rPr>
          <w:rFonts w:eastAsia="Times New Roman"/>
        </w:rPr>
        <w:t> </w:t>
      </w:r>
      <w:r w:rsidRPr="00053937">
        <w:rPr>
          <w:rFonts w:eastAsia="Times New Roman"/>
        </w:rPr>
        <w:t>:</w:t>
      </w:r>
    </w:p>
    <w:p w:rsidR="00AD2087" w:rsidRPr="00053937" w:rsidRDefault="00AD2087" w:rsidP="00F74F65">
      <w:pPr>
        <w:pStyle w:val="SingleTxtG"/>
        <w:ind w:left="2268" w:hanging="1134"/>
        <w:rPr>
          <w:lang w:eastAsia="fr-FR"/>
        </w:rPr>
      </w:pPr>
      <w:r w:rsidRPr="00053937">
        <w:rPr>
          <w:rFonts w:eastAsia="Times New Roman"/>
        </w:rPr>
        <w:t>« 6.21.4.2.1.1</w:t>
      </w:r>
      <w:r w:rsidRPr="00053937">
        <w:rPr>
          <w:rFonts w:eastAsia="Times New Roman"/>
        </w:rPr>
        <w:tab/>
      </w:r>
      <w:r w:rsidRPr="00053937">
        <w:rPr>
          <w:lang w:eastAsia="fr-FR"/>
        </w:rPr>
        <w:t>Pour les véhicules à moteur, chaque extrémité du véhicule, ou, dans le cas des tracteurs de semi-remorques, chaque extrémité de la cabine ;</w:t>
      </w:r>
    </w:p>
    <w:p w:rsidR="00AD2087" w:rsidRPr="00D7232A" w:rsidRDefault="00AD2087" w:rsidP="00B5792A">
      <w:pPr>
        <w:kinsoku/>
        <w:overflowPunct/>
        <w:autoSpaceDE/>
        <w:autoSpaceDN/>
        <w:adjustRightInd/>
        <w:snapToGrid/>
        <w:spacing w:after="120"/>
        <w:ind w:left="2268" w:right="1134"/>
        <w:jc w:val="both"/>
        <w:rPr>
          <w:lang w:eastAsia="fr-FR"/>
        </w:rPr>
      </w:pPr>
      <w:r w:rsidRPr="00D7232A">
        <w:rPr>
          <w:lang w:eastAsia="fr-FR"/>
        </w:rPr>
        <w:tab/>
        <w:t>Il est cependant permis d</w:t>
      </w:r>
      <w:r w:rsidR="0016217A">
        <w:rPr>
          <w:lang w:eastAsia="fr-FR"/>
        </w:rPr>
        <w:t>’</w:t>
      </w:r>
      <w:r w:rsidRPr="00D7232A">
        <w:rPr>
          <w:lang w:eastAsia="fr-FR"/>
        </w:rPr>
        <w:t>avoir recours à un autre mode de marquage à moins de 2 400 mm de la partie avant du véhicule lorsqu</w:t>
      </w:r>
      <w:r w:rsidR="0016217A">
        <w:rPr>
          <w:lang w:eastAsia="fr-FR"/>
        </w:rPr>
        <w:t>’</w:t>
      </w:r>
      <w:r w:rsidRPr="00D7232A">
        <w:rPr>
          <w:lang w:eastAsia="fr-FR"/>
        </w:rPr>
        <w:t xml:space="preserve">une série de catadioptres de la classe IVA </w:t>
      </w:r>
      <w:r>
        <w:rPr>
          <w:lang w:eastAsia="fr-FR"/>
        </w:rPr>
        <w:t>du</w:t>
      </w:r>
      <w:r w:rsidRPr="00D7232A">
        <w:rPr>
          <w:lang w:eastAsia="fr-FR"/>
        </w:rPr>
        <w:t xml:space="preserve"> Règlement </w:t>
      </w:r>
      <w:r w:rsidRPr="00053937">
        <w:rPr>
          <w:lang w:eastAsia="fr-FR"/>
        </w:rPr>
        <w:t xml:space="preserve">ONU </w:t>
      </w:r>
      <w:r w:rsidRPr="00D7232A">
        <w:rPr>
          <w:lang w:eastAsia="fr-FR"/>
        </w:rPr>
        <w:t>n</w:t>
      </w:r>
      <w:r w:rsidRPr="00D7232A">
        <w:rPr>
          <w:vertAlign w:val="superscript"/>
          <w:lang w:eastAsia="fr-FR"/>
        </w:rPr>
        <w:t>o</w:t>
      </w:r>
      <w:r w:rsidRPr="00D7232A">
        <w:rPr>
          <w:lang w:eastAsia="fr-FR"/>
        </w:rPr>
        <w:t> 3 ou</w:t>
      </w:r>
      <w:r w:rsidRPr="00D7232A">
        <w:t> [RRD]</w:t>
      </w:r>
      <w:r w:rsidRPr="00D7232A">
        <w:rPr>
          <w:lang w:eastAsia="fr-FR"/>
        </w:rPr>
        <w:t xml:space="preserve"> ou de la classe C </w:t>
      </w:r>
      <w:r>
        <w:rPr>
          <w:lang w:eastAsia="fr-FR"/>
        </w:rPr>
        <w:t>du</w:t>
      </w:r>
      <w:r w:rsidRPr="00D7232A">
        <w:rPr>
          <w:lang w:eastAsia="fr-FR"/>
        </w:rPr>
        <w:t xml:space="preserve"> Règlement </w:t>
      </w:r>
      <w:r w:rsidRPr="00053937">
        <w:rPr>
          <w:lang w:eastAsia="fr-FR"/>
        </w:rPr>
        <w:t xml:space="preserve">ONU </w:t>
      </w:r>
      <w:r w:rsidRPr="00D7232A">
        <w:rPr>
          <w:lang w:eastAsia="fr-FR"/>
        </w:rPr>
        <w:t>n</w:t>
      </w:r>
      <w:r w:rsidRPr="00D7232A">
        <w:rPr>
          <w:vertAlign w:val="superscript"/>
          <w:lang w:eastAsia="fr-FR"/>
        </w:rPr>
        <w:t>o</w:t>
      </w:r>
      <w:r w:rsidRPr="00D7232A">
        <w:rPr>
          <w:lang w:eastAsia="fr-FR"/>
        </w:rPr>
        <w:t> 104 ou</w:t>
      </w:r>
      <w:r w:rsidRPr="00D7232A">
        <w:t> [RRD]</w:t>
      </w:r>
      <w:r w:rsidRPr="00D7232A">
        <w:rPr>
          <w:lang w:eastAsia="fr-FR"/>
        </w:rPr>
        <w:t xml:space="preserve"> est installée en suivant les prescriptions en matière de marquage à grande visibilité de la manière suivante :</w:t>
      </w:r>
    </w:p>
    <w:p w:rsidR="00AD2087" w:rsidRPr="00D7232A" w:rsidRDefault="00AD2087" w:rsidP="00F74F65">
      <w:pPr>
        <w:spacing w:after="120"/>
        <w:ind w:left="2835" w:right="1134" w:hanging="567"/>
        <w:jc w:val="both"/>
        <w:rPr>
          <w:lang w:eastAsia="fr-FR"/>
        </w:rPr>
      </w:pPr>
      <w:r w:rsidRPr="00D7232A">
        <w:rPr>
          <w:lang w:eastAsia="fr-FR"/>
        </w:rPr>
        <w:t>a)</w:t>
      </w:r>
      <w:r w:rsidRPr="00D7232A">
        <w:rPr>
          <w:lang w:eastAsia="fr-FR"/>
        </w:rPr>
        <w:tab/>
        <w:t>La taille du catadioptre est d</w:t>
      </w:r>
      <w:r w:rsidR="0016217A">
        <w:rPr>
          <w:lang w:eastAsia="fr-FR"/>
        </w:rPr>
        <w:t>’</w:t>
      </w:r>
      <w:r w:rsidRPr="00D7232A">
        <w:rPr>
          <w:lang w:eastAsia="fr-FR"/>
        </w:rPr>
        <w:t>au moins 25 cm</w:t>
      </w:r>
      <w:r w:rsidRPr="00D7232A">
        <w:rPr>
          <w:vertAlign w:val="superscript"/>
          <w:lang w:eastAsia="fr-FR"/>
        </w:rPr>
        <w:t>2</w:t>
      </w:r>
      <w:r w:rsidRPr="00D7232A">
        <w:rPr>
          <w:lang w:eastAsia="fr-FR"/>
        </w:rPr>
        <w:t> ;</w:t>
      </w:r>
    </w:p>
    <w:p w:rsidR="00AD2087" w:rsidRPr="00D7232A" w:rsidRDefault="00AD2087" w:rsidP="00F74F65">
      <w:pPr>
        <w:spacing w:after="120"/>
        <w:ind w:left="2835" w:right="1134" w:hanging="567"/>
        <w:jc w:val="both"/>
        <w:rPr>
          <w:lang w:eastAsia="fr-FR"/>
        </w:rPr>
      </w:pPr>
      <w:r w:rsidRPr="00D7232A">
        <w:rPr>
          <w:lang w:eastAsia="fr-FR"/>
        </w:rPr>
        <w:t>b)</w:t>
      </w:r>
      <w:r w:rsidRPr="00D7232A">
        <w:rPr>
          <w:lang w:eastAsia="fr-FR"/>
        </w:rPr>
        <w:tab/>
        <w:t>Un catadioptre est installé à une distance ne dépassant pas 600 mm de l</w:t>
      </w:r>
      <w:r w:rsidR="0016217A">
        <w:rPr>
          <w:lang w:eastAsia="fr-FR"/>
        </w:rPr>
        <w:t>’</w:t>
      </w:r>
      <w:r w:rsidRPr="00D7232A">
        <w:rPr>
          <w:lang w:eastAsia="fr-FR"/>
        </w:rPr>
        <w:t>extrémité avant du véhicule ;</w:t>
      </w:r>
    </w:p>
    <w:p w:rsidR="00AD2087" w:rsidRPr="00053937" w:rsidRDefault="00AD2087" w:rsidP="00F74F65">
      <w:pPr>
        <w:spacing w:after="120"/>
        <w:ind w:left="2835" w:right="1134" w:hanging="567"/>
        <w:jc w:val="both"/>
        <w:rPr>
          <w:lang w:eastAsia="fr-FR"/>
        </w:rPr>
      </w:pPr>
      <w:r w:rsidRPr="00D7232A">
        <w:rPr>
          <w:lang w:eastAsia="fr-FR"/>
        </w:rPr>
        <w:t>c)</w:t>
      </w:r>
      <w:r w:rsidRPr="00D7232A">
        <w:rPr>
          <w:lang w:eastAsia="fr-FR"/>
        </w:rPr>
        <w:tab/>
        <w:t>Les catadioptres supplémentaires ne sont pas distants de plus de 600 mm ;</w:t>
      </w:r>
    </w:p>
    <w:p w:rsidR="00AD2087" w:rsidRPr="00053937" w:rsidRDefault="00AD2087" w:rsidP="00F74F65">
      <w:pPr>
        <w:spacing w:after="120"/>
        <w:ind w:left="2835" w:right="1134" w:hanging="567"/>
        <w:jc w:val="both"/>
        <w:rPr>
          <w:rFonts w:eastAsia="Times New Roman"/>
          <w:i/>
        </w:rPr>
      </w:pPr>
      <w:r w:rsidRPr="00053937">
        <w:rPr>
          <w:lang w:eastAsia="fr-FR"/>
        </w:rPr>
        <w:t>d)</w:t>
      </w:r>
      <w:r w:rsidRPr="00053937">
        <w:rPr>
          <w:lang w:eastAsia="fr-FR"/>
        </w:rPr>
        <w:tab/>
        <w:t>La distance entre le dernier catadioptre et le début du marquage à grande visibilité ne dépasse pas 600 </w:t>
      </w:r>
      <w:proofErr w:type="spellStart"/>
      <w:r w:rsidRPr="00053937">
        <w:rPr>
          <w:lang w:eastAsia="fr-FR"/>
        </w:rPr>
        <w:t>mm.</w:t>
      </w:r>
      <w:proofErr w:type="spellEnd"/>
      <w:r w:rsidRPr="00053937">
        <w:rPr>
          <w:lang w:eastAsia="fr-FR"/>
        </w:rPr>
        <w:t>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6.21.7.4</w:t>
      </w:r>
      <w:r w:rsidRPr="00053937">
        <w:rPr>
          <w:rFonts w:eastAsia="Times New Roman"/>
        </w:rPr>
        <w:t>, lire</w:t>
      </w:r>
      <w:r w:rsidR="00B5792A">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6.21.7.4</w:t>
      </w:r>
      <w:r w:rsidRPr="00053937">
        <w:rPr>
          <w:rFonts w:eastAsia="Times New Roman"/>
        </w:rPr>
        <w:tab/>
        <w:t>Lorsque des plaques d</w:t>
      </w:r>
      <w:r w:rsidR="0016217A">
        <w:rPr>
          <w:rFonts w:eastAsia="Times New Roman"/>
        </w:rPr>
        <w:t>’</w:t>
      </w:r>
      <w:r w:rsidRPr="00053937">
        <w:rPr>
          <w:rFonts w:eastAsia="Times New Roman"/>
        </w:rPr>
        <w:t>identification arrière conformes à la série 01 d</w:t>
      </w:r>
      <w:r w:rsidR="0016217A">
        <w:rPr>
          <w:rFonts w:eastAsia="Times New Roman"/>
        </w:rPr>
        <w:t>’</w:t>
      </w:r>
      <w:r w:rsidRPr="00053937">
        <w:rPr>
          <w:rFonts w:eastAsia="Times New Roman"/>
        </w:rPr>
        <w:t>amendements au Règlement ONU n</w:t>
      </w:r>
      <w:r w:rsidRPr="00053937">
        <w:rPr>
          <w:rFonts w:eastAsia="Times New Roman"/>
          <w:vertAlign w:val="superscript"/>
        </w:rPr>
        <w:t>o</w:t>
      </w:r>
      <w:r w:rsidRPr="00053937">
        <w:rPr>
          <w:rFonts w:eastAsia="Times New Roman"/>
        </w:rPr>
        <w:t> 70 ou au Règlement ONU n</w:t>
      </w:r>
      <w:r w:rsidRPr="00053937">
        <w:rPr>
          <w:rFonts w:eastAsia="Times New Roman"/>
          <w:vertAlign w:val="superscript"/>
        </w:rPr>
        <w:t>o</w:t>
      </w:r>
      <w:r w:rsidRPr="00053937">
        <w:rPr>
          <w:rFonts w:eastAsia="Times New Roman"/>
        </w:rPr>
        <w:t> [RDD]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AD2087" w:rsidRPr="00053937" w:rsidRDefault="00AD2087" w:rsidP="00B5792A">
      <w:pPr>
        <w:keepNext/>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6.22</w:t>
      </w:r>
      <w:r w:rsidRPr="00053937">
        <w:rPr>
          <w:rFonts w:eastAsia="Times New Roman"/>
        </w:rPr>
        <w:t>, lire</w:t>
      </w:r>
      <w:r w:rsidR="00B5792A">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6.22</w:t>
      </w:r>
      <w:r w:rsidRPr="00053937">
        <w:rPr>
          <w:rFonts w:eastAsia="Times New Roman"/>
        </w:rPr>
        <w:tab/>
        <w:t>Système d</w:t>
      </w:r>
      <w:r w:rsidR="0016217A">
        <w:rPr>
          <w:rFonts w:eastAsia="Times New Roman"/>
        </w:rPr>
        <w:t>’</w:t>
      </w:r>
      <w:r w:rsidRPr="00053937">
        <w:rPr>
          <w:rFonts w:eastAsia="Times New Roman"/>
        </w:rPr>
        <w:t>éclairage avant adaptatif (AFS) (Règlement ONU n</w:t>
      </w:r>
      <w:r w:rsidRPr="00053937">
        <w:rPr>
          <w:rFonts w:eastAsia="Times New Roman"/>
          <w:vertAlign w:val="superscript"/>
        </w:rPr>
        <w:t>o</w:t>
      </w:r>
      <w:r w:rsidRPr="00053937">
        <w:rPr>
          <w:rFonts w:eastAsia="Times New Roman"/>
        </w:rPr>
        <w:t> 123 ou [RID]) ».</w:t>
      </w:r>
    </w:p>
    <w:p w:rsidR="00AD2087" w:rsidRPr="00053937" w:rsidRDefault="00AD2087" w:rsidP="00F74F65">
      <w:pPr>
        <w:kinsoku/>
        <w:overflowPunct/>
        <w:autoSpaceDE/>
        <w:autoSpaceDN/>
        <w:adjustRightInd/>
        <w:snapToGrid/>
        <w:spacing w:after="120"/>
        <w:ind w:left="2268" w:right="1134" w:hanging="1134"/>
        <w:jc w:val="both"/>
        <w:rPr>
          <w:rFonts w:eastAsia="Times New Roman"/>
          <w:iCs/>
          <w:kern w:val="2"/>
          <w:lang w:eastAsia="ja-JP"/>
        </w:rPr>
      </w:pPr>
      <w:r w:rsidRPr="00053937">
        <w:rPr>
          <w:rFonts w:eastAsia="Times New Roman"/>
          <w:i/>
          <w:iCs/>
          <w:kern w:val="2"/>
          <w:lang w:eastAsia="ja-JP"/>
        </w:rPr>
        <w:t>Paragraphe 6.22.6.1.2.1</w:t>
      </w:r>
      <w:r w:rsidRPr="00053937">
        <w:rPr>
          <w:rFonts w:eastAsia="Times New Roman"/>
          <w:iCs/>
          <w:kern w:val="2"/>
          <w:lang w:eastAsia="ja-JP"/>
        </w:rPr>
        <w:t>,</w:t>
      </w:r>
      <w:r w:rsidRPr="00053937">
        <w:rPr>
          <w:rFonts w:eastAsia="Times New Roman"/>
          <w:i/>
          <w:iCs/>
          <w:kern w:val="2"/>
          <w:lang w:eastAsia="ja-JP"/>
        </w:rPr>
        <w:t xml:space="preserve"> </w:t>
      </w:r>
      <w:r w:rsidRPr="00053937">
        <w:rPr>
          <w:rFonts w:eastAsia="Times New Roman"/>
          <w:iCs/>
          <w:kern w:val="2"/>
          <w:lang w:eastAsia="ja-JP"/>
        </w:rPr>
        <w:t>lire</w:t>
      </w:r>
      <w:r w:rsidR="00B5792A">
        <w:rPr>
          <w:rFonts w:eastAsia="Times New Roman"/>
          <w:iCs/>
          <w:kern w:val="2"/>
          <w:lang w:eastAsia="ja-JP"/>
        </w:rPr>
        <w:t> </w:t>
      </w:r>
      <w:r w:rsidRPr="00053937">
        <w:rPr>
          <w:rFonts w:eastAsia="Times New Roman"/>
          <w:iCs/>
          <w:kern w:val="2"/>
          <w:lang w:eastAsia="ja-JP"/>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Cs/>
          <w:kern w:val="2"/>
          <w:lang w:eastAsia="ja-JP"/>
        </w:rPr>
        <w:t>« </w:t>
      </w:r>
      <w:r w:rsidRPr="002B0382">
        <w:rPr>
          <w:rFonts w:eastAsia="Times New Roman"/>
          <w:iCs/>
          <w:spacing w:val="-3"/>
          <w:kern w:val="2"/>
          <w:lang w:eastAsia="ja-JP"/>
        </w:rPr>
        <w:t>6.22.6.1.2.1</w:t>
      </w:r>
      <w:r w:rsidRPr="00053937">
        <w:rPr>
          <w:rFonts w:eastAsia="Times New Roman"/>
          <w:iCs/>
          <w:kern w:val="2"/>
          <w:lang w:eastAsia="ja-JP"/>
        </w:rPr>
        <w:tab/>
        <w:t>Lorsque le faisceau de croisement est constitué de plusieurs faisceaux provenant de plusieurs unités d</w:t>
      </w:r>
      <w:r w:rsidR="0016217A">
        <w:rPr>
          <w:rFonts w:eastAsia="Times New Roman"/>
          <w:iCs/>
          <w:kern w:val="2"/>
          <w:lang w:eastAsia="ja-JP"/>
        </w:rPr>
        <w:t>’</w:t>
      </w:r>
      <w:r w:rsidRPr="00053937">
        <w:rPr>
          <w:rFonts w:eastAsia="Times New Roman"/>
          <w:iCs/>
          <w:kern w:val="2"/>
          <w:lang w:eastAsia="ja-JP"/>
        </w:rPr>
        <w:t xml:space="preserve">éclairage, les dispositions du </w:t>
      </w:r>
      <w:r w:rsidRPr="00053937">
        <w:rPr>
          <w:rFonts w:eastAsia="Times New Roman"/>
          <w:iCs/>
          <w:kern w:val="2"/>
          <w:lang w:eastAsia="ja-JP"/>
        </w:rPr>
        <w:lastRenderedPageBreak/>
        <w:t>paragraphe</w:t>
      </w:r>
      <w:r w:rsidR="00B5792A">
        <w:rPr>
          <w:rFonts w:eastAsia="Times New Roman"/>
          <w:iCs/>
          <w:kern w:val="2"/>
          <w:lang w:eastAsia="ja-JP"/>
        </w:rPr>
        <w:t> </w:t>
      </w:r>
      <w:r w:rsidRPr="00053937">
        <w:rPr>
          <w:rFonts w:eastAsia="Times New Roman"/>
          <w:iCs/>
          <w:kern w:val="2"/>
          <w:lang w:eastAsia="ja-JP"/>
        </w:rPr>
        <w:t>6.22.6.1.2 ci-dessus s</w:t>
      </w:r>
      <w:r w:rsidR="0016217A">
        <w:rPr>
          <w:rFonts w:eastAsia="Times New Roman"/>
          <w:iCs/>
          <w:kern w:val="2"/>
          <w:lang w:eastAsia="ja-JP"/>
        </w:rPr>
        <w:t>’</w:t>
      </w:r>
      <w:r w:rsidRPr="00053937">
        <w:rPr>
          <w:rFonts w:eastAsia="Times New Roman"/>
          <w:iCs/>
          <w:kern w:val="2"/>
          <w:lang w:eastAsia="ja-JP"/>
        </w:rPr>
        <w:t>appliquent à la coupure (si elle existe) de chacun des faisceaux, qui sont conçus pour être projetés dans la zone angulaire, comme indiqué au point</w:t>
      </w:r>
      <w:r w:rsidR="00B5792A">
        <w:rPr>
          <w:rFonts w:eastAsia="Times New Roman"/>
          <w:iCs/>
          <w:kern w:val="2"/>
          <w:lang w:eastAsia="ja-JP"/>
        </w:rPr>
        <w:t> </w:t>
      </w:r>
      <w:r w:rsidRPr="00053937">
        <w:rPr>
          <w:rFonts w:eastAsia="Times New Roman"/>
          <w:iCs/>
          <w:kern w:val="2"/>
          <w:lang w:eastAsia="ja-JP"/>
        </w:rPr>
        <w:t xml:space="preserve">9.3 de la fiche de communication conforme au modèle décrit </w:t>
      </w:r>
      <w:r w:rsidRPr="00B5792A">
        <w:rPr>
          <w:rFonts w:eastAsia="Times New Roman"/>
          <w:iCs/>
          <w:kern w:val="2"/>
          <w:lang w:eastAsia="ja-JP"/>
        </w:rPr>
        <w:t>à l</w:t>
      </w:r>
      <w:r w:rsidR="0016217A">
        <w:rPr>
          <w:rFonts w:eastAsia="Times New Roman"/>
          <w:iCs/>
          <w:kern w:val="2"/>
          <w:lang w:eastAsia="ja-JP"/>
        </w:rPr>
        <w:t>’</w:t>
      </w:r>
      <w:r w:rsidRPr="00B5792A">
        <w:rPr>
          <w:rFonts w:eastAsia="Times New Roman"/>
          <w:iCs/>
          <w:kern w:val="2"/>
          <w:lang w:eastAsia="ja-JP"/>
        </w:rPr>
        <w:t>annexe</w:t>
      </w:r>
      <w:r w:rsidR="00B5792A">
        <w:rPr>
          <w:rFonts w:eastAsia="Times New Roman"/>
          <w:iCs/>
          <w:kern w:val="2"/>
          <w:lang w:eastAsia="ja-JP"/>
        </w:rPr>
        <w:t> </w:t>
      </w:r>
      <w:r w:rsidRPr="00B5792A">
        <w:rPr>
          <w:rFonts w:eastAsia="Times New Roman"/>
          <w:iCs/>
          <w:kern w:val="2"/>
          <w:lang w:eastAsia="ja-JP"/>
        </w:rPr>
        <w:t>1 du Règlement ONU n</w:t>
      </w:r>
      <w:r w:rsidRPr="00B5792A">
        <w:rPr>
          <w:rFonts w:eastAsia="Times New Roman"/>
          <w:iCs/>
          <w:kern w:val="2"/>
          <w:vertAlign w:val="superscript"/>
          <w:lang w:eastAsia="ja-JP"/>
        </w:rPr>
        <w:t>o</w:t>
      </w:r>
      <w:r w:rsidRPr="00B5792A">
        <w:rPr>
          <w:rFonts w:eastAsia="Times New Roman"/>
          <w:iCs/>
          <w:kern w:val="2"/>
          <w:lang w:eastAsia="ja-JP"/>
        </w:rPr>
        <w:t xml:space="preserve"> 123 </w:t>
      </w:r>
      <w:r w:rsidRPr="00B5792A">
        <w:rPr>
          <w:rFonts w:eastAsia="Times New Roman"/>
          <w:bCs/>
          <w:iCs/>
          <w:kern w:val="2"/>
          <w:lang w:eastAsia="ja-JP"/>
        </w:rPr>
        <w:t>ou au point 9.3.3 de l</w:t>
      </w:r>
      <w:r w:rsidR="0016217A">
        <w:rPr>
          <w:rFonts w:eastAsia="Times New Roman"/>
          <w:bCs/>
          <w:iCs/>
          <w:kern w:val="2"/>
          <w:lang w:eastAsia="ja-JP"/>
        </w:rPr>
        <w:t>’</w:t>
      </w:r>
      <w:r w:rsidRPr="00B5792A">
        <w:rPr>
          <w:rFonts w:eastAsia="Times New Roman"/>
          <w:bCs/>
          <w:iCs/>
          <w:kern w:val="2"/>
          <w:lang w:eastAsia="ja-JP"/>
        </w:rPr>
        <w:t>annexe</w:t>
      </w:r>
      <w:r w:rsidR="00B5792A">
        <w:rPr>
          <w:rFonts w:eastAsia="Times New Roman"/>
          <w:bCs/>
          <w:iCs/>
          <w:kern w:val="2"/>
          <w:lang w:eastAsia="ja-JP"/>
        </w:rPr>
        <w:t> </w:t>
      </w:r>
      <w:r w:rsidRPr="00B5792A">
        <w:rPr>
          <w:rFonts w:eastAsia="Times New Roman"/>
          <w:bCs/>
          <w:iCs/>
          <w:kern w:val="2"/>
          <w:lang w:eastAsia="ja-JP"/>
        </w:rPr>
        <w:t>1 du Règlement ONU n</w:t>
      </w:r>
      <w:r w:rsidRPr="00B5792A">
        <w:rPr>
          <w:rFonts w:eastAsia="Times New Roman"/>
          <w:bCs/>
          <w:iCs/>
          <w:kern w:val="2"/>
          <w:vertAlign w:val="superscript"/>
          <w:lang w:eastAsia="ja-JP"/>
        </w:rPr>
        <w:t>o</w:t>
      </w:r>
      <w:r w:rsidRPr="00B5792A">
        <w:rPr>
          <w:rFonts w:eastAsia="Times New Roman"/>
          <w:bCs/>
          <w:iCs/>
          <w:kern w:val="2"/>
          <w:lang w:eastAsia="ja-JP"/>
        </w:rPr>
        <w:t> [RID]</w:t>
      </w:r>
      <w:r w:rsidRPr="00B5792A">
        <w:rPr>
          <w:rFonts w:eastAsia="Times New Roman"/>
          <w:iCs/>
          <w:kern w:val="2"/>
          <w:lang w:eastAsia="ja-JP"/>
        </w:rPr>
        <w:t>.</w:t>
      </w:r>
      <w:r w:rsidRPr="00053937">
        <w:rPr>
          <w:rFonts w:eastAsia="Times New Roman"/>
          <w:iCs/>
          <w:kern w:val="2"/>
          <w:lang w:eastAsia="ja-JP"/>
        </w:rPr>
        <w:t>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6.22.6.3</w:t>
      </w:r>
      <w:r w:rsidRPr="00053937">
        <w:rPr>
          <w:rFonts w:eastAsia="Times New Roman"/>
        </w:rPr>
        <w:t>, lire</w:t>
      </w:r>
      <w:r w:rsidR="00F51D82">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6.22.6.3</w:t>
      </w:r>
      <w:r w:rsidRPr="00053937">
        <w:rPr>
          <w:rFonts w:eastAsia="Times New Roman"/>
        </w:rPr>
        <w:tab/>
        <w:t>Orientation horizontale</w:t>
      </w:r>
    </w:p>
    <w:p w:rsidR="00AD2087" w:rsidRPr="00053937" w:rsidRDefault="00AD2087" w:rsidP="00F51D82">
      <w:pPr>
        <w:kinsoku/>
        <w:overflowPunct/>
        <w:autoSpaceDE/>
        <w:autoSpaceDN/>
        <w:adjustRightInd/>
        <w:snapToGrid/>
        <w:spacing w:after="120"/>
        <w:ind w:left="2268" w:right="1134"/>
        <w:jc w:val="both"/>
        <w:rPr>
          <w:rFonts w:eastAsia="Times New Roman"/>
        </w:rPr>
      </w:pPr>
      <w:r w:rsidRPr="00053937">
        <w:rPr>
          <w:rFonts w:eastAsia="Times New Roman"/>
        </w:rPr>
        <w:tab/>
        <w:t>Pour chaque unité d</w:t>
      </w:r>
      <w:r w:rsidR="0016217A">
        <w:rPr>
          <w:rFonts w:eastAsia="Times New Roman"/>
        </w:rPr>
        <w:t>’</w:t>
      </w:r>
      <w:r w:rsidRPr="00053937">
        <w:rPr>
          <w:rFonts w:eastAsia="Times New Roman"/>
        </w:rPr>
        <w:t>éclairage, le coude de la coupure, si elle existe, doit coïncider, lorsqu</w:t>
      </w:r>
      <w:r w:rsidR="0016217A">
        <w:rPr>
          <w:rFonts w:eastAsia="Times New Roman"/>
        </w:rPr>
        <w:t>’</w:t>
      </w:r>
      <w:r w:rsidRPr="00053937">
        <w:rPr>
          <w:rFonts w:eastAsia="Times New Roman"/>
        </w:rPr>
        <w:t>il est projeté sur l</w:t>
      </w:r>
      <w:r w:rsidR="0016217A">
        <w:rPr>
          <w:rFonts w:eastAsia="Times New Roman"/>
        </w:rPr>
        <w:t>’</w:t>
      </w:r>
      <w:r w:rsidRPr="00053937">
        <w:rPr>
          <w:rFonts w:eastAsia="Times New Roman"/>
        </w:rPr>
        <w:t>écran, avec la ligne verticale passant par l</w:t>
      </w:r>
      <w:r w:rsidR="0016217A">
        <w:rPr>
          <w:rFonts w:eastAsia="Times New Roman"/>
        </w:rPr>
        <w:t>’</w:t>
      </w:r>
      <w:r w:rsidRPr="00053937">
        <w:rPr>
          <w:rFonts w:eastAsia="Times New Roman"/>
        </w:rPr>
        <w:t>axe de référence de ladite unité d</w:t>
      </w:r>
      <w:r w:rsidR="0016217A">
        <w:rPr>
          <w:rFonts w:eastAsia="Times New Roman"/>
        </w:rPr>
        <w:t>’</w:t>
      </w:r>
      <w:r w:rsidRPr="00053937">
        <w:rPr>
          <w:rFonts w:eastAsia="Times New Roman"/>
        </w:rPr>
        <w:t>éclairage. Une tolérance de 0,5 degré vers le côté du sens de la circulation est admise. Les autres unités d</w:t>
      </w:r>
      <w:r w:rsidR="0016217A">
        <w:rPr>
          <w:rFonts w:eastAsia="Times New Roman"/>
        </w:rPr>
        <w:t>’</w:t>
      </w:r>
      <w:r w:rsidRPr="00053937">
        <w:rPr>
          <w:rFonts w:eastAsia="Times New Roman"/>
        </w:rPr>
        <w:t>éclairage doivent être réglées conformément à l</w:t>
      </w:r>
      <w:r w:rsidR="0016217A">
        <w:rPr>
          <w:rFonts w:eastAsia="Times New Roman"/>
        </w:rPr>
        <w:t>’</w:t>
      </w:r>
      <w:r w:rsidRPr="00053937">
        <w:rPr>
          <w:rFonts w:eastAsia="Times New Roman"/>
        </w:rPr>
        <w:t>indication du demandeur, comme indiqué à l</w:t>
      </w:r>
      <w:r w:rsidR="0016217A">
        <w:rPr>
          <w:rFonts w:eastAsia="Times New Roman"/>
        </w:rPr>
        <w:t>’</w:t>
      </w:r>
      <w:r w:rsidRPr="00053937">
        <w:rPr>
          <w:rFonts w:eastAsia="Times New Roman"/>
        </w:rPr>
        <w:t>annexe</w:t>
      </w:r>
      <w:r w:rsidR="009E737B">
        <w:rPr>
          <w:rFonts w:eastAsia="Times New Roman"/>
        </w:rPr>
        <w:t> </w:t>
      </w:r>
      <w:r w:rsidRPr="00053937">
        <w:rPr>
          <w:rFonts w:eastAsia="Times New Roman"/>
        </w:rPr>
        <w:t>10 du Règlement ONU n</w:t>
      </w:r>
      <w:r w:rsidRPr="00053937">
        <w:rPr>
          <w:rFonts w:eastAsia="Times New Roman"/>
          <w:vertAlign w:val="superscript"/>
        </w:rPr>
        <w:t>o</w:t>
      </w:r>
      <w:r w:rsidRPr="00053937">
        <w:rPr>
          <w:rFonts w:eastAsia="Times New Roman"/>
        </w:rPr>
        <w:t> 123 ou à l</w:t>
      </w:r>
      <w:r w:rsidR="0016217A">
        <w:rPr>
          <w:rFonts w:eastAsia="Times New Roman"/>
        </w:rPr>
        <w:t>’</w:t>
      </w:r>
      <w:r w:rsidRPr="00053937">
        <w:rPr>
          <w:rFonts w:eastAsia="Times New Roman"/>
        </w:rPr>
        <w:t>annexe 14 du Règlement ONU n</w:t>
      </w:r>
      <w:r w:rsidRPr="00053937">
        <w:rPr>
          <w:rFonts w:eastAsia="Times New Roman"/>
          <w:vertAlign w:val="superscript"/>
        </w:rPr>
        <w:t>o</w:t>
      </w:r>
      <w:r w:rsidRPr="00053937">
        <w:rPr>
          <w:rFonts w:eastAsia="Times New Roman"/>
        </w:rPr>
        <w:t> [RID].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6.22.7.4.3</w:t>
      </w:r>
      <w:r w:rsidRPr="00053937">
        <w:rPr>
          <w:rFonts w:eastAsia="Times New Roman"/>
        </w:rPr>
        <w:t>, lire</w:t>
      </w:r>
      <w:r w:rsidR="00E96335">
        <w:rPr>
          <w:rFonts w:eastAsia="Times New Roman"/>
        </w:rPr>
        <w:t> </w:t>
      </w:r>
      <w:r w:rsidRPr="00053937">
        <w:rPr>
          <w:rFonts w:eastAsia="Times New Roman"/>
        </w:rPr>
        <w:t>:</w:t>
      </w:r>
    </w:p>
    <w:p w:rsidR="00AD2087" w:rsidRPr="00053937" w:rsidRDefault="00AD2087" w:rsidP="00F74F65">
      <w:pPr>
        <w:pStyle w:val="SingleTxtG"/>
        <w:ind w:left="2268" w:hanging="1134"/>
      </w:pPr>
      <w:r w:rsidRPr="00053937">
        <w:rPr>
          <w:rFonts w:eastAsia="Times New Roman"/>
        </w:rPr>
        <w:t>« 6.22.7.4.3</w:t>
      </w:r>
      <w:r w:rsidRPr="00053937">
        <w:rPr>
          <w:rFonts w:eastAsia="Times New Roman"/>
        </w:rPr>
        <w:tab/>
      </w:r>
      <w:r w:rsidRPr="00053937">
        <w:rPr>
          <w:lang w:eastAsia="fr-FR"/>
        </w:rPr>
        <w:t>Le ou les modes de la classe E du faisceau de croisement ne doivent fonctionner que si la vitesse du véhicule dépasse 70 km/h et une ou plusieurs des conditions ci-dessous sont automatiquement détectées :</w:t>
      </w:r>
    </w:p>
    <w:p w:rsidR="00AD2087" w:rsidRPr="00D50AD4" w:rsidRDefault="00AD2087" w:rsidP="00F74F65">
      <w:pPr>
        <w:spacing w:after="120"/>
        <w:ind w:left="2835" w:right="1134" w:hanging="567"/>
        <w:jc w:val="both"/>
      </w:pPr>
      <w:r w:rsidRPr="00D50AD4">
        <w:t>a)</w:t>
      </w:r>
      <w:r w:rsidRPr="00D50AD4">
        <w:tab/>
      </w:r>
      <w:r w:rsidRPr="00D50AD4">
        <w:rPr>
          <w:lang w:eastAsia="fr-FR"/>
        </w:rPr>
        <w:t>Les caractéristiques de la route correspondent à celles d</w:t>
      </w:r>
      <w:r w:rsidR="0016217A">
        <w:rPr>
          <w:lang w:eastAsia="fr-FR"/>
        </w:rPr>
        <w:t>’</w:t>
      </w:r>
      <w:r w:rsidRPr="00D50AD4">
        <w:rPr>
          <w:lang w:eastAsia="fr-FR"/>
        </w:rPr>
        <w:t>une autoroute</w:t>
      </w:r>
      <w:r w:rsidRPr="00D50AD4">
        <w:rPr>
          <w:sz w:val="18"/>
          <w:szCs w:val="18"/>
          <w:vertAlign w:val="superscript"/>
          <w:lang w:eastAsia="fr-FR"/>
        </w:rPr>
        <w:t>17</w:t>
      </w:r>
      <w:r w:rsidRPr="00D50AD4">
        <w:t xml:space="preserve"> </w:t>
      </w:r>
      <w:r w:rsidRPr="00D50AD4">
        <w:rPr>
          <w:lang w:eastAsia="fr-FR"/>
        </w:rPr>
        <w:t>et/ou la vitesse du véhicule dépasse 110 km/h (application du signal E) ;</w:t>
      </w:r>
    </w:p>
    <w:p w:rsidR="00AD2087" w:rsidRPr="00D50AD4" w:rsidRDefault="00AD2087" w:rsidP="00F74F65">
      <w:pPr>
        <w:spacing w:after="120"/>
        <w:ind w:left="2835" w:right="1134" w:hanging="567"/>
        <w:jc w:val="both"/>
      </w:pPr>
      <w:r w:rsidRPr="00D50AD4">
        <w:t>b)</w:t>
      </w:r>
      <w:r w:rsidRPr="00D50AD4">
        <w:tab/>
      </w:r>
      <w:r w:rsidRPr="00D50AD4">
        <w:rPr>
          <w:lang w:eastAsia="fr-FR"/>
        </w:rPr>
        <w:t>Lorsqu</w:t>
      </w:r>
      <w:r w:rsidR="0016217A">
        <w:rPr>
          <w:lang w:eastAsia="fr-FR"/>
        </w:rPr>
        <w:t>’</w:t>
      </w:r>
      <w:r w:rsidRPr="00D50AD4">
        <w:rPr>
          <w:lang w:eastAsia="fr-FR"/>
        </w:rPr>
        <w:t>un mode de la classe E du faisceau de croisement est conforme, d</w:t>
      </w:r>
      <w:r w:rsidR="0016217A">
        <w:rPr>
          <w:lang w:eastAsia="fr-FR"/>
        </w:rPr>
        <w:t>’</w:t>
      </w:r>
      <w:r w:rsidRPr="00D50AD4">
        <w:rPr>
          <w:lang w:eastAsia="fr-FR"/>
        </w:rPr>
        <w:t>après les documents d</w:t>
      </w:r>
      <w:r w:rsidR="0016217A">
        <w:rPr>
          <w:lang w:eastAsia="fr-FR"/>
        </w:rPr>
        <w:t>’</w:t>
      </w:r>
      <w:r w:rsidRPr="00D50AD4">
        <w:rPr>
          <w:lang w:eastAsia="fr-FR"/>
        </w:rPr>
        <w:t>homologation ou la fiche de communication du système, à un ensemble de données du tableau 6 de l</w:t>
      </w:r>
      <w:r w:rsidR="0016217A">
        <w:rPr>
          <w:lang w:eastAsia="fr-FR"/>
        </w:rPr>
        <w:t>’</w:t>
      </w:r>
      <w:r w:rsidRPr="00D50AD4">
        <w:rPr>
          <w:lang w:eastAsia="fr-FR"/>
        </w:rPr>
        <w:t>annexe 3 du Règlement</w:t>
      </w:r>
      <w:r w:rsidRPr="00053937">
        <w:rPr>
          <w:lang w:eastAsia="fr-FR"/>
        </w:rPr>
        <w:t xml:space="preserve"> ONU</w:t>
      </w:r>
      <w:r w:rsidRPr="00D50AD4">
        <w:rPr>
          <w:lang w:eastAsia="fr-FR"/>
        </w:rPr>
        <w:t xml:space="preserve"> n</w:t>
      </w:r>
      <w:r w:rsidRPr="00D50AD4">
        <w:rPr>
          <w:vertAlign w:val="superscript"/>
          <w:lang w:eastAsia="fr-FR"/>
        </w:rPr>
        <w:t>o</w:t>
      </w:r>
      <w:r w:rsidRPr="00D50AD4">
        <w:rPr>
          <w:lang w:eastAsia="fr-FR"/>
        </w:rPr>
        <w:t> 123</w:t>
      </w:r>
      <w:r w:rsidRPr="00D50AD4">
        <w:t xml:space="preserve"> ou</w:t>
      </w:r>
      <w:r w:rsidRPr="00D50AD4">
        <w:rPr>
          <w:lang w:eastAsia="fr-FR"/>
        </w:rPr>
        <w:t xml:space="preserve"> du tableau 14</w:t>
      </w:r>
      <w:r w:rsidRPr="00D50AD4">
        <w:t xml:space="preserve"> du Règlement </w:t>
      </w:r>
      <w:r w:rsidRPr="00053937">
        <w:t xml:space="preserve">ONU </w:t>
      </w:r>
      <w:r w:rsidRPr="00D50AD4">
        <w:t>n</w:t>
      </w:r>
      <w:r w:rsidRPr="00D50AD4">
        <w:rPr>
          <w:vertAlign w:val="superscript"/>
        </w:rPr>
        <w:t>o </w:t>
      </w:r>
      <w:r w:rsidRPr="00D50AD4">
        <w:t>[RID]</w:t>
      </w:r>
      <w:r w:rsidRPr="00D50AD4">
        <w:rPr>
          <w:lang w:eastAsia="fr-FR"/>
        </w:rPr>
        <w:t>.</w:t>
      </w:r>
    </w:p>
    <w:p w:rsidR="00AD2087" w:rsidRPr="00D50AD4" w:rsidRDefault="00AD2087" w:rsidP="00F74F65">
      <w:pPr>
        <w:spacing w:after="120"/>
        <w:ind w:left="2835" w:right="1134"/>
        <w:jc w:val="both"/>
      </w:pPr>
      <w:r w:rsidRPr="00D50AD4">
        <w:tab/>
      </w:r>
      <w:r w:rsidRPr="00D50AD4">
        <w:rPr>
          <w:lang w:eastAsia="fr-FR"/>
        </w:rPr>
        <w:t>Ensemble de données E1 : vitesse du véhicule supérieure à 100 km/h (application du signal E1) ;</w:t>
      </w:r>
    </w:p>
    <w:p w:rsidR="00AD2087" w:rsidRPr="00053937" w:rsidRDefault="00AD2087" w:rsidP="00F74F65">
      <w:pPr>
        <w:spacing w:after="120"/>
        <w:ind w:left="2835" w:right="1134"/>
        <w:jc w:val="both"/>
        <w:rPr>
          <w:lang w:eastAsia="fr-FR"/>
        </w:rPr>
      </w:pPr>
      <w:r w:rsidRPr="00D50AD4">
        <w:tab/>
      </w:r>
      <w:r w:rsidRPr="00D50AD4">
        <w:rPr>
          <w:lang w:eastAsia="fr-FR"/>
        </w:rPr>
        <w:t>Ensemble de données E2 : vitesse du véhicule supérieure à 90 km/h (application du signal E2) ;</w:t>
      </w:r>
    </w:p>
    <w:p w:rsidR="00AD2087" w:rsidRPr="00053937" w:rsidRDefault="00AD2087" w:rsidP="00F74F65">
      <w:pPr>
        <w:spacing w:after="120"/>
        <w:ind w:left="2835" w:right="1134"/>
        <w:jc w:val="both"/>
        <w:rPr>
          <w:rFonts w:eastAsia="Times New Roman"/>
        </w:rPr>
      </w:pPr>
      <w:r w:rsidRPr="00053937">
        <w:tab/>
      </w:r>
      <w:r w:rsidRPr="00053937">
        <w:rPr>
          <w:lang w:eastAsia="fr-FR"/>
        </w:rPr>
        <w:t>Ensemble de données E3 : vitesse du véhicule supérieure à 80 km/h (application du signal E3). ».</w:t>
      </w:r>
    </w:p>
    <w:p w:rsidR="00AD2087" w:rsidRPr="00053937" w:rsidRDefault="00AD2087" w:rsidP="00F74F65">
      <w:pPr>
        <w:kinsoku/>
        <w:overflowPunct/>
        <w:autoSpaceDE/>
        <w:autoSpaceDN/>
        <w:adjustRightInd/>
        <w:snapToGrid/>
        <w:spacing w:after="120"/>
        <w:ind w:left="2268" w:right="1134" w:hanging="1134"/>
        <w:rPr>
          <w:rFonts w:eastAsia="Times New Roman"/>
        </w:rPr>
      </w:pPr>
      <w:r w:rsidRPr="00053937">
        <w:rPr>
          <w:rFonts w:eastAsia="Times New Roman"/>
          <w:i/>
        </w:rPr>
        <w:t>Paragraphe 6.22.8.2</w:t>
      </w:r>
      <w:r w:rsidRPr="00053937">
        <w:rPr>
          <w:rFonts w:eastAsia="Times New Roman"/>
        </w:rPr>
        <w:t>, lire</w:t>
      </w:r>
      <w:r w:rsidR="0016217A">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6.22.8.2</w:t>
      </w:r>
      <w:r w:rsidRPr="00053937">
        <w:rPr>
          <w:rFonts w:eastAsia="Times New Roman"/>
        </w:rPr>
        <w:tab/>
        <w:t>L</w:t>
      </w:r>
      <w:r w:rsidR="0016217A">
        <w:rPr>
          <w:rFonts w:eastAsia="Times New Roman"/>
        </w:rPr>
        <w:t>’</w:t>
      </w:r>
      <w:r w:rsidRPr="00053937">
        <w:rPr>
          <w:rFonts w:eastAsia="Times New Roman"/>
        </w:rPr>
        <w:t>AFS doit obligatoirement être muni d</w:t>
      </w:r>
      <w:r w:rsidR="0016217A">
        <w:rPr>
          <w:rFonts w:eastAsia="Times New Roman"/>
        </w:rPr>
        <w:t>’</w:t>
      </w:r>
      <w:r w:rsidRPr="00053937">
        <w:rPr>
          <w:rFonts w:eastAsia="Times New Roman"/>
        </w:rPr>
        <w:t>un témoin visuel de panne non clignotant. Ce témoin doit être activé chaque fois qu</w:t>
      </w:r>
      <w:r w:rsidR="0016217A">
        <w:rPr>
          <w:rFonts w:eastAsia="Times New Roman"/>
        </w:rPr>
        <w:t>’</w:t>
      </w:r>
      <w:r w:rsidRPr="00053937">
        <w:rPr>
          <w:rFonts w:eastAsia="Times New Roman"/>
        </w:rPr>
        <w:t>une défaillance est détectée sur les signaux de commande AFS ou lorsqu</w:t>
      </w:r>
      <w:r w:rsidR="0016217A">
        <w:rPr>
          <w:rFonts w:eastAsia="Times New Roman"/>
        </w:rPr>
        <w:t>’</w:t>
      </w:r>
      <w:r w:rsidRPr="00053937">
        <w:rPr>
          <w:rFonts w:eastAsia="Times New Roman"/>
        </w:rPr>
        <w:t>un signal de défaillance est reçu conformément au paragraphe 5.9 du Règlement ONU</w:t>
      </w:r>
      <w:r w:rsidR="002B0382">
        <w:rPr>
          <w:rFonts w:eastAsia="Times New Roman"/>
        </w:rPr>
        <w:t> </w:t>
      </w:r>
      <w:r w:rsidRPr="00053937">
        <w:rPr>
          <w:rFonts w:eastAsia="Times New Roman"/>
        </w:rPr>
        <w:t>n</w:t>
      </w:r>
      <w:r w:rsidRPr="00053937">
        <w:rPr>
          <w:rFonts w:eastAsia="Times New Roman"/>
          <w:vertAlign w:val="superscript"/>
        </w:rPr>
        <w:t>o</w:t>
      </w:r>
      <w:r w:rsidRPr="00053937">
        <w:rPr>
          <w:rFonts w:eastAsia="Times New Roman"/>
        </w:rPr>
        <w:t> 123 ou au paragraphe 4.13 du Règlement ONU n</w:t>
      </w:r>
      <w:r w:rsidRPr="00053937">
        <w:rPr>
          <w:rFonts w:eastAsia="Times New Roman"/>
          <w:vertAlign w:val="superscript"/>
        </w:rPr>
        <w:t>o</w:t>
      </w:r>
      <w:r w:rsidRPr="00053937">
        <w:rPr>
          <w:rFonts w:eastAsia="Times New Roman"/>
        </w:rPr>
        <w:t> [RID]. Le témoin doit rester activé aussi longtemps que dure la défaillance. Il peut être désactivé temporairement mais être remis en fonction chaque fois que le dispositif qui met le moteur en marche ou le coupe est activé ou désactivé.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6.22.8.4</w:t>
      </w:r>
      <w:r w:rsidRPr="00053937">
        <w:rPr>
          <w:rFonts w:eastAsia="Times New Roman"/>
        </w:rPr>
        <w:t>, lire</w:t>
      </w:r>
      <w:r w:rsidR="0016217A">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6.22.8.4</w:t>
      </w:r>
      <w:r w:rsidRPr="00053937">
        <w:rPr>
          <w:rFonts w:eastAsia="Times New Roman"/>
        </w:rPr>
        <w:tab/>
        <w:t>Un témoin servant à indiquer que le conducteur a placé le système dans l</w:t>
      </w:r>
      <w:r w:rsidR="0016217A">
        <w:rPr>
          <w:rFonts w:eastAsia="Times New Roman"/>
        </w:rPr>
        <w:t>’</w:t>
      </w:r>
      <w:r w:rsidRPr="00053937">
        <w:rPr>
          <w:rFonts w:eastAsia="Times New Roman"/>
        </w:rPr>
        <w:t>état prescrit au paragraphe 5.8 du Règlement ONU n</w:t>
      </w:r>
      <w:r w:rsidRPr="00053937">
        <w:rPr>
          <w:rFonts w:eastAsia="Times New Roman"/>
          <w:vertAlign w:val="superscript"/>
        </w:rPr>
        <w:t>o</w:t>
      </w:r>
      <w:r w:rsidRPr="00053937">
        <w:rPr>
          <w:rFonts w:eastAsia="Times New Roman"/>
        </w:rPr>
        <w:t> 123 ou au paragraphe</w:t>
      </w:r>
      <w:r w:rsidR="0016217A">
        <w:rPr>
          <w:rFonts w:eastAsia="Times New Roman"/>
        </w:rPr>
        <w:t> </w:t>
      </w:r>
      <w:r w:rsidRPr="00053937">
        <w:rPr>
          <w:rFonts w:eastAsia="Times New Roman"/>
        </w:rPr>
        <w:t>4.12 du Règlement ONU n</w:t>
      </w:r>
      <w:r w:rsidRPr="00053937">
        <w:rPr>
          <w:rFonts w:eastAsia="Times New Roman"/>
          <w:vertAlign w:val="superscript"/>
        </w:rPr>
        <w:t>o</w:t>
      </w:r>
      <w:r w:rsidRPr="00053937">
        <w:rPr>
          <w:rFonts w:eastAsia="Times New Roman"/>
        </w:rPr>
        <w:t> [RID] est facultati</w:t>
      </w:r>
      <w:r w:rsidRPr="0016217A">
        <w:rPr>
          <w:rFonts w:eastAsia="Times New Roman"/>
        </w:rPr>
        <w:t>f</w:t>
      </w:r>
      <w:r w:rsidRPr="00053937">
        <w:rPr>
          <w:rFonts w:eastAsia="Times New Roman"/>
        </w:rPr>
        <w:t>. ».</w:t>
      </w:r>
    </w:p>
    <w:p w:rsidR="00AD2087" w:rsidRPr="00053937" w:rsidRDefault="00AD2087" w:rsidP="00F74F65">
      <w:pPr>
        <w:kinsoku/>
        <w:overflowPunct/>
        <w:autoSpaceDE/>
        <w:autoSpaceDN/>
        <w:adjustRightInd/>
        <w:snapToGrid/>
        <w:spacing w:after="120"/>
        <w:ind w:left="2268" w:right="1134" w:hanging="1134"/>
        <w:jc w:val="both"/>
        <w:rPr>
          <w:rFonts w:eastAsia="Times New Roman"/>
          <w:iCs/>
          <w:kern w:val="2"/>
          <w:lang w:eastAsia="ja-JP"/>
        </w:rPr>
      </w:pPr>
      <w:r w:rsidRPr="00053937">
        <w:rPr>
          <w:rFonts w:eastAsia="Times New Roman"/>
          <w:i/>
          <w:iCs/>
          <w:kern w:val="2"/>
          <w:lang w:eastAsia="ja-JP"/>
        </w:rPr>
        <w:t>Paragraphe 6.22.9.1</w:t>
      </w:r>
      <w:r w:rsidRPr="00053937">
        <w:rPr>
          <w:rFonts w:eastAsia="Times New Roman"/>
          <w:iCs/>
          <w:kern w:val="2"/>
          <w:lang w:eastAsia="ja-JP"/>
        </w:rPr>
        <w:t>,</w:t>
      </w:r>
      <w:r w:rsidRPr="00053937">
        <w:rPr>
          <w:rFonts w:eastAsia="Times New Roman"/>
          <w:i/>
          <w:iCs/>
          <w:kern w:val="2"/>
          <w:lang w:eastAsia="ja-JP"/>
        </w:rPr>
        <w:t xml:space="preserve"> </w:t>
      </w:r>
      <w:r w:rsidRPr="00053937">
        <w:rPr>
          <w:rFonts w:eastAsia="Times New Roman"/>
          <w:iCs/>
          <w:kern w:val="2"/>
          <w:lang w:eastAsia="ja-JP"/>
        </w:rPr>
        <w:t>lire</w:t>
      </w:r>
      <w:r w:rsidR="0016217A">
        <w:rPr>
          <w:rFonts w:eastAsia="Times New Roman"/>
          <w:iCs/>
          <w:kern w:val="2"/>
          <w:lang w:eastAsia="ja-JP"/>
        </w:rPr>
        <w:t> </w:t>
      </w:r>
      <w:r w:rsidRPr="00053937">
        <w:rPr>
          <w:rFonts w:eastAsia="Times New Roman"/>
          <w:iCs/>
          <w:kern w:val="2"/>
          <w:lang w:eastAsia="ja-JP"/>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iCs/>
          <w:kern w:val="2"/>
          <w:lang w:eastAsia="ja-JP"/>
        </w:rPr>
        <w:t>« 6.22.9.1</w:t>
      </w:r>
      <w:r w:rsidRPr="00053937">
        <w:rPr>
          <w:rFonts w:eastAsia="Times New Roman"/>
          <w:iCs/>
          <w:kern w:val="2"/>
          <w:lang w:eastAsia="ja-JP"/>
        </w:rPr>
        <w:tab/>
        <w:t>Le montage d</w:t>
      </w:r>
      <w:r w:rsidR="0016217A">
        <w:rPr>
          <w:rFonts w:eastAsia="Times New Roman"/>
          <w:iCs/>
          <w:kern w:val="2"/>
          <w:lang w:eastAsia="ja-JP"/>
        </w:rPr>
        <w:t>’</w:t>
      </w:r>
      <w:r w:rsidRPr="00053937">
        <w:rPr>
          <w:rFonts w:eastAsia="Times New Roman"/>
          <w:iCs/>
          <w:kern w:val="2"/>
          <w:lang w:eastAsia="ja-JP"/>
        </w:rPr>
        <w:t>un système AFS n</w:t>
      </w:r>
      <w:r w:rsidR="0016217A">
        <w:rPr>
          <w:rFonts w:eastAsia="Times New Roman"/>
          <w:iCs/>
          <w:kern w:val="2"/>
          <w:lang w:eastAsia="ja-JP"/>
        </w:rPr>
        <w:t>’</w:t>
      </w:r>
      <w:r w:rsidRPr="00053937">
        <w:rPr>
          <w:rFonts w:eastAsia="Times New Roman"/>
          <w:iCs/>
          <w:kern w:val="2"/>
          <w:lang w:eastAsia="ja-JP"/>
        </w:rPr>
        <w:t>est autorisé que si le véhicule est aussi équipé de dispositifs de nettoyage des projecteurs conformes au Règlement ONU n</w:t>
      </w:r>
      <w:r w:rsidRPr="00053937">
        <w:rPr>
          <w:rFonts w:eastAsia="Times New Roman"/>
          <w:iCs/>
          <w:kern w:val="2"/>
          <w:vertAlign w:val="superscript"/>
          <w:lang w:eastAsia="ja-JP"/>
        </w:rPr>
        <w:t>o</w:t>
      </w:r>
      <w:r w:rsidRPr="00053937">
        <w:rPr>
          <w:rFonts w:eastAsia="Times New Roman"/>
          <w:iCs/>
          <w:kern w:val="2"/>
          <w:lang w:eastAsia="ja-JP"/>
        </w:rPr>
        <w:t> 45</w:t>
      </w:r>
      <w:r w:rsidRPr="00053937">
        <w:rPr>
          <w:rFonts w:eastAsia="Times New Roman"/>
          <w:iCs/>
          <w:kern w:val="2"/>
          <w:vertAlign w:val="superscript"/>
          <w:lang w:eastAsia="ja-JP"/>
        </w:rPr>
        <w:t>19</w:t>
      </w:r>
      <w:r w:rsidRPr="00053937">
        <w:rPr>
          <w:rFonts w:eastAsia="Times New Roman"/>
          <w:iCs/>
          <w:kern w:val="2"/>
          <w:lang w:eastAsia="ja-JP"/>
        </w:rPr>
        <w:t>, au moins sur les unités d</w:t>
      </w:r>
      <w:r w:rsidR="0016217A">
        <w:rPr>
          <w:rFonts w:eastAsia="Times New Roman"/>
          <w:iCs/>
          <w:kern w:val="2"/>
          <w:lang w:eastAsia="ja-JP"/>
        </w:rPr>
        <w:t>’</w:t>
      </w:r>
      <w:r w:rsidRPr="00053937">
        <w:rPr>
          <w:rFonts w:eastAsia="Times New Roman"/>
          <w:iCs/>
          <w:kern w:val="2"/>
          <w:lang w:eastAsia="ja-JP"/>
        </w:rPr>
        <w:t>éclairage énumérées au point 9.2.3 de la fiche de communication conforme au modèle de l</w:t>
      </w:r>
      <w:r w:rsidR="0016217A">
        <w:rPr>
          <w:rFonts w:eastAsia="Times New Roman"/>
          <w:iCs/>
          <w:kern w:val="2"/>
          <w:lang w:eastAsia="ja-JP"/>
        </w:rPr>
        <w:t>’</w:t>
      </w:r>
      <w:r w:rsidRPr="00053937">
        <w:rPr>
          <w:rFonts w:eastAsia="Times New Roman"/>
          <w:iCs/>
          <w:kern w:val="2"/>
          <w:lang w:eastAsia="ja-JP"/>
        </w:rPr>
        <w:t>annexe 1 du Règlement ONU n</w:t>
      </w:r>
      <w:r w:rsidRPr="00053937">
        <w:rPr>
          <w:rFonts w:eastAsia="Times New Roman"/>
          <w:iCs/>
          <w:kern w:val="2"/>
          <w:vertAlign w:val="superscript"/>
          <w:lang w:eastAsia="ja-JP"/>
        </w:rPr>
        <w:t>o</w:t>
      </w:r>
      <w:r w:rsidRPr="00053937">
        <w:rPr>
          <w:rFonts w:eastAsia="Times New Roman"/>
          <w:iCs/>
          <w:kern w:val="2"/>
          <w:lang w:eastAsia="ja-JP"/>
        </w:rPr>
        <w:t> 123 ou au point </w:t>
      </w:r>
      <w:r w:rsidRPr="00053937">
        <w:rPr>
          <w:rFonts w:eastAsia="Times New Roman"/>
          <w:bCs/>
          <w:iCs/>
          <w:kern w:val="2"/>
          <w:lang w:eastAsia="ja-JP"/>
        </w:rPr>
        <w:t>9.3.2.3 de l</w:t>
      </w:r>
      <w:r w:rsidR="0016217A">
        <w:rPr>
          <w:rFonts w:eastAsia="Times New Roman"/>
          <w:bCs/>
          <w:iCs/>
          <w:kern w:val="2"/>
          <w:lang w:eastAsia="ja-JP"/>
        </w:rPr>
        <w:t>’</w:t>
      </w:r>
      <w:r w:rsidRPr="00053937">
        <w:rPr>
          <w:rFonts w:eastAsia="Times New Roman"/>
          <w:bCs/>
          <w:iCs/>
          <w:kern w:val="2"/>
          <w:lang w:eastAsia="ja-JP"/>
        </w:rPr>
        <w:t>annexe 1 du Règlement ONU n</w:t>
      </w:r>
      <w:r w:rsidRPr="00053937">
        <w:rPr>
          <w:rFonts w:eastAsia="Times New Roman"/>
          <w:bCs/>
          <w:iCs/>
          <w:kern w:val="2"/>
          <w:vertAlign w:val="superscript"/>
          <w:lang w:eastAsia="ja-JP"/>
        </w:rPr>
        <w:t>o</w:t>
      </w:r>
      <w:r w:rsidRPr="00053937">
        <w:rPr>
          <w:rFonts w:eastAsia="Times New Roman"/>
          <w:bCs/>
          <w:iCs/>
          <w:kern w:val="2"/>
          <w:lang w:eastAsia="ja-JP"/>
        </w:rPr>
        <w:t xml:space="preserve"> [RID], si le flux lumineux normal total des sources lumineuses de ces unités </w:t>
      </w:r>
      <w:r w:rsidRPr="00053937">
        <w:rPr>
          <w:rFonts w:eastAsia="Times New Roman"/>
          <w:bCs/>
          <w:iCs/>
          <w:kern w:val="2"/>
          <w:lang w:eastAsia="ja-JP"/>
        </w:rPr>
        <w:lastRenderedPageBreak/>
        <w:t>d</w:t>
      </w:r>
      <w:r w:rsidR="0016217A">
        <w:rPr>
          <w:rFonts w:eastAsia="Times New Roman"/>
          <w:bCs/>
          <w:iCs/>
          <w:kern w:val="2"/>
          <w:lang w:eastAsia="ja-JP"/>
        </w:rPr>
        <w:t>’</w:t>
      </w:r>
      <w:r w:rsidRPr="00053937">
        <w:rPr>
          <w:rFonts w:eastAsia="Times New Roman"/>
          <w:bCs/>
          <w:iCs/>
          <w:kern w:val="2"/>
          <w:lang w:eastAsia="ja-JP"/>
        </w:rPr>
        <w:t>éclairage dépasse 2 000 lm par côté, et si ces unités contribuent au faisceau de croisement (élémentaire) classe C.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6.22.9.5</w:t>
      </w:r>
      <w:r w:rsidRPr="00053937">
        <w:rPr>
          <w:rFonts w:eastAsia="Times New Roman"/>
        </w:rPr>
        <w:t>, lire</w:t>
      </w:r>
      <w:r w:rsidR="0016217A">
        <w:rPr>
          <w:rFonts w:eastAsia="Times New Roman"/>
        </w:rPr>
        <w:t> </w:t>
      </w:r>
      <w:r w:rsidRPr="00053937">
        <w:rPr>
          <w:rFonts w:eastAsia="Times New Roman"/>
        </w:rPr>
        <w:t>:</w:t>
      </w:r>
    </w:p>
    <w:p w:rsidR="00AD2087" w:rsidRPr="002B0382"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6.22.9.5</w:t>
      </w:r>
      <w:r w:rsidRPr="00053937">
        <w:rPr>
          <w:rFonts w:eastAsia="Times New Roman"/>
        </w:rPr>
        <w:tab/>
      </w:r>
      <w:r w:rsidRPr="002B0382">
        <w:rPr>
          <w:rFonts w:eastAsia="Times New Roman"/>
        </w:rPr>
        <w:t>Les moyens permettant, conformément aux dispositions du paragraphe 5.8 du Règlement ONU n</w:t>
      </w:r>
      <w:r w:rsidRPr="002B0382">
        <w:rPr>
          <w:rFonts w:eastAsia="Times New Roman"/>
          <w:vertAlign w:val="superscript"/>
        </w:rPr>
        <w:t>o</w:t>
      </w:r>
      <w:r w:rsidRPr="002B0382">
        <w:rPr>
          <w:rFonts w:eastAsia="Times New Roman"/>
        </w:rPr>
        <w:t> 123 ou du paragraphe 4.12 du Règlement ONU n</w:t>
      </w:r>
      <w:r w:rsidRPr="002B0382">
        <w:rPr>
          <w:rFonts w:eastAsia="Times New Roman"/>
          <w:vertAlign w:val="superscript"/>
        </w:rPr>
        <w:t>o</w:t>
      </w:r>
      <w:r w:rsidRPr="002B0382">
        <w:rPr>
          <w:rFonts w:eastAsia="Times New Roman"/>
        </w:rPr>
        <w:t> [RID], à un véhicule d</w:t>
      </w:r>
      <w:r w:rsidR="0016217A" w:rsidRPr="002B0382">
        <w:rPr>
          <w:rFonts w:eastAsia="Times New Roman"/>
        </w:rPr>
        <w:t>’</w:t>
      </w:r>
      <w:r w:rsidRPr="002B0382">
        <w:rPr>
          <w:rFonts w:eastAsia="Times New Roman"/>
        </w:rPr>
        <w:t>être provisoirement conduit dans un pays où la circulation se fait du côté opposé à celui pour lequel l</w:t>
      </w:r>
      <w:r w:rsidR="0016217A" w:rsidRPr="002B0382">
        <w:rPr>
          <w:rFonts w:eastAsia="Times New Roman"/>
        </w:rPr>
        <w:t>’</w:t>
      </w:r>
      <w:r w:rsidRPr="002B0382">
        <w:rPr>
          <w:rFonts w:eastAsia="Times New Roman"/>
        </w:rPr>
        <w:t>homologation est demandée, doivent être expliqués en détail dans le manuel d</w:t>
      </w:r>
      <w:r w:rsidR="0016217A" w:rsidRPr="002B0382">
        <w:rPr>
          <w:rFonts w:eastAsia="Times New Roman"/>
        </w:rPr>
        <w:t>’</w:t>
      </w:r>
      <w:r w:rsidRPr="002B0382">
        <w:rPr>
          <w:rFonts w:eastAsia="Times New Roman"/>
        </w:rPr>
        <w:t>utilisation du</w:t>
      </w:r>
      <w:r w:rsidR="0016217A" w:rsidRPr="002B0382">
        <w:rPr>
          <w:rFonts w:eastAsia="Times New Roman"/>
        </w:rPr>
        <w:t xml:space="preserve"> </w:t>
      </w:r>
      <w:r w:rsidRPr="002B0382">
        <w:rPr>
          <w:rFonts w:eastAsia="Times New Roman"/>
        </w:rPr>
        <w:t>véhicule. ».</w:t>
      </w:r>
    </w:p>
    <w:p w:rsidR="00AD2087" w:rsidRPr="00053937" w:rsidRDefault="00AD2087" w:rsidP="00F74F65">
      <w:pPr>
        <w:kinsoku/>
        <w:overflowPunct/>
        <w:autoSpaceDE/>
        <w:autoSpaceDN/>
        <w:adjustRightInd/>
        <w:snapToGrid/>
        <w:spacing w:after="120" w:line="240" w:lineRule="auto"/>
        <w:ind w:left="1134" w:right="1134"/>
        <w:jc w:val="both"/>
        <w:rPr>
          <w:rFonts w:eastAsia="Times New Roman"/>
        </w:rPr>
      </w:pPr>
      <w:r w:rsidRPr="00053937">
        <w:rPr>
          <w:rFonts w:eastAsia="Times New Roman"/>
          <w:i/>
        </w:rPr>
        <w:t>Paragraphe 6.26</w:t>
      </w:r>
      <w:r w:rsidRPr="00053937">
        <w:rPr>
          <w:rFonts w:eastAsia="Times New Roman"/>
        </w:rPr>
        <w:t>,</w:t>
      </w:r>
      <w:r w:rsidRPr="00053937">
        <w:rPr>
          <w:rFonts w:eastAsia="Times New Roman"/>
          <w:i/>
        </w:rPr>
        <w:t xml:space="preserve"> </w:t>
      </w:r>
      <w:r w:rsidRPr="00053937">
        <w:rPr>
          <w:rFonts w:eastAsia="Times New Roman"/>
        </w:rPr>
        <w:t>lire</w:t>
      </w:r>
      <w:r w:rsidR="0016217A">
        <w:rPr>
          <w:rFonts w:eastAsia="Times New Roman"/>
        </w:rPr>
        <w:t> </w:t>
      </w:r>
      <w:r w:rsidRPr="00053937">
        <w:rPr>
          <w:rFonts w:eastAsia="Times New Roman"/>
        </w:rPr>
        <w:t>:</w:t>
      </w:r>
    </w:p>
    <w:p w:rsidR="00AD2087" w:rsidRPr="00053937" w:rsidRDefault="00AD2087" w:rsidP="00F74F65">
      <w:pPr>
        <w:kinsoku/>
        <w:overflowPunct/>
        <w:autoSpaceDE/>
        <w:autoSpaceDN/>
        <w:adjustRightInd/>
        <w:snapToGrid/>
        <w:spacing w:after="120"/>
        <w:ind w:left="2268" w:right="1134" w:hanging="1134"/>
        <w:jc w:val="both"/>
        <w:rPr>
          <w:rFonts w:eastAsia="Times New Roman"/>
        </w:rPr>
      </w:pPr>
      <w:r w:rsidRPr="00053937">
        <w:rPr>
          <w:rFonts w:eastAsia="Times New Roman"/>
        </w:rPr>
        <w:t>« 6.26</w:t>
      </w:r>
      <w:r w:rsidRPr="00053937">
        <w:rPr>
          <w:rFonts w:eastAsia="Times New Roman"/>
        </w:rPr>
        <w:tab/>
      </w:r>
      <w:r w:rsidRPr="00053937">
        <w:rPr>
          <w:rFonts w:eastAsia="Times New Roman"/>
          <w:bCs/>
        </w:rPr>
        <w:t>F</w:t>
      </w:r>
      <w:r w:rsidRPr="00053937">
        <w:rPr>
          <w:rFonts w:eastAsia="Times New Roman"/>
        </w:rPr>
        <w:t xml:space="preserve">eu de manœuvre </w:t>
      </w:r>
      <w:r w:rsidRPr="00053937">
        <w:rPr>
          <w:rFonts w:eastAsia="Times New Roman"/>
          <w:bCs/>
        </w:rPr>
        <w:t>(</w:t>
      </w:r>
      <w:r w:rsidRPr="00053937">
        <w:rPr>
          <w:rFonts w:eastAsia="Times New Roman"/>
        </w:rPr>
        <w:t>Règlement ONU n</w:t>
      </w:r>
      <w:r w:rsidRPr="00053937">
        <w:rPr>
          <w:rFonts w:eastAsia="Times New Roman"/>
          <w:vertAlign w:val="superscript"/>
        </w:rPr>
        <w:t>o</w:t>
      </w:r>
      <w:r w:rsidRPr="00053937">
        <w:rPr>
          <w:rFonts w:eastAsia="Times New Roman"/>
        </w:rPr>
        <w:t> 23 ou [LSD]</w:t>
      </w:r>
      <w:r w:rsidRPr="00053937">
        <w:rPr>
          <w:rFonts w:eastAsia="Times New Roman"/>
          <w:bCs/>
        </w:rPr>
        <w:t>) ».</w:t>
      </w:r>
    </w:p>
    <w:p w:rsidR="00AD2087" w:rsidRPr="00053937" w:rsidRDefault="00AD2087" w:rsidP="00F74F65">
      <w:pPr>
        <w:kinsoku/>
        <w:overflowPunct/>
        <w:autoSpaceDE/>
        <w:autoSpaceDN/>
        <w:adjustRightInd/>
        <w:snapToGrid/>
        <w:spacing w:after="120" w:line="240" w:lineRule="auto"/>
        <w:ind w:left="2268" w:right="1134" w:hanging="1134"/>
        <w:rPr>
          <w:rFonts w:eastAsia="Times New Roman"/>
        </w:rPr>
      </w:pPr>
      <w:r w:rsidRPr="00053937">
        <w:rPr>
          <w:rFonts w:eastAsia="Times New Roman"/>
          <w:i/>
        </w:rPr>
        <w:t>Paragraphe 6.26.9.2</w:t>
      </w:r>
      <w:r w:rsidRPr="00053937">
        <w:rPr>
          <w:rFonts w:eastAsia="Times New Roman"/>
        </w:rPr>
        <w:t>, lire</w:t>
      </w:r>
      <w:r w:rsidR="0016217A">
        <w:rPr>
          <w:rFonts w:eastAsia="Times New Roman"/>
        </w:rPr>
        <w:t> </w:t>
      </w:r>
      <w:r w:rsidRPr="00053937">
        <w:rPr>
          <w:rFonts w:eastAsia="Times New Roman"/>
        </w:rPr>
        <w:t>:</w:t>
      </w:r>
    </w:p>
    <w:p w:rsidR="00AD2087" w:rsidRDefault="00AD2087" w:rsidP="0016217A">
      <w:pPr>
        <w:kinsoku/>
        <w:overflowPunct/>
        <w:autoSpaceDE/>
        <w:autoSpaceDN/>
        <w:adjustRightInd/>
        <w:snapToGrid/>
        <w:spacing w:after="120"/>
        <w:ind w:left="2268" w:right="1134" w:hanging="1134"/>
        <w:jc w:val="both"/>
        <w:rPr>
          <w:rFonts w:eastAsia="Times New Roman"/>
          <w:iCs/>
          <w:color w:val="000000"/>
        </w:rPr>
      </w:pPr>
      <w:r w:rsidRPr="00053937">
        <w:rPr>
          <w:rFonts w:eastAsia="Times New Roman"/>
          <w:bCs/>
          <w:color w:val="000000"/>
        </w:rPr>
        <w:t>« 6.26.9.2</w:t>
      </w:r>
      <w:r w:rsidRPr="00053937">
        <w:rPr>
          <w:rFonts w:eastAsia="Times New Roman"/>
          <w:bCs/>
          <w:color w:val="000000"/>
        </w:rPr>
        <w:tab/>
      </w:r>
      <w:r w:rsidRPr="00053937">
        <w:rPr>
          <w:rFonts w:eastAsia="Times New Roman"/>
          <w:iCs/>
          <w:color w:val="000000"/>
        </w:rPr>
        <w:t>À la demande du demandeur de l</w:t>
      </w:r>
      <w:r w:rsidR="0016217A">
        <w:rPr>
          <w:rFonts w:eastAsia="Times New Roman"/>
          <w:iCs/>
          <w:color w:val="000000"/>
        </w:rPr>
        <w:t>’</w:t>
      </w:r>
      <w:r w:rsidRPr="00053937">
        <w:rPr>
          <w:rFonts w:eastAsia="Times New Roman"/>
          <w:iCs/>
          <w:color w:val="000000"/>
        </w:rPr>
        <w:t>homologation et avec l</w:t>
      </w:r>
      <w:r w:rsidR="0016217A">
        <w:rPr>
          <w:rFonts w:eastAsia="Times New Roman"/>
          <w:iCs/>
          <w:color w:val="000000"/>
        </w:rPr>
        <w:t>’</w:t>
      </w:r>
      <w:r w:rsidRPr="00053937">
        <w:rPr>
          <w:rFonts w:eastAsia="Times New Roman"/>
          <w:iCs/>
          <w:color w:val="000000"/>
        </w:rPr>
        <w:t>accord du service technique, le respect des prescriptions du paragraphe 6.26.9.1 peut être vérifié sur schéma ou par simulation ou jugé réalisé si les conditions d</w:t>
      </w:r>
      <w:r w:rsidR="0016217A">
        <w:rPr>
          <w:rFonts w:eastAsia="Times New Roman"/>
          <w:iCs/>
          <w:color w:val="000000"/>
        </w:rPr>
        <w:t>’</w:t>
      </w:r>
      <w:r w:rsidRPr="00053937">
        <w:rPr>
          <w:rFonts w:eastAsia="Times New Roman"/>
          <w:iCs/>
          <w:color w:val="000000"/>
        </w:rPr>
        <w:t>installation satisfont aux prescriptions du paragraphe 6.2.2 du Règlement ONU n</w:t>
      </w:r>
      <w:r w:rsidRPr="00053937">
        <w:rPr>
          <w:rFonts w:eastAsia="Times New Roman"/>
          <w:iCs/>
          <w:color w:val="000000"/>
          <w:vertAlign w:val="superscript"/>
        </w:rPr>
        <w:t>o</w:t>
      </w:r>
      <w:r w:rsidRPr="00053937">
        <w:rPr>
          <w:rFonts w:eastAsia="Times New Roman"/>
          <w:iCs/>
          <w:color w:val="000000"/>
        </w:rPr>
        <w:t> 23 ou du paragraphe 5.10.2 du Règlement ONU n</w:t>
      </w:r>
      <w:r w:rsidRPr="00053937">
        <w:rPr>
          <w:rFonts w:eastAsia="Times New Roman"/>
          <w:iCs/>
          <w:color w:val="000000"/>
          <w:vertAlign w:val="superscript"/>
        </w:rPr>
        <w:t>o</w:t>
      </w:r>
      <w:r w:rsidRPr="00053937">
        <w:rPr>
          <w:rFonts w:eastAsia="Times New Roman"/>
          <w:iCs/>
          <w:color w:val="000000"/>
        </w:rPr>
        <w:t> [LSD], comme noté dans le document d</w:t>
      </w:r>
      <w:r w:rsidR="0016217A">
        <w:rPr>
          <w:rFonts w:eastAsia="Times New Roman"/>
          <w:iCs/>
          <w:color w:val="000000"/>
        </w:rPr>
        <w:t>’</w:t>
      </w:r>
      <w:r w:rsidRPr="00053937">
        <w:rPr>
          <w:rFonts w:eastAsia="Times New Roman"/>
          <w:iCs/>
          <w:color w:val="000000"/>
        </w:rPr>
        <w:t>homologation de l</w:t>
      </w:r>
      <w:r w:rsidR="0016217A">
        <w:rPr>
          <w:rFonts w:eastAsia="Times New Roman"/>
          <w:iCs/>
          <w:color w:val="000000"/>
        </w:rPr>
        <w:t>’</w:t>
      </w:r>
      <w:r w:rsidRPr="00053937">
        <w:rPr>
          <w:rFonts w:eastAsia="Times New Roman"/>
          <w:iCs/>
          <w:color w:val="000000"/>
        </w:rPr>
        <w:t>annexe 1, au paragraphe 9. ».</w:t>
      </w:r>
    </w:p>
    <w:p w:rsidR="0016217A" w:rsidRPr="0016217A" w:rsidRDefault="0016217A" w:rsidP="0016217A">
      <w:pPr>
        <w:pStyle w:val="SingleTxtG"/>
        <w:spacing w:before="240" w:after="0"/>
        <w:jc w:val="center"/>
        <w:rPr>
          <w:u w:val="single"/>
        </w:rPr>
      </w:pPr>
      <w:r>
        <w:rPr>
          <w:u w:val="single"/>
        </w:rPr>
        <w:tab/>
      </w:r>
      <w:r>
        <w:rPr>
          <w:u w:val="single"/>
        </w:rPr>
        <w:tab/>
      </w:r>
      <w:r>
        <w:rPr>
          <w:u w:val="single"/>
        </w:rPr>
        <w:tab/>
      </w:r>
    </w:p>
    <w:sectPr w:rsidR="0016217A" w:rsidRPr="0016217A" w:rsidSect="00E1705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7A" w:rsidRDefault="0016217A" w:rsidP="00F95C08">
      <w:pPr>
        <w:spacing w:line="240" w:lineRule="auto"/>
      </w:pPr>
    </w:p>
  </w:endnote>
  <w:endnote w:type="continuationSeparator" w:id="0">
    <w:p w:rsidR="0016217A" w:rsidRPr="00AC3823" w:rsidRDefault="0016217A" w:rsidP="00AC3823">
      <w:pPr>
        <w:pStyle w:val="Footer"/>
      </w:pPr>
    </w:p>
  </w:endnote>
  <w:endnote w:type="continuationNotice" w:id="1">
    <w:p w:rsidR="0016217A" w:rsidRDefault="00162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7A" w:rsidRPr="00E17057" w:rsidRDefault="0016217A" w:rsidP="00E17057">
    <w:pPr>
      <w:pStyle w:val="Footer"/>
      <w:tabs>
        <w:tab w:val="right" w:pos="9638"/>
      </w:tabs>
    </w:pPr>
    <w:r w:rsidRPr="00E17057">
      <w:rPr>
        <w:b/>
        <w:sz w:val="18"/>
      </w:rPr>
      <w:fldChar w:fldCharType="begin"/>
    </w:r>
    <w:r w:rsidRPr="00E17057">
      <w:rPr>
        <w:b/>
        <w:sz w:val="18"/>
      </w:rPr>
      <w:instrText xml:space="preserve"> PAGE  \* MERGEFORMAT </w:instrText>
    </w:r>
    <w:r w:rsidRPr="00E17057">
      <w:rPr>
        <w:b/>
        <w:sz w:val="18"/>
      </w:rPr>
      <w:fldChar w:fldCharType="separate"/>
    </w:r>
    <w:r w:rsidR="00C7055B">
      <w:rPr>
        <w:b/>
        <w:noProof/>
        <w:sz w:val="18"/>
      </w:rPr>
      <w:t>8</w:t>
    </w:r>
    <w:r w:rsidRPr="00E17057">
      <w:rPr>
        <w:b/>
        <w:sz w:val="18"/>
      </w:rPr>
      <w:fldChar w:fldCharType="end"/>
    </w:r>
    <w:r>
      <w:rPr>
        <w:b/>
        <w:sz w:val="18"/>
      </w:rPr>
      <w:tab/>
    </w:r>
    <w:r>
      <w:t>GE.18-13895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7A" w:rsidRPr="00E17057" w:rsidRDefault="0016217A" w:rsidP="00E17057">
    <w:pPr>
      <w:pStyle w:val="Footer"/>
      <w:tabs>
        <w:tab w:val="right" w:pos="9638"/>
      </w:tabs>
      <w:rPr>
        <w:b/>
        <w:sz w:val="18"/>
      </w:rPr>
    </w:pPr>
    <w:r>
      <w:t>GE.18-13895</w:t>
    </w:r>
    <w:r>
      <w:tab/>
    </w:r>
    <w:r w:rsidRPr="00E17057">
      <w:rPr>
        <w:b/>
        <w:sz w:val="18"/>
      </w:rPr>
      <w:fldChar w:fldCharType="begin"/>
    </w:r>
    <w:r w:rsidRPr="00E17057">
      <w:rPr>
        <w:b/>
        <w:sz w:val="18"/>
      </w:rPr>
      <w:instrText xml:space="preserve"> PAGE  \* MERGEFORMAT </w:instrText>
    </w:r>
    <w:r w:rsidRPr="00E17057">
      <w:rPr>
        <w:b/>
        <w:sz w:val="18"/>
      </w:rPr>
      <w:fldChar w:fldCharType="separate"/>
    </w:r>
    <w:r w:rsidR="00C7055B">
      <w:rPr>
        <w:b/>
        <w:noProof/>
        <w:sz w:val="18"/>
      </w:rPr>
      <w:t>7</w:t>
    </w:r>
    <w:r w:rsidRPr="00E170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7A" w:rsidRPr="00E17057" w:rsidRDefault="0016217A" w:rsidP="00E1705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18-13895  (F)    170918    280918</w:t>
    </w:r>
    <w:r>
      <w:rPr>
        <w:sz w:val="20"/>
      </w:rPr>
      <w:br/>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sidRPr="00E1705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7A" w:rsidRPr="00AC3823" w:rsidRDefault="0016217A" w:rsidP="00AC3823">
      <w:pPr>
        <w:pStyle w:val="Footer"/>
        <w:tabs>
          <w:tab w:val="right" w:pos="2155"/>
        </w:tabs>
        <w:spacing w:after="80" w:line="240" w:lineRule="atLeast"/>
        <w:ind w:left="680"/>
        <w:rPr>
          <w:u w:val="single"/>
        </w:rPr>
      </w:pPr>
      <w:r>
        <w:rPr>
          <w:u w:val="single"/>
        </w:rPr>
        <w:tab/>
      </w:r>
    </w:p>
  </w:footnote>
  <w:footnote w:type="continuationSeparator" w:id="0">
    <w:p w:rsidR="0016217A" w:rsidRPr="00AC3823" w:rsidRDefault="0016217A" w:rsidP="00AC3823">
      <w:pPr>
        <w:pStyle w:val="Footer"/>
        <w:tabs>
          <w:tab w:val="right" w:pos="2155"/>
        </w:tabs>
        <w:spacing w:after="80" w:line="240" w:lineRule="atLeast"/>
        <w:ind w:left="680"/>
        <w:rPr>
          <w:u w:val="single"/>
        </w:rPr>
      </w:pPr>
      <w:r>
        <w:rPr>
          <w:u w:val="single"/>
        </w:rPr>
        <w:tab/>
      </w:r>
    </w:p>
  </w:footnote>
  <w:footnote w:type="continuationNotice" w:id="1">
    <w:p w:rsidR="0016217A" w:rsidRPr="00AC3823" w:rsidRDefault="0016217A">
      <w:pPr>
        <w:spacing w:line="240" w:lineRule="auto"/>
        <w:rPr>
          <w:sz w:val="2"/>
          <w:szCs w:val="2"/>
        </w:rPr>
      </w:pPr>
    </w:p>
  </w:footnote>
  <w:footnote w:id="2">
    <w:p w:rsidR="00F25A95" w:rsidRPr="00F25A95" w:rsidRDefault="00F25A95" w:rsidP="00F25A95">
      <w:pPr>
        <w:pStyle w:val="FootnoteText"/>
      </w:pPr>
      <w:r>
        <w:rPr>
          <w:rStyle w:val="FootnoteReference"/>
        </w:rPr>
        <w:tab/>
      </w:r>
      <w:r w:rsidRPr="00F25A95">
        <w:rPr>
          <w:rStyle w:val="FootnoteReference"/>
          <w:sz w:val="20"/>
          <w:vertAlign w:val="baseline"/>
        </w:rPr>
        <w:t>*</w:t>
      </w:r>
      <w:r>
        <w:rPr>
          <w:rStyle w:val="FootnoteReference"/>
          <w:sz w:val="20"/>
          <w:vertAlign w:val="baseline"/>
        </w:rPr>
        <w:tab/>
      </w:r>
      <w:r>
        <w:t>Nouveau tirage pour raisons techniques (11 octobre 2018).</w:t>
      </w:r>
    </w:p>
  </w:footnote>
  <w:footnote w:id="3">
    <w:p w:rsidR="00F25A95" w:rsidRPr="00F25A95" w:rsidRDefault="00F25A95" w:rsidP="00F25A95">
      <w:pPr>
        <w:pStyle w:val="FootnoteText"/>
      </w:pPr>
      <w:r>
        <w:rPr>
          <w:rStyle w:val="FootnoteReference"/>
        </w:rPr>
        <w:tab/>
      </w:r>
      <w:r w:rsidRPr="00F25A95">
        <w:rPr>
          <w:rStyle w:val="FootnoteReference"/>
          <w:sz w:val="20"/>
          <w:vertAlign w:val="baseline"/>
        </w:rPr>
        <w:t>**</w:t>
      </w:r>
      <w:r>
        <w:rPr>
          <w:rStyle w:val="FootnoteReference"/>
          <w:sz w:val="20"/>
          <w:vertAlign w:val="baseline"/>
        </w:rPr>
        <w:tab/>
      </w:r>
      <w:r w:rsidRPr="000C19B9">
        <w:rPr>
          <w:spacing w:val="-2"/>
          <w:szCs w:val="18"/>
          <w:lang w:val="fr-FR"/>
        </w:rPr>
        <w:t>Conformément au programme de travail du Comité des transports intérieurs pour la période 2018-2019</w:t>
      </w:r>
      <w:r w:rsidRPr="00D72996">
        <w:rPr>
          <w:szCs w:val="18"/>
          <w:lang w:val="fr-FR"/>
        </w:rPr>
        <w:t xml:space="preserve"> (ECE/TRANS/274, par.</w:t>
      </w:r>
      <w:r>
        <w:rPr>
          <w:szCs w:val="18"/>
          <w:lang w:val="fr-FR"/>
        </w:rPr>
        <w:t> </w:t>
      </w:r>
      <w:r w:rsidRPr="00D72996">
        <w:rPr>
          <w:szCs w:val="18"/>
          <w:lang w:val="fr-FR"/>
        </w:rPr>
        <w:t xml:space="preserve">123, et ECE/TRANS/2018/21/Add.1, module 3.1), </w:t>
      </w:r>
      <w:r w:rsidRPr="00D72996">
        <w:rPr>
          <w:lang w:val="fr-FR"/>
        </w:rPr>
        <w:t>le Forum mondial a</w:t>
      </w:r>
      <w:r>
        <w:rPr>
          <w:lang w:val="fr-FR"/>
        </w:rPr>
        <w:t> </w:t>
      </w:r>
      <w:r w:rsidRPr="00D72996">
        <w:rPr>
          <w:lang w:val="fr-FR"/>
        </w:rPr>
        <w:t>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7A" w:rsidRPr="00E17057" w:rsidRDefault="00874F8E">
    <w:pPr>
      <w:pStyle w:val="Header"/>
    </w:pPr>
    <w:fldSimple w:instr=" TITLE  \* MERGEFORMAT ">
      <w:r>
        <w:t>ECE/TRANS/WP.29/2018/101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17A" w:rsidRPr="00E17057" w:rsidRDefault="00874F8E" w:rsidP="00E17057">
    <w:pPr>
      <w:pStyle w:val="Header"/>
      <w:jc w:val="right"/>
    </w:pPr>
    <w:fldSimple w:instr=" TITLE  \* MERGEFORMAT ">
      <w:r>
        <w:t>ECE/TRANS/WP.29/2018/101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11"/>
    <w:rsid w:val="00017F94"/>
    <w:rsid w:val="00021B47"/>
    <w:rsid w:val="00023842"/>
    <w:rsid w:val="000334F9"/>
    <w:rsid w:val="00045FEB"/>
    <w:rsid w:val="0007796D"/>
    <w:rsid w:val="000B7790"/>
    <w:rsid w:val="000C19B9"/>
    <w:rsid w:val="000D35C1"/>
    <w:rsid w:val="00111F2F"/>
    <w:rsid w:val="0014365E"/>
    <w:rsid w:val="00143C66"/>
    <w:rsid w:val="0016217A"/>
    <w:rsid w:val="00176178"/>
    <w:rsid w:val="001B5619"/>
    <w:rsid w:val="001C0878"/>
    <w:rsid w:val="001F525A"/>
    <w:rsid w:val="00223272"/>
    <w:rsid w:val="0024779E"/>
    <w:rsid w:val="00257168"/>
    <w:rsid w:val="002744B8"/>
    <w:rsid w:val="00275AA8"/>
    <w:rsid w:val="002832AC"/>
    <w:rsid w:val="002B0382"/>
    <w:rsid w:val="002D7C93"/>
    <w:rsid w:val="00305801"/>
    <w:rsid w:val="003916DE"/>
    <w:rsid w:val="00421996"/>
    <w:rsid w:val="00441C3B"/>
    <w:rsid w:val="00446FE5"/>
    <w:rsid w:val="00452396"/>
    <w:rsid w:val="004558DE"/>
    <w:rsid w:val="004837D8"/>
    <w:rsid w:val="004E2EED"/>
    <w:rsid w:val="004E468C"/>
    <w:rsid w:val="005505B7"/>
    <w:rsid w:val="00573BE5"/>
    <w:rsid w:val="00580030"/>
    <w:rsid w:val="00586ED3"/>
    <w:rsid w:val="00596AA9"/>
    <w:rsid w:val="005F1A50"/>
    <w:rsid w:val="006B1197"/>
    <w:rsid w:val="006E55AD"/>
    <w:rsid w:val="0071601D"/>
    <w:rsid w:val="007A62E6"/>
    <w:rsid w:val="007B17D0"/>
    <w:rsid w:val="007F20FA"/>
    <w:rsid w:val="0080684C"/>
    <w:rsid w:val="00865DE4"/>
    <w:rsid w:val="00871C75"/>
    <w:rsid w:val="00874F8E"/>
    <w:rsid w:val="008776DC"/>
    <w:rsid w:val="008F7397"/>
    <w:rsid w:val="009446C0"/>
    <w:rsid w:val="009705C8"/>
    <w:rsid w:val="009C1CF4"/>
    <w:rsid w:val="009E737B"/>
    <w:rsid w:val="009F6B74"/>
    <w:rsid w:val="00A07411"/>
    <w:rsid w:val="00A3029F"/>
    <w:rsid w:val="00A30353"/>
    <w:rsid w:val="00A55B2B"/>
    <w:rsid w:val="00A74770"/>
    <w:rsid w:val="00A81C2C"/>
    <w:rsid w:val="00AA31AD"/>
    <w:rsid w:val="00AC3823"/>
    <w:rsid w:val="00AD2087"/>
    <w:rsid w:val="00AE323C"/>
    <w:rsid w:val="00AF0CB5"/>
    <w:rsid w:val="00B00181"/>
    <w:rsid w:val="00B00B0D"/>
    <w:rsid w:val="00B45F2E"/>
    <w:rsid w:val="00B5792A"/>
    <w:rsid w:val="00B765F7"/>
    <w:rsid w:val="00BA0CA9"/>
    <w:rsid w:val="00C02897"/>
    <w:rsid w:val="00C5145D"/>
    <w:rsid w:val="00C7055B"/>
    <w:rsid w:val="00C70CE8"/>
    <w:rsid w:val="00C97039"/>
    <w:rsid w:val="00CD6DA6"/>
    <w:rsid w:val="00D3439C"/>
    <w:rsid w:val="00D473EA"/>
    <w:rsid w:val="00D5074F"/>
    <w:rsid w:val="00D62292"/>
    <w:rsid w:val="00D73E7E"/>
    <w:rsid w:val="00D847E5"/>
    <w:rsid w:val="00DB1831"/>
    <w:rsid w:val="00DB6E93"/>
    <w:rsid w:val="00DD3BFD"/>
    <w:rsid w:val="00DF6678"/>
    <w:rsid w:val="00E0299A"/>
    <w:rsid w:val="00E17057"/>
    <w:rsid w:val="00E6517C"/>
    <w:rsid w:val="00E66270"/>
    <w:rsid w:val="00E85C74"/>
    <w:rsid w:val="00E96335"/>
    <w:rsid w:val="00EA6547"/>
    <w:rsid w:val="00EF2E22"/>
    <w:rsid w:val="00F25A95"/>
    <w:rsid w:val="00F35BAF"/>
    <w:rsid w:val="00F51D82"/>
    <w:rsid w:val="00F660DF"/>
    <w:rsid w:val="00F74F6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3B306BE-BA50-41D3-9294-4E8DDD15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D208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15417</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ECE/TRANS/WP.29/2018/101</vt:lpstr>
      <vt:lpstr>ECE/TRANS/WP.29/2018/101</vt:lpstr>
    </vt:vector>
  </TitlesOfParts>
  <Company>DCM</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ECE/TRANS/WP.29/2018/101</dc:title>
  <dc:subject/>
  <dc:creator>Corinne ROBERT</dc:creator>
  <cp:keywords/>
  <cp:lastModifiedBy>Secretariat</cp:lastModifiedBy>
  <cp:revision>2</cp:revision>
  <cp:lastPrinted>2018-10-11T10:34:00Z</cp:lastPrinted>
  <dcterms:created xsi:type="dcterms:W3CDTF">2018-10-18T13:43:00Z</dcterms:created>
  <dcterms:modified xsi:type="dcterms:W3CDTF">2018-10-18T13:43:00Z</dcterms:modified>
</cp:coreProperties>
</file>