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7533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75337" w:rsidP="00B75337">
            <w:pPr>
              <w:jc w:val="right"/>
            </w:pPr>
            <w:r w:rsidRPr="00B75337">
              <w:rPr>
                <w:sz w:val="40"/>
              </w:rPr>
              <w:t>ECE</w:t>
            </w:r>
            <w:r>
              <w:t>/TRANS/WP.29/2018/100</w:t>
            </w:r>
            <w:r w:rsidR="00BF00C0" w:rsidRPr="00BF00C0">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75337" w:rsidP="00C97039">
            <w:pPr>
              <w:spacing w:before="240"/>
            </w:pPr>
            <w:proofErr w:type="spellStart"/>
            <w:r>
              <w:t>Distr</w:t>
            </w:r>
            <w:proofErr w:type="spellEnd"/>
            <w:r>
              <w:t xml:space="preserve">. </w:t>
            </w:r>
            <w:proofErr w:type="gramStart"/>
            <w:r>
              <w:t>générale</w:t>
            </w:r>
            <w:proofErr w:type="gramEnd"/>
          </w:p>
          <w:p w:rsidR="00B75337" w:rsidRDefault="00B75337" w:rsidP="00B75337">
            <w:pPr>
              <w:spacing w:line="240" w:lineRule="exact"/>
            </w:pPr>
            <w:r>
              <w:t>24 août 2018</w:t>
            </w:r>
          </w:p>
          <w:p w:rsidR="00B75337" w:rsidRDefault="00B75337" w:rsidP="00B75337">
            <w:pPr>
              <w:spacing w:line="240" w:lineRule="exact"/>
            </w:pPr>
            <w:r>
              <w:t>Français</w:t>
            </w:r>
          </w:p>
          <w:p w:rsidR="00B75337" w:rsidRPr="00DB58B5" w:rsidRDefault="00B75337" w:rsidP="00B75337">
            <w:pPr>
              <w:spacing w:line="240" w:lineRule="exact"/>
            </w:pPr>
            <w:r>
              <w:t>Original</w:t>
            </w:r>
            <w:r w:rsidR="00B772DF">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7627A" w:rsidRPr="00F1367D" w:rsidRDefault="0077627A" w:rsidP="00F1367D">
      <w:pPr>
        <w:spacing w:before="120" w:after="120"/>
        <w:rPr>
          <w:b/>
          <w:sz w:val="24"/>
          <w:szCs w:val="24"/>
        </w:rPr>
      </w:pPr>
      <w:r w:rsidRPr="00F1367D">
        <w:rPr>
          <w:b/>
          <w:sz w:val="24"/>
          <w:szCs w:val="24"/>
        </w:rPr>
        <w:t xml:space="preserve">Forum mondial de l’harmonisation des Règlements </w:t>
      </w:r>
      <w:r w:rsidR="00F1367D">
        <w:rPr>
          <w:b/>
          <w:sz w:val="24"/>
          <w:szCs w:val="24"/>
        </w:rPr>
        <w:br/>
      </w:r>
      <w:r w:rsidRPr="00F1367D">
        <w:rPr>
          <w:b/>
          <w:sz w:val="24"/>
          <w:szCs w:val="24"/>
        </w:rPr>
        <w:t xml:space="preserve">concernant les véhicules </w:t>
      </w:r>
    </w:p>
    <w:p w:rsidR="0077627A" w:rsidRPr="004C53F0" w:rsidRDefault="0077627A" w:rsidP="0077627A">
      <w:pPr>
        <w:kinsoku/>
        <w:overflowPunct/>
        <w:autoSpaceDE/>
        <w:autoSpaceDN/>
        <w:adjustRightInd/>
        <w:snapToGrid/>
        <w:spacing w:line="240" w:lineRule="exact"/>
        <w:rPr>
          <w:rFonts w:eastAsia="Times New Roman"/>
          <w:b/>
          <w:lang w:val="fr-FR"/>
        </w:rPr>
      </w:pPr>
      <w:r>
        <w:rPr>
          <w:rFonts w:eastAsia="Times New Roman"/>
          <w:b/>
          <w:lang w:val="fr-FR"/>
        </w:rPr>
        <w:t>176</w:t>
      </w:r>
      <w:r w:rsidRPr="009D2079">
        <w:rPr>
          <w:rFonts w:eastAsia="Times New Roman"/>
          <w:b/>
          <w:vertAlign w:val="superscript"/>
          <w:lang w:val="fr-FR"/>
        </w:rPr>
        <w:t>e</w:t>
      </w:r>
      <w:r>
        <w:rPr>
          <w:rFonts w:eastAsia="Times New Roman"/>
          <w:b/>
          <w:lang w:val="fr-FR"/>
        </w:rPr>
        <w:t xml:space="preserve"> session</w:t>
      </w:r>
    </w:p>
    <w:p w:rsidR="0077627A" w:rsidRPr="004C53F0" w:rsidRDefault="0077627A" w:rsidP="0077627A">
      <w:pPr>
        <w:kinsoku/>
        <w:overflowPunct/>
        <w:autoSpaceDE/>
        <w:autoSpaceDN/>
        <w:adjustRightInd/>
        <w:snapToGrid/>
        <w:spacing w:line="240" w:lineRule="exact"/>
        <w:rPr>
          <w:rFonts w:eastAsia="Times New Roman"/>
          <w:bCs/>
          <w:lang w:val="fr-FR"/>
        </w:rPr>
      </w:pPr>
      <w:r>
        <w:rPr>
          <w:rFonts w:eastAsia="Times New Roman"/>
          <w:lang w:val="fr-FR"/>
        </w:rPr>
        <w:t>Genève</w:t>
      </w:r>
      <w:r w:rsidRPr="004C53F0">
        <w:rPr>
          <w:rFonts w:eastAsia="Times New Roman"/>
          <w:bCs/>
          <w:lang w:val="fr-FR"/>
        </w:rPr>
        <w:t>,</w:t>
      </w:r>
      <w:r>
        <w:rPr>
          <w:rFonts w:eastAsia="Times New Roman"/>
          <w:bCs/>
          <w:lang w:val="fr-FR"/>
        </w:rPr>
        <w:t xml:space="preserve"> 13-16 novembre </w:t>
      </w:r>
      <w:r w:rsidRPr="004C53F0">
        <w:rPr>
          <w:rFonts w:eastAsia="Times New Roman"/>
          <w:bCs/>
          <w:lang w:val="fr-FR"/>
        </w:rPr>
        <w:t>2018</w:t>
      </w:r>
    </w:p>
    <w:p w:rsidR="0077627A" w:rsidRDefault="0077627A" w:rsidP="0077627A">
      <w:pPr>
        <w:spacing w:line="240" w:lineRule="exact"/>
        <w:rPr>
          <w:rFonts w:eastAsia="Times New Roman"/>
          <w:bCs/>
          <w:lang w:val="fr-FR"/>
        </w:rPr>
      </w:pPr>
      <w:r>
        <w:rPr>
          <w:rFonts w:eastAsia="Times New Roman"/>
          <w:bCs/>
          <w:lang w:val="fr-FR"/>
        </w:rPr>
        <w:t>Point 4.6.18</w:t>
      </w:r>
      <w:r w:rsidRPr="00462324">
        <w:rPr>
          <w:rFonts w:eastAsia="Times New Roman"/>
          <w:bCs/>
          <w:lang w:val="fr-FR"/>
        </w:rPr>
        <w:t xml:space="preserve"> de l</w:t>
      </w:r>
      <w:r>
        <w:rPr>
          <w:rFonts w:eastAsia="Times New Roman"/>
          <w:bCs/>
          <w:lang w:val="fr-FR"/>
        </w:rPr>
        <w:t>’</w:t>
      </w:r>
      <w:r w:rsidRPr="00462324">
        <w:rPr>
          <w:rFonts w:eastAsia="Times New Roman"/>
          <w:bCs/>
          <w:lang w:val="fr-FR"/>
        </w:rPr>
        <w:t>ordre du jour provisoire</w:t>
      </w:r>
    </w:p>
    <w:p w:rsidR="0077627A" w:rsidRDefault="0077627A" w:rsidP="0077627A">
      <w:pPr>
        <w:spacing w:line="240" w:lineRule="exact"/>
        <w:rPr>
          <w:rFonts w:eastAsia="Times New Roman"/>
          <w:b/>
          <w:bCs/>
        </w:rPr>
      </w:pPr>
      <w:r>
        <w:rPr>
          <w:rFonts w:eastAsia="Times New Roman"/>
          <w:b/>
          <w:bCs/>
        </w:rPr>
        <w:t xml:space="preserve">Accord de 1958 </w:t>
      </w:r>
      <w:r w:rsidR="009D2079">
        <w:rPr>
          <w:rFonts w:eastAsia="Times New Roman"/>
          <w:b/>
          <w:bCs/>
        </w:rPr>
        <w:t>−</w:t>
      </w:r>
      <w:r w:rsidRPr="00462324">
        <w:rPr>
          <w:rFonts w:eastAsia="Times New Roman"/>
          <w:b/>
          <w:bCs/>
        </w:rPr>
        <w:t xml:space="preserve"> Examen de projets d</w:t>
      </w:r>
      <w:r>
        <w:rPr>
          <w:rFonts w:eastAsia="Times New Roman"/>
          <w:b/>
          <w:bCs/>
        </w:rPr>
        <w:t>’</w:t>
      </w:r>
      <w:r w:rsidRPr="00462324">
        <w:rPr>
          <w:rFonts w:eastAsia="Times New Roman"/>
          <w:b/>
          <w:bCs/>
        </w:rPr>
        <w:t xml:space="preserve">amendements </w:t>
      </w:r>
      <w:r w:rsidR="009D2079">
        <w:rPr>
          <w:rFonts w:eastAsia="Times New Roman"/>
          <w:b/>
          <w:bCs/>
        </w:rPr>
        <w:br/>
      </w:r>
      <w:r w:rsidRPr="00462324">
        <w:rPr>
          <w:rFonts w:eastAsia="Times New Roman"/>
          <w:b/>
          <w:bCs/>
        </w:rPr>
        <w:t xml:space="preserve">à des Règlements </w:t>
      </w:r>
      <w:r>
        <w:rPr>
          <w:rFonts w:eastAsia="Times New Roman"/>
          <w:b/>
          <w:bCs/>
        </w:rPr>
        <w:t xml:space="preserve">ONU </w:t>
      </w:r>
      <w:r w:rsidRPr="00462324">
        <w:rPr>
          <w:rFonts w:eastAsia="Times New Roman"/>
          <w:b/>
          <w:bCs/>
        </w:rPr>
        <w:t xml:space="preserve">existants, soumis par le </w:t>
      </w:r>
      <w:r>
        <w:rPr>
          <w:rFonts w:eastAsia="Times New Roman"/>
          <w:b/>
          <w:bCs/>
        </w:rPr>
        <w:t>GRE</w:t>
      </w:r>
    </w:p>
    <w:p w:rsidR="0077627A" w:rsidRPr="002E58C3" w:rsidRDefault="0077627A" w:rsidP="003976A9">
      <w:pPr>
        <w:pStyle w:val="HChG"/>
        <w:rPr>
          <w:lang w:val="fr-FR"/>
        </w:rPr>
      </w:pPr>
      <w:r w:rsidRPr="002E58C3">
        <w:rPr>
          <w:lang w:val="fr-FR"/>
        </w:rPr>
        <w:tab/>
      </w:r>
      <w:r w:rsidRPr="002E58C3">
        <w:rPr>
          <w:lang w:val="fr-FR"/>
        </w:rPr>
        <w:tab/>
        <w:t xml:space="preserve">Proposition de complément </w:t>
      </w:r>
      <w:r>
        <w:rPr>
          <w:lang w:val="fr-FR"/>
        </w:rPr>
        <w:t>12</w:t>
      </w:r>
      <w:r w:rsidRPr="002E58C3">
        <w:rPr>
          <w:lang w:val="fr-FR"/>
        </w:rPr>
        <w:t xml:space="preserve"> à la série 0</w:t>
      </w:r>
      <w:r>
        <w:rPr>
          <w:lang w:val="fr-FR"/>
        </w:rPr>
        <w:t>5</w:t>
      </w:r>
      <w:r w:rsidRPr="002E58C3">
        <w:rPr>
          <w:lang w:val="fr-FR"/>
        </w:rPr>
        <w:t xml:space="preserve"> d</w:t>
      </w:r>
      <w:r>
        <w:rPr>
          <w:lang w:val="fr-FR"/>
        </w:rPr>
        <w:t>’</w:t>
      </w:r>
      <w:r w:rsidRPr="002E58C3">
        <w:rPr>
          <w:lang w:val="fr-FR"/>
        </w:rPr>
        <w:t xml:space="preserve">amendements au Règlement </w:t>
      </w:r>
      <w:r>
        <w:rPr>
          <w:lang w:val="fr-FR"/>
        </w:rPr>
        <w:t xml:space="preserve">ONU </w:t>
      </w:r>
      <w:r w:rsidRPr="002E58C3">
        <w:rPr>
          <w:lang w:val="fr-FR"/>
        </w:rPr>
        <w:t>n</w:t>
      </w:r>
      <w:r w:rsidRPr="002E58C3">
        <w:rPr>
          <w:vertAlign w:val="superscript"/>
          <w:lang w:val="fr-FR"/>
        </w:rPr>
        <w:t>o</w:t>
      </w:r>
      <w:r w:rsidRPr="002E58C3">
        <w:rPr>
          <w:lang w:val="fr-FR"/>
        </w:rPr>
        <w:t> </w:t>
      </w:r>
      <w:r>
        <w:rPr>
          <w:lang w:val="fr-FR"/>
        </w:rPr>
        <w:t>48</w:t>
      </w:r>
      <w:r w:rsidRPr="002E58C3">
        <w:rPr>
          <w:lang w:val="fr-FR"/>
        </w:rPr>
        <w:t xml:space="preserve"> </w:t>
      </w:r>
      <w:r>
        <w:rPr>
          <w:lang w:val="fr-FR"/>
        </w:rPr>
        <w:t>(</w:t>
      </w:r>
      <w:r w:rsidRPr="00CB0601">
        <w:rPr>
          <w:lang w:val="fr-FR"/>
        </w:rPr>
        <w:t>Installation des dispositifs d</w:t>
      </w:r>
      <w:r>
        <w:rPr>
          <w:lang w:val="fr-FR"/>
        </w:rPr>
        <w:t>’</w:t>
      </w:r>
      <w:r w:rsidRPr="00CB0601">
        <w:rPr>
          <w:lang w:val="fr-FR"/>
        </w:rPr>
        <w:t>éclairage et de signalisation lumineuse</w:t>
      </w:r>
      <w:r>
        <w:rPr>
          <w:lang w:val="fr-FR"/>
        </w:rPr>
        <w:t>)</w:t>
      </w:r>
    </w:p>
    <w:p w:rsidR="0077627A" w:rsidRPr="00CB0601" w:rsidRDefault="0077627A" w:rsidP="003976A9">
      <w:pPr>
        <w:pStyle w:val="H1G"/>
        <w:rPr>
          <w:szCs w:val="24"/>
        </w:rPr>
      </w:pPr>
      <w:r w:rsidRPr="002E58C3">
        <w:rPr>
          <w:lang w:val="fr-FR"/>
        </w:rPr>
        <w:tab/>
      </w:r>
      <w:r w:rsidRPr="002E58C3">
        <w:rPr>
          <w:lang w:val="fr-FR"/>
        </w:rPr>
        <w:tab/>
      </w:r>
      <w:r w:rsidRPr="001E1A55">
        <w:rPr>
          <w:lang w:val="fr-FR"/>
        </w:rPr>
        <w:t xml:space="preserve">Communication du </w:t>
      </w:r>
      <w:r>
        <w:t>G</w:t>
      </w:r>
      <w:r w:rsidRPr="001E1A55">
        <w:t xml:space="preserve">roupe de travail </w:t>
      </w:r>
      <w:r>
        <w:t xml:space="preserve">de </w:t>
      </w:r>
      <w:r w:rsidRPr="001E1A55">
        <w:t>l</w:t>
      </w:r>
      <w:r>
        <w:t xml:space="preserve">’éclairage </w:t>
      </w:r>
      <w:r w:rsidR="003976A9">
        <w:br/>
      </w:r>
      <w:r>
        <w:t>et de</w:t>
      </w:r>
      <w:r w:rsidRPr="001E1A55">
        <w:t xml:space="preserve"> la signalisation lumineuse</w:t>
      </w:r>
      <w:r w:rsidR="00BF00C0" w:rsidRPr="00BF00C0">
        <w:rPr>
          <w:rStyle w:val="FootnoteReference"/>
          <w:b w:val="0"/>
          <w:sz w:val="20"/>
          <w:vertAlign w:val="baseline"/>
        </w:rPr>
        <w:footnoteReference w:customMarkFollows="1" w:id="3"/>
        <w:t>**</w:t>
      </w:r>
    </w:p>
    <w:p w:rsidR="0077627A" w:rsidRPr="00897200" w:rsidRDefault="0077627A" w:rsidP="003976A9">
      <w:pPr>
        <w:pStyle w:val="SingleTxtG"/>
        <w:ind w:firstLine="567"/>
        <w:rPr>
          <w:spacing w:val="-2"/>
          <w:lang w:val="fr-FR"/>
        </w:rPr>
      </w:pPr>
      <w:r w:rsidRPr="00897200">
        <w:rPr>
          <w:spacing w:val="-2"/>
          <w:lang w:val="fr-FR"/>
        </w:rPr>
        <w:t>Le texte reproduit ci-après, adopté par le Groupe de travail de l’éclairage et de la signalisation lumineuse (GRE) à sa soixante-dix-neuvième session (ECE/TRANS/WP.29/</w:t>
      </w:r>
      <w:r w:rsidR="00897200">
        <w:rPr>
          <w:spacing w:val="-2"/>
          <w:lang w:val="fr-FR"/>
        </w:rPr>
        <w:t xml:space="preserve"> </w:t>
      </w:r>
      <w:r w:rsidRPr="00897200">
        <w:rPr>
          <w:spacing w:val="-2"/>
          <w:lang w:val="fr-FR"/>
        </w:rPr>
        <w:t>GRE/79, par. 9), est fondé sur le document ECE/TRANS/WP.29/GRE/2018/7 et sur l’annexe III du rapport. Il fait référence aux trois nouveaux Règlements ONU simplifiés sur les dispositifs de signalisation lumineuse, les dispositifs d’éclairage de la route et les dispositifs rétroréfléchissants (ECE/TRANS/WP.29/2018/157, ECE/TRANS/WP.29/2018/158 et ECE/TRANS/WP.29/2018/159, respectivement). Il est soumis au Forum mondial de l’harmonisation des Règlements concernant les véhicules (WP.29) et au Comité d’administration de l’Accord de 1958 (AC.1) pour examen à leurs sessions de novembre 2018.</w:t>
      </w:r>
    </w:p>
    <w:p w:rsidR="0077627A" w:rsidRPr="002E58C3" w:rsidRDefault="0077627A" w:rsidP="003976A9">
      <w:pPr>
        <w:pStyle w:val="HChG"/>
        <w:rPr>
          <w:lang w:val="fr-FR"/>
        </w:rPr>
      </w:pPr>
      <w:r>
        <w:rPr>
          <w:lang w:val="fr-FR"/>
        </w:rPr>
        <w:br w:type="page"/>
      </w:r>
      <w:r>
        <w:rPr>
          <w:lang w:val="fr-FR"/>
        </w:rPr>
        <w:lastRenderedPageBreak/>
        <w:tab/>
      </w:r>
      <w:r>
        <w:rPr>
          <w:lang w:val="fr-FR"/>
        </w:rPr>
        <w:tab/>
        <w:t>C</w:t>
      </w:r>
      <w:r w:rsidRPr="002E58C3">
        <w:rPr>
          <w:lang w:val="fr-FR"/>
        </w:rPr>
        <w:t xml:space="preserve">omplément </w:t>
      </w:r>
      <w:r>
        <w:rPr>
          <w:lang w:val="fr-FR"/>
        </w:rPr>
        <w:t>12</w:t>
      </w:r>
      <w:r w:rsidRPr="002E58C3">
        <w:rPr>
          <w:lang w:val="fr-FR"/>
        </w:rPr>
        <w:t xml:space="preserve"> à la série 0</w:t>
      </w:r>
      <w:r>
        <w:rPr>
          <w:lang w:val="fr-FR"/>
        </w:rPr>
        <w:t>5</w:t>
      </w:r>
      <w:r w:rsidRPr="002E58C3">
        <w:rPr>
          <w:lang w:val="fr-FR"/>
        </w:rPr>
        <w:t xml:space="preserve"> d</w:t>
      </w:r>
      <w:r>
        <w:rPr>
          <w:lang w:val="fr-FR"/>
        </w:rPr>
        <w:t>’</w:t>
      </w:r>
      <w:r w:rsidRPr="002E58C3">
        <w:rPr>
          <w:lang w:val="fr-FR"/>
        </w:rPr>
        <w:t xml:space="preserve">amendements </w:t>
      </w:r>
      <w:r w:rsidR="00A8309A">
        <w:rPr>
          <w:lang w:val="fr-FR"/>
        </w:rPr>
        <w:br/>
      </w:r>
      <w:r w:rsidRPr="002E58C3">
        <w:rPr>
          <w:lang w:val="fr-FR"/>
        </w:rPr>
        <w:t xml:space="preserve">au Règlement </w:t>
      </w:r>
      <w:r>
        <w:rPr>
          <w:lang w:val="fr-FR"/>
        </w:rPr>
        <w:t xml:space="preserve">ONU </w:t>
      </w:r>
      <w:r w:rsidRPr="002E58C3">
        <w:rPr>
          <w:lang w:val="fr-FR"/>
        </w:rPr>
        <w:t>n</w:t>
      </w:r>
      <w:r w:rsidRPr="002E58C3">
        <w:rPr>
          <w:vertAlign w:val="superscript"/>
          <w:lang w:val="fr-FR"/>
        </w:rPr>
        <w:t>o</w:t>
      </w:r>
      <w:r w:rsidRPr="002E58C3">
        <w:rPr>
          <w:lang w:val="fr-FR"/>
        </w:rPr>
        <w:t> </w:t>
      </w:r>
      <w:r>
        <w:rPr>
          <w:lang w:val="fr-FR"/>
        </w:rPr>
        <w:t>48</w:t>
      </w:r>
      <w:r w:rsidRPr="002E58C3">
        <w:rPr>
          <w:lang w:val="fr-FR"/>
        </w:rPr>
        <w:t xml:space="preserve"> </w:t>
      </w:r>
      <w:r>
        <w:rPr>
          <w:lang w:val="fr-FR"/>
        </w:rPr>
        <w:t>(</w:t>
      </w:r>
      <w:r w:rsidRPr="00CB0601">
        <w:rPr>
          <w:lang w:val="fr-FR"/>
        </w:rPr>
        <w:t>Installation des dispositifs d</w:t>
      </w:r>
      <w:r>
        <w:rPr>
          <w:lang w:val="fr-FR"/>
        </w:rPr>
        <w:t>’</w:t>
      </w:r>
      <w:r w:rsidRPr="00CB0601">
        <w:rPr>
          <w:lang w:val="fr-FR"/>
        </w:rPr>
        <w:t>éclairage et de signalisation lumineuse</w:t>
      </w:r>
      <w:r>
        <w:rPr>
          <w:lang w:val="fr-FR"/>
        </w:rPr>
        <w:t>)</w:t>
      </w:r>
    </w:p>
    <w:p w:rsidR="0077627A" w:rsidRPr="00F845FC" w:rsidRDefault="0077627A" w:rsidP="00A8309A">
      <w:pPr>
        <w:pStyle w:val="SingleTxtG"/>
        <w:keepNext/>
        <w:spacing w:line="240" w:lineRule="exact"/>
        <w:rPr>
          <w:lang w:val="fr-FR"/>
        </w:rPr>
      </w:pPr>
      <w:r w:rsidRPr="00F845FC">
        <w:rPr>
          <w:i/>
          <w:lang w:val="fr-FR"/>
        </w:rPr>
        <w:t>Paragraphe 2.7.16.4</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2.7.16.4</w:t>
      </w:r>
      <w:r w:rsidRPr="00F845FC">
        <w:rPr>
          <w:lang w:val="fr-FR"/>
        </w:rPr>
        <w:tab/>
        <w:t xml:space="preserve">Les matériaux rétroréfléchissants homologués en classes D ou E selon le Règlement ONU </w:t>
      </w:r>
      <w:r w:rsidRPr="00F845FC">
        <w:rPr>
          <w:rFonts w:eastAsia="MS Mincho"/>
          <w:szCs w:val="22"/>
          <w:lang w:val="fr-FR"/>
        </w:rPr>
        <w:t>n</w:t>
      </w:r>
      <w:r w:rsidRPr="00F845FC">
        <w:rPr>
          <w:rFonts w:eastAsia="MS Mincho"/>
          <w:szCs w:val="22"/>
          <w:vertAlign w:val="superscript"/>
          <w:lang w:val="fr-FR"/>
        </w:rPr>
        <w:t>o</w:t>
      </w:r>
      <w:r w:rsidRPr="00F845FC">
        <w:rPr>
          <w:lang w:val="fr-FR"/>
        </w:rPr>
        <w:t> 104 ou [RRD] et utilisés à d</w:t>
      </w:r>
      <w:r>
        <w:rPr>
          <w:lang w:val="fr-FR"/>
        </w:rPr>
        <w:t>’</w:t>
      </w:r>
      <w:r w:rsidRPr="00F845FC">
        <w:rPr>
          <w:lang w:val="fr-FR"/>
        </w:rPr>
        <w:t>autres fins conformément aux prescriptions nationales. ».</w:t>
      </w:r>
    </w:p>
    <w:p w:rsidR="0077627A" w:rsidRPr="00F845FC" w:rsidRDefault="0077627A" w:rsidP="00A8309A">
      <w:pPr>
        <w:pStyle w:val="SingleTxtG"/>
        <w:keepNext/>
        <w:spacing w:line="240" w:lineRule="exact"/>
        <w:rPr>
          <w:lang w:val="fr-FR"/>
        </w:rPr>
      </w:pPr>
      <w:r w:rsidRPr="00F845FC">
        <w:rPr>
          <w:i/>
          <w:lang w:val="fr-FR"/>
        </w:rPr>
        <w:t>Paragraphe 2.7.28</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2.7.28</w:t>
      </w:r>
      <w:r w:rsidRPr="00F845FC">
        <w:rPr>
          <w:lang w:val="fr-FR"/>
        </w:rPr>
        <w:tab/>
      </w:r>
      <w:r w:rsidRPr="00F845FC">
        <w:t>“</w:t>
      </w:r>
      <w:r w:rsidRPr="000679F1">
        <w:rPr>
          <w:i/>
          <w:lang w:val="fr-FR"/>
        </w:rPr>
        <w:t>Système d’éclairage avant adaptati</w:t>
      </w:r>
      <w:r w:rsidR="000679F1" w:rsidRPr="000679F1">
        <w:rPr>
          <w:i/>
          <w:lang w:val="fr-FR"/>
        </w:rPr>
        <w:t>f</w:t>
      </w:r>
      <w:r w:rsidR="000679F1" w:rsidRPr="00F845FC">
        <w:rPr>
          <w:lang w:val="fr-FR"/>
        </w:rPr>
        <w:t xml:space="preserve"> </w:t>
      </w:r>
      <w:r w:rsidR="000679F1" w:rsidRPr="000679F1">
        <w:rPr>
          <w:i/>
          <w:lang w:val="fr-FR"/>
        </w:rPr>
        <w:t>(AFS)</w:t>
      </w:r>
      <w:r w:rsidRPr="00F845FC">
        <w:t>”</w:t>
      </w:r>
      <w:r w:rsidRPr="00F845FC">
        <w:rPr>
          <w:lang w:val="fr-FR"/>
        </w:rPr>
        <w:t>, un dispositif d</w:t>
      </w:r>
      <w:r>
        <w:rPr>
          <w:lang w:val="fr-FR"/>
        </w:rPr>
        <w:t>’</w:t>
      </w:r>
      <w:r w:rsidRPr="00F845FC">
        <w:rPr>
          <w:lang w:val="fr-FR"/>
        </w:rPr>
        <w:t>éclairage homologué conformément au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123 ou [RID], qui émet des faisceaux possédant des caractéristiques différenciées pour une adaptation automatique à des conditions variables d</w:t>
      </w:r>
      <w:r>
        <w:rPr>
          <w:lang w:val="fr-FR"/>
        </w:rPr>
        <w:t>’</w:t>
      </w:r>
      <w:r w:rsidRPr="00F845FC">
        <w:rPr>
          <w:lang w:val="fr-FR"/>
        </w:rPr>
        <w:t>utilisation du faisceau de croisement et, le cas échéant, du faisceau de route. ».</w:t>
      </w:r>
    </w:p>
    <w:p w:rsidR="0077627A" w:rsidRPr="00F845FC" w:rsidRDefault="0077627A" w:rsidP="00A8309A">
      <w:pPr>
        <w:pStyle w:val="SingleTxtG"/>
        <w:keepNext/>
        <w:spacing w:line="240" w:lineRule="exact"/>
        <w:rPr>
          <w:lang w:val="fr-FR"/>
        </w:rPr>
      </w:pPr>
      <w:r w:rsidRPr="00F845FC">
        <w:rPr>
          <w:i/>
          <w:lang w:val="fr-FR"/>
        </w:rPr>
        <w:t>Paragraphe 3.2.6.2</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3.2.6.2</w:t>
      </w:r>
      <w:r w:rsidRPr="00F845FC">
        <w:rPr>
          <w:lang w:val="fr-FR"/>
        </w:rPr>
        <w:tab/>
        <w:t>Les signaux de commande AFS correspondants et leurs caractéristiques techniques, définies conformément à l</w:t>
      </w:r>
      <w:r>
        <w:rPr>
          <w:lang w:val="fr-FR"/>
        </w:rPr>
        <w:t>’</w:t>
      </w:r>
      <w:r w:rsidRPr="00F845FC">
        <w:rPr>
          <w:lang w:val="fr-FR"/>
        </w:rPr>
        <w:t xml:space="preserve">annexe 10 du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123 ou à l</w:t>
      </w:r>
      <w:r>
        <w:rPr>
          <w:lang w:val="fr-FR"/>
        </w:rPr>
        <w:t>’</w:t>
      </w:r>
      <w:r w:rsidRPr="00F845FC">
        <w:rPr>
          <w:lang w:val="fr-FR"/>
        </w:rPr>
        <w:t xml:space="preserve">annexe 14 du Règlement </w:t>
      </w:r>
      <w:r>
        <w:rPr>
          <w:lang w:val="fr-FR"/>
        </w:rPr>
        <w:t xml:space="preserve">ONU </w:t>
      </w:r>
      <w:r w:rsidRPr="00F845FC">
        <w:rPr>
          <w:lang w:val="fr-FR"/>
        </w:rPr>
        <w:t>n</w:t>
      </w:r>
      <w:r w:rsidRPr="00F845FC">
        <w:rPr>
          <w:vertAlign w:val="superscript"/>
          <w:lang w:val="fr-FR"/>
        </w:rPr>
        <w:t>o</w:t>
      </w:r>
      <w:r w:rsidRPr="00F845FC">
        <w:rPr>
          <w:lang w:val="fr-FR"/>
        </w:rPr>
        <w:t> [RID]</w:t>
      </w:r>
      <w:r w:rsidR="00B772DF">
        <w:rPr>
          <w:lang w:val="fr-FR"/>
        </w:rPr>
        <w:t> ;</w:t>
      </w:r>
      <w:r w:rsidRPr="00F845FC">
        <w:rPr>
          <w:lang w:val="fr-FR"/>
        </w:rPr>
        <w:t> ».</w:t>
      </w:r>
    </w:p>
    <w:p w:rsidR="0077627A" w:rsidRPr="00F845FC" w:rsidRDefault="0077627A" w:rsidP="00A8309A">
      <w:pPr>
        <w:pStyle w:val="SingleTxtG"/>
        <w:keepNext/>
        <w:spacing w:line="240" w:lineRule="exact"/>
        <w:rPr>
          <w:lang w:val="fr-FR"/>
        </w:rPr>
      </w:pPr>
      <w:r w:rsidRPr="00F845FC">
        <w:rPr>
          <w:i/>
          <w:lang w:val="fr-FR"/>
        </w:rPr>
        <w:t>Paragraphe 5.9.3</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5.9.3</w:t>
      </w:r>
      <w:r w:rsidRPr="00F845FC">
        <w:rPr>
          <w:lang w:val="fr-FR"/>
        </w:rPr>
        <w:tab/>
        <w:t>Les caractéristiques photométriques des feux indicateurs de direction des catégories 1, 1a, 1b, 2a ou 2b peuvent varier durant un clignotement par activation séquentielle conformément au paragraphe 5.6 du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xml:space="preserve"> 6 ou au paragraphe 5.6.11 du Règlement </w:t>
      </w:r>
      <w:r>
        <w:rPr>
          <w:lang w:val="fr-FR"/>
        </w:rPr>
        <w:t xml:space="preserve">ONU </w:t>
      </w:r>
      <w:r w:rsidRPr="00F845FC">
        <w:rPr>
          <w:lang w:val="fr-FR"/>
        </w:rPr>
        <w:t>n</w:t>
      </w:r>
      <w:r w:rsidRPr="00F845FC">
        <w:rPr>
          <w:vertAlign w:val="superscript"/>
          <w:lang w:val="fr-FR"/>
        </w:rPr>
        <w:t>o</w:t>
      </w:r>
      <w:r w:rsidRPr="00F845FC">
        <w:rPr>
          <w:lang w:val="fr-FR"/>
        </w:rPr>
        <w:t> [LSD]. ».</w:t>
      </w:r>
    </w:p>
    <w:p w:rsidR="0077627A" w:rsidRPr="00F845FC" w:rsidRDefault="0077627A" w:rsidP="00A8309A">
      <w:pPr>
        <w:pStyle w:val="SingleTxtG"/>
        <w:keepNext/>
        <w:spacing w:line="240" w:lineRule="exact"/>
        <w:rPr>
          <w:lang w:val="fr-FR"/>
        </w:rPr>
      </w:pPr>
      <w:r w:rsidRPr="00F845FC">
        <w:rPr>
          <w:i/>
          <w:lang w:val="fr-FR"/>
        </w:rPr>
        <w:t>Paragraphe 6.1</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w:t>
      </w:r>
      <w:r w:rsidRPr="00F845FC">
        <w:rPr>
          <w:lang w:val="fr-FR"/>
        </w:rPr>
        <w:tab/>
        <w:t xml:space="preserve">Feu de route (Règlements </w:t>
      </w:r>
      <w:r>
        <w:rPr>
          <w:lang w:val="fr-FR"/>
        </w:rPr>
        <w:t xml:space="preserve">ONU </w:t>
      </w:r>
      <w:r w:rsidRPr="00F845FC">
        <w:rPr>
          <w:rFonts w:eastAsia="MS Mincho"/>
          <w:szCs w:val="22"/>
          <w:lang w:val="fr-FR"/>
        </w:rPr>
        <w:t>n</w:t>
      </w:r>
      <w:r w:rsidRPr="00F845FC">
        <w:rPr>
          <w:rFonts w:eastAsia="MS Mincho"/>
          <w:szCs w:val="22"/>
          <w:vertAlign w:val="superscript"/>
          <w:lang w:val="fr-FR"/>
        </w:rPr>
        <w:t>os</w:t>
      </w:r>
      <w:r w:rsidRPr="00F845FC">
        <w:rPr>
          <w:lang w:val="fr-FR"/>
        </w:rPr>
        <w:t> 98, 112 et [RID]) ».</w:t>
      </w:r>
    </w:p>
    <w:p w:rsidR="0077627A" w:rsidRPr="00F845FC" w:rsidRDefault="0077627A" w:rsidP="00A8309A">
      <w:pPr>
        <w:pStyle w:val="SingleTxtG"/>
        <w:keepNext/>
        <w:spacing w:line="240" w:lineRule="exact"/>
        <w:rPr>
          <w:lang w:val="fr-FR"/>
        </w:rPr>
      </w:pPr>
      <w:r w:rsidRPr="00F845FC">
        <w:rPr>
          <w:i/>
          <w:lang w:val="fr-FR"/>
        </w:rPr>
        <w:t>Paragraphe 6.1.2</w:t>
      </w:r>
      <w:r w:rsidRPr="00F845FC">
        <w:rPr>
          <w:lang w:val="fr-FR"/>
        </w:rPr>
        <w:t>, lire</w:t>
      </w:r>
      <w:r w:rsidR="00B772DF">
        <w:rPr>
          <w:lang w:val="fr-FR"/>
        </w:rPr>
        <w:t> :</w:t>
      </w:r>
    </w:p>
    <w:p w:rsidR="0077627A" w:rsidRPr="00F845FC" w:rsidRDefault="0077627A" w:rsidP="00F32296">
      <w:pPr>
        <w:pStyle w:val="SingleTxtG"/>
        <w:ind w:left="2438" w:hanging="1304"/>
        <w:jc w:val="left"/>
        <w:rPr>
          <w:lang w:val="fr-FR"/>
        </w:rPr>
      </w:pPr>
      <w:r w:rsidRPr="00F845FC">
        <w:rPr>
          <w:lang w:val="fr-FR"/>
        </w:rPr>
        <w:t>« 6.1.2</w:t>
      </w:r>
      <w:r w:rsidRPr="00F845FC">
        <w:rPr>
          <w:lang w:val="fr-FR"/>
        </w:rPr>
        <w:tab/>
        <w:t>Nombre</w:t>
      </w:r>
    </w:p>
    <w:p w:rsidR="0077627A" w:rsidRPr="00F845FC" w:rsidRDefault="0077627A" w:rsidP="00A8309A">
      <w:pPr>
        <w:pStyle w:val="SingleTxtG"/>
        <w:spacing w:line="240" w:lineRule="exact"/>
        <w:ind w:left="2438"/>
        <w:rPr>
          <w:lang w:val="fr-FR"/>
        </w:rPr>
      </w:pPr>
      <w:r w:rsidRPr="00F845FC">
        <w:rPr>
          <w:lang w:val="fr-FR"/>
        </w:rPr>
        <w:t>Deux ou quatre, homologués conformément au</w:t>
      </w:r>
      <w:r w:rsidR="00B772DF">
        <w:rPr>
          <w:lang w:val="fr-FR"/>
        </w:rPr>
        <w:t> :</w:t>
      </w:r>
      <w:r w:rsidRPr="00F845FC">
        <w:rPr>
          <w:lang w:val="fr-FR"/>
        </w:rPr>
        <w:t xml:space="preserve"> </w:t>
      </w:r>
    </w:p>
    <w:p w:rsidR="0077627A" w:rsidRPr="00F845FC" w:rsidRDefault="001F6AC9" w:rsidP="00ED13BC">
      <w:pPr>
        <w:pStyle w:val="SingleTxtG"/>
        <w:spacing w:line="240" w:lineRule="exact"/>
        <w:ind w:left="3005" w:hanging="567"/>
        <w:rPr>
          <w:lang w:val="fr-FR"/>
        </w:rPr>
      </w:pPr>
      <w:r w:rsidRPr="001F6AC9">
        <w:rPr>
          <w:lang w:val="fr-FR"/>
        </w:rPr>
        <w:t>a)</w:t>
      </w:r>
      <w:r w:rsidRPr="001F6AC9">
        <w:rPr>
          <w:lang w:val="fr-FR"/>
        </w:rPr>
        <w:tab/>
      </w:r>
      <w:r w:rsidR="0077627A" w:rsidRPr="00F845FC">
        <w:rPr>
          <w:lang w:val="fr-FR"/>
        </w:rPr>
        <w:t xml:space="preserve">Règlement </w:t>
      </w:r>
      <w:r w:rsidR="0077627A">
        <w:rPr>
          <w:lang w:val="fr-FR"/>
        </w:rPr>
        <w:t xml:space="preserve">ONU </w:t>
      </w:r>
      <w:r w:rsidR="0077627A" w:rsidRPr="00F845FC">
        <w:rPr>
          <w:rFonts w:eastAsia="MS Mincho"/>
          <w:szCs w:val="22"/>
          <w:lang w:val="fr-FR"/>
        </w:rPr>
        <w:t>n</w:t>
      </w:r>
      <w:r w:rsidR="0077627A" w:rsidRPr="00F845FC">
        <w:rPr>
          <w:rFonts w:eastAsia="MS Mincho"/>
          <w:szCs w:val="22"/>
          <w:vertAlign w:val="superscript"/>
          <w:lang w:val="fr-FR"/>
        </w:rPr>
        <w:t>o</w:t>
      </w:r>
      <w:r w:rsidR="0077627A" w:rsidRPr="00F845FC">
        <w:rPr>
          <w:lang w:val="fr-FR"/>
        </w:rPr>
        <w:t> 98 ou 112, à l</w:t>
      </w:r>
      <w:r w:rsidR="0077627A">
        <w:rPr>
          <w:lang w:val="fr-FR"/>
        </w:rPr>
        <w:t>’</w:t>
      </w:r>
      <w:r w:rsidR="0077627A" w:rsidRPr="00F845FC">
        <w:rPr>
          <w:lang w:val="fr-FR"/>
        </w:rPr>
        <w:t xml:space="preserve">exclusion des </w:t>
      </w:r>
      <w:r>
        <w:rPr>
          <w:lang w:val="fr-FR"/>
        </w:rPr>
        <w:t>projecteurs de la classe A ;</w:t>
      </w:r>
    </w:p>
    <w:p w:rsidR="0077627A" w:rsidRPr="00F845FC" w:rsidRDefault="0077627A" w:rsidP="00A8309A">
      <w:pPr>
        <w:pStyle w:val="SingleTxtG"/>
        <w:spacing w:line="240" w:lineRule="exact"/>
        <w:ind w:left="2438"/>
        <w:rPr>
          <w:lang w:val="fr-FR"/>
        </w:rPr>
      </w:pPr>
      <w:proofErr w:type="gramStart"/>
      <w:r w:rsidRPr="00F845FC">
        <w:rPr>
          <w:lang w:val="fr-FR"/>
        </w:rPr>
        <w:t>ou</w:t>
      </w:r>
      <w:proofErr w:type="gramEnd"/>
      <w:r w:rsidRPr="00F845FC">
        <w:rPr>
          <w:lang w:val="fr-FR"/>
        </w:rPr>
        <w:t xml:space="preserve"> </w:t>
      </w:r>
    </w:p>
    <w:p w:rsidR="0077627A" w:rsidRPr="00F845FC" w:rsidRDefault="001F6AC9" w:rsidP="00ED13BC">
      <w:pPr>
        <w:pStyle w:val="SingleTxtG"/>
        <w:spacing w:line="240" w:lineRule="exact"/>
        <w:ind w:left="3005" w:hanging="567"/>
        <w:rPr>
          <w:lang w:val="fr-FR"/>
        </w:rPr>
      </w:pPr>
      <w:r>
        <w:rPr>
          <w:lang w:val="fr-FR"/>
        </w:rPr>
        <w:t>b)</w:t>
      </w:r>
      <w:r>
        <w:rPr>
          <w:lang w:val="fr-FR"/>
        </w:rPr>
        <w:tab/>
      </w:r>
      <w:r w:rsidR="0077627A" w:rsidRPr="00F845FC">
        <w:rPr>
          <w:lang w:val="fr-FR"/>
        </w:rPr>
        <w:t xml:space="preserve">Règlement </w:t>
      </w:r>
      <w:r w:rsidR="0077627A">
        <w:rPr>
          <w:lang w:val="fr-FR"/>
        </w:rPr>
        <w:t xml:space="preserve">ONU </w:t>
      </w:r>
      <w:r w:rsidR="0077627A" w:rsidRPr="00F845FC">
        <w:rPr>
          <w:lang w:val="fr-FR"/>
        </w:rPr>
        <w:t>n</w:t>
      </w:r>
      <w:r w:rsidR="0077627A" w:rsidRPr="00F845FC">
        <w:rPr>
          <w:vertAlign w:val="superscript"/>
          <w:lang w:val="fr-FR"/>
        </w:rPr>
        <w:t>o</w:t>
      </w:r>
      <w:r w:rsidR="0077627A" w:rsidRPr="00F845FC">
        <w:rPr>
          <w:lang w:val="fr-FR"/>
        </w:rPr>
        <w:t xml:space="preserve"> [RID], pour les projecteurs des classes B et D uniquement.</w:t>
      </w:r>
    </w:p>
    <w:p w:rsidR="0077627A" w:rsidRPr="00F845FC" w:rsidRDefault="0077627A" w:rsidP="00A8309A">
      <w:pPr>
        <w:pStyle w:val="SingleTxtG"/>
        <w:spacing w:line="240" w:lineRule="exact"/>
        <w:ind w:left="2438"/>
        <w:rPr>
          <w:lang w:val="fr-FR"/>
        </w:rPr>
      </w:pPr>
      <w:r w:rsidRPr="00F845FC">
        <w:rPr>
          <w:lang w:val="fr-FR"/>
        </w:rPr>
        <w:t>Pour les véhicules de la catégorie N</w:t>
      </w:r>
      <w:r w:rsidRPr="00F845FC">
        <w:rPr>
          <w:vertAlign w:val="subscript"/>
          <w:lang w:val="fr-FR"/>
        </w:rPr>
        <w:t>3</w:t>
      </w:r>
      <w:r w:rsidR="00B772DF">
        <w:rPr>
          <w:lang w:val="fr-FR"/>
        </w:rPr>
        <w:t> :</w:t>
      </w:r>
      <w:r w:rsidRPr="00F845FC">
        <w:rPr>
          <w:lang w:val="fr-FR"/>
        </w:rPr>
        <w:t xml:space="preserve"> deux feux de route supplémentaires peuvent être installés.</w:t>
      </w:r>
    </w:p>
    <w:p w:rsidR="0077627A" w:rsidRPr="00F845FC" w:rsidRDefault="0077627A" w:rsidP="00A8309A">
      <w:pPr>
        <w:pStyle w:val="SingleTxtG"/>
        <w:spacing w:line="240" w:lineRule="exact"/>
        <w:ind w:left="2438"/>
        <w:rPr>
          <w:lang w:val="fr-FR"/>
        </w:rPr>
      </w:pPr>
      <w:r w:rsidRPr="00F845FC">
        <w:rPr>
          <w:lang w:val="fr-FR"/>
        </w:rPr>
        <w:t>Les véhicules déjà équipés de quatre projecteurs occultables ne peuvent être dotés de deux projecteurs supplémentaires que s</w:t>
      </w:r>
      <w:r>
        <w:rPr>
          <w:lang w:val="fr-FR"/>
        </w:rPr>
        <w:t>’</w:t>
      </w:r>
      <w:r w:rsidRPr="00F845FC">
        <w:rPr>
          <w:lang w:val="fr-FR"/>
        </w:rPr>
        <w:t>ils sont destinés à la signalisation lumineuse, consistant en un allumage intermittent à de courts intervalles (voir le paragraphe 5.12) en conduite de jour. ».</w:t>
      </w:r>
    </w:p>
    <w:p w:rsidR="0077627A" w:rsidRPr="00F845FC" w:rsidRDefault="0077627A" w:rsidP="00A8309A">
      <w:pPr>
        <w:pStyle w:val="SingleTxtG"/>
        <w:keepNext/>
        <w:spacing w:line="240" w:lineRule="exact"/>
        <w:rPr>
          <w:lang w:val="fr-FR"/>
        </w:rPr>
      </w:pPr>
      <w:r w:rsidRPr="00F845FC">
        <w:rPr>
          <w:i/>
          <w:lang w:val="fr-FR"/>
        </w:rPr>
        <w:t>Paragraphe 6.2</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6.2</w:t>
      </w:r>
      <w:r w:rsidRPr="00F845FC">
        <w:rPr>
          <w:lang w:val="fr-FR"/>
        </w:rPr>
        <w:tab/>
        <w:t xml:space="preserve">Feu de croisement (Règlements </w:t>
      </w:r>
      <w:r>
        <w:rPr>
          <w:lang w:val="fr-FR"/>
        </w:rPr>
        <w:t xml:space="preserve">ONU </w:t>
      </w:r>
      <w:r w:rsidRPr="00F845FC">
        <w:rPr>
          <w:rFonts w:eastAsia="MS Mincho"/>
          <w:szCs w:val="22"/>
          <w:lang w:val="fr-FR"/>
        </w:rPr>
        <w:t>n</w:t>
      </w:r>
      <w:r w:rsidRPr="00F845FC">
        <w:rPr>
          <w:rFonts w:eastAsia="MS Mincho"/>
          <w:szCs w:val="22"/>
          <w:vertAlign w:val="superscript"/>
          <w:lang w:val="fr-FR"/>
        </w:rPr>
        <w:t>os</w:t>
      </w:r>
      <w:r w:rsidRPr="00F845FC">
        <w:rPr>
          <w:lang w:val="fr-FR"/>
        </w:rPr>
        <w:t> 98, 112 et [RID]) ».</w:t>
      </w:r>
    </w:p>
    <w:p w:rsidR="0077627A" w:rsidRPr="00F845FC" w:rsidRDefault="0077627A" w:rsidP="00A8309A">
      <w:pPr>
        <w:pStyle w:val="SingleTxtG"/>
        <w:keepNext/>
        <w:spacing w:line="240" w:lineRule="exact"/>
        <w:rPr>
          <w:lang w:val="fr-FR"/>
        </w:rPr>
      </w:pPr>
      <w:r w:rsidRPr="00F845FC">
        <w:rPr>
          <w:i/>
          <w:lang w:val="fr-FR"/>
        </w:rPr>
        <w:t>Paragraphe 6.2.2</w:t>
      </w:r>
      <w:r w:rsidRPr="00F845FC">
        <w:rPr>
          <w:lang w:val="fr-FR"/>
        </w:rPr>
        <w:t>, lire</w:t>
      </w:r>
      <w:r w:rsidR="00B772DF">
        <w:rPr>
          <w:lang w:val="fr-FR"/>
        </w:rPr>
        <w:t> :</w:t>
      </w:r>
    </w:p>
    <w:p w:rsidR="0077627A" w:rsidRPr="00F845FC" w:rsidRDefault="0077627A" w:rsidP="00F32296">
      <w:pPr>
        <w:pStyle w:val="SingleTxtG"/>
        <w:ind w:left="2438" w:hanging="1304"/>
        <w:jc w:val="left"/>
        <w:rPr>
          <w:lang w:val="fr-FR"/>
        </w:rPr>
      </w:pPr>
      <w:r w:rsidRPr="00F845FC">
        <w:rPr>
          <w:lang w:val="fr-FR"/>
        </w:rPr>
        <w:t>« 6.2.2</w:t>
      </w:r>
      <w:r w:rsidRPr="00F845FC">
        <w:rPr>
          <w:lang w:val="fr-FR"/>
        </w:rPr>
        <w:tab/>
        <w:t>Nombre</w:t>
      </w:r>
    </w:p>
    <w:p w:rsidR="0077627A" w:rsidRPr="00F845FC" w:rsidRDefault="0077627A" w:rsidP="00ED13BC">
      <w:pPr>
        <w:pStyle w:val="SingleTxtG"/>
        <w:spacing w:line="240" w:lineRule="exact"/>
        <w:ind w:left="2438"/>
        <w:rPr>
          <w:lang w:val="fr-FR"/>
        </w:rPr>
      </w:pPr>
      <w:r w:rsidRPr="00F845FC">
        <w:rPr>
          <w:lang w:val="fr-FR"/>
        </w:rPr>
        <w:t>Deux, homologués conformément</w:t>
      </w:r>
      <w:r w:rsidR="00B772DF">
        <w:rPr>
          <w:lang w:val="fr-FR"/>
        </w:rPr>
        <w:t xml:space="preserve"> au :</w:t>
      </w:r>
    </w:p>
    <w:p w:rsidR="0077627A" w:rsidRPr="00F845FC" w:rsidRDefault="001F6AC9" w:rsidP="00CD5E4E">
      <w:pPr>
        <w:pStyle w:val="SingleTxtG"/>
        <w:spacing w:line="240" w:lineRule="exact"/>
        <w:ind w:left="3005" w:hanging="567"/>
        <w:rPr>
          <w:lang w:val="fr-FR"/>
        </w:rPr>
      </w:pPr>
      <w:r w:rsidRPr="001F6AC9">
        <w:rPr>
          <w:lang w:val="fr-FR"/>
        </w:rPr>
        <w:t>a)</w:t>
      </w:r>
      <w:r w:rsidRPr="001F6AC9">
        <w:rPr>
          <w:lang w:val="fr-FR"/>
        </w:rPr>
        <w:tab/>
      </w:r>
      <w:r w:rsidR="0077627A" w:rsidRPr="00F845FC">
        <w:rPr>
          <w:lang w:val="fr-FR"/>
        </w:rPr>
        <w:t xml:space="preserve">Règlement </w:t>
      </w:r>
      <w:r w:rsidR="0077627A">
        <w:rPr>
          <w:lang w:val="fr-FR"/>
        </w:rPr>
        <w:t xml:space="preserve">ONU </w:t>
      </w:r>
      <w:r w:rsidR="0077627A" w:rsidRPr="00F845FC">
        <w:rPr>
          <w:rFonts w:eastAsia="MS Mincho"/>
          <w:szCs w:val="22"/>
          <w:lang w:val="fr-FR"/>
        </w:rPr>
        <w:t>n</w:t>
      </w:r>
      <w:r w:rsidR="0077627A" w:rsidRPr="00F845FC">
        <w:rPr>
          <w:rFonts w:eastAsia="MS Mincho"/>
          <w:szCs w:val="22"/>
          <w:vertAlign w:val="superscript"/>
          <w:lang w:val="fr-FR"/>
        </w:rPr>
        <w:t>o</w:t>
      </w:r>
      <w:r w:rsidR="0077627A" w:rsidRPr="00F845FC">
        <w:rPr>
          <w:lang w:val="fr-FR"/>
        </w:rPr>
        <w:t> 98 ou 112, à l</w:t>
      </w:r>
      <w:r w:rsidR="0077627A">
        <w:rPr>
          <w:lang w:val="fr-FR"/>
        </w:rPr>
        <w:t>’</w:t>
      </w:r>
      <w:r w:rsidR="0077627A" w:rsidRPr="00F845FC">
        <w:rPr>
          <w:lang w:val="fr-FR"/>
        </w:rPr>
        <w:t>exclusion</w:t>
      </w:r>
      <w:r>
        <w:rPr>
          <w:lang w:val="fr-FR"/>
        </w:rPr>
        <w:t xml:space="preserve"> des projecteurs de la classe A ;</w:t>
      </w:r>
    </w:p>
    <w:p w:rsidR="0077627A" w:rsidRPr="00F845FC" w:rsidRDefault="0077627A" w:rsidP="00B772DF">
      <w:pPr>
        <w:pStyle w:val="SingleTxtG"/>
        <w:keepNext/>
        <w:spacing w:line="240" w:lineRule="exact"/>
        <w:ind w:left="2438"/>
        <w:rPr>
          <w:lang w:val="fr-FR"/>
        </w:rPr>
      </w:pPr>
      <w:proofErr w:type="gramStart"/>
      <w:r w:rsidRPr="00F845FC">
        <w:rPr>
          <w:lang w:val="fr-FR"/>
        </w:rPr>
        <w:lastRenderedPageBreak/>
        <w:t>ou</w:t>
      </w:r>
      <w:proofErr w:type="gramEnd"/>
    </w:p>
    <w:p w:rsidR="0077627A" w:rsidRPr="00F845FC" w:rsidRDefault="001F6AC9" w:rsidP="00CD5E4E">
      <w:pPr>
        <w:pStyle w:val="SingleTxtG"/>
        <w:spacing w:line="240" w:lineRule="exact"/>
        <w:ind w:left="3005" w:hanging="567"/>
        <w:rPr>
          <w:lang w:val="fr-FR"/>
        </w:rPr>
      </w:pPr>
      <w:r>
        <w:rPr>
          <w:lang w:val="fr-FR"/>
        </w:rPr>
        <w:t>b</w:t>
      </w:r>
      <w:r w:rsidRPr="001F6AC9">
        <w:rPr>
          <w:lang w:val="fr-FR"/>
        </w:rPr>
        <w:t>)</w:t>
      </w:r>
      <w:r w:rsidRPr="001F6AC9">
        <w:rPr>
          <w:lang w:val="fr-FR"/>
        </w:rPr>
        <w:tab/>
      </w:r>
      <w:r w:rsidR="0077627A" w:rsidRPr="00F845FC">
        <w:rPr>
          <w:lang w:val="fr-FR"/>
        </w:rPr>
        <w:t xml:space="preserve">Règlement </w:t>
      </w:r>
      <w:r w:rsidR="0077627A">
        <w:rPr>
          <w:lang w:val="fr-FR"/>
        </w:rPr>
        <w:t xml:space="preserve">ONU </w:t>
      </w:r>
      <w:r w:rsidR="0077627A" w:rsidRPr="00F845FC">
        <w:rPr>
          <w:lang w:val="fr-FR"/>
        </w:rPr>
        <w:t>n</w:t>
      </w:r>
      <w:r w:rsidR="0077627A" w:rsidRPr="00F845FC">
        <w:rPr>
          <w:vertAlign w:val="superscript"/>
          <w:lang w:val="fr-FR"/>
        </w:rPr>
        <w:t>o</w:t>
      </w:r>
      <w:r w:rsidR="00B772DF">
        <w:rPr>
          <w:lang w:val="fr-FR"/>
        </w:rPr>
        <w:t> </w:t>
      </w:r>
      <w:r w:rsidR="0077627A" w:rsidRPr="00F845FC">
        <w:rPr>
          <w:lang w:val="fr-FR"/>
        </w:rPr>
        <w:t>[RID], pour les projecteurs des classes B et D uniquement. ».</w:t>
      </w:r>
    </w:p>
    <w:p w:rsidR="0077627A" w:rsidRPr="00F845FC" w:rsidRDefault="0077627A" w:rsidP="00CD5E4E">
      <w:pPr>
        <w:pStyle w:val="SingleTxtG"/>
        <w:keepNext/>
        <w:spacing w:line="240" w:lineRule="exact"/>
        <w:rPr>
          <w:lang w:val="fr-FR"/>
        </w:rPr>
      </w:pPr>
      <w:r w:rsidRPr="00F845FC">
        <w:rPr>
          <w:i/>
          <w:lang w:val="fr-FR"/>
        </w:rPr>
        <w:t>Paragraphe 6.2.7.3</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6.2.7.3</w:t>
      </w:r>
      <w:r w:rsidRPr="00F845FC">
        <w:rPr>
          <w:lang w:val="fr-FR"/>
        </w:rPr>
        <w:tab/>
        <w:t>Dans le cas de feux de croisement conformes au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98 ou [RID], les sources lumineuses à décharge doivent rester allumées en même temps que les feux de route. ».</w:t>
      </w:r>
    </w:p>
    <w:p w:rsidR="0077627A" w:rsidRPr="00F845FC" w:rsidRDefault="0077627A" w:rsidP="00CD5E4E">
      <w:pPr>
        <w:pStyle w:val="SingleTxtG"/>
        <w:keepNext/>
        <w:spacing w:line="240" w:lineRule="exact"/>
        <w:rPr>
          <w:lang w:val="fr-FR"/>
        </w:rPr>
      </w:pPr>
      <w:r w:rsidRPr="00F845FC">
        <w:rPr>
          <w:i/>
          <w:lang w:val="fr-FR"/>
        </w:rPr>
        <w:t>Paragraphe 6.2.9</w:t>
      </w:r>
      <w:r w:rsidRPr="00F845FC">
        <w:rPr>
          <w:lang w:val="fr-FR"/>
        </w:rPr>
        <w:t>, lire</w:t>
      </w:r>
      <w:r w:rsidR="00B772DF">
        <w:rPr>
          <w:lang w:val="fr-FR"/>
        </w:rPr>
        <w:t> :</w:t>
      </w:r>
    </w:p>
    <w:p w:rsidR="0077627A" w:rsidRPr="00F845FC" w:rsidRDefault="0077627A" w:rsidP="00F32296">
      <w:pPr>
        <w:pStyle w:val="SingleTxtG"/>
        <w:ind w:left="2438" w:hanging="1304"/>
        <w:jc w:val="left"/>
        <w:rPr>
          <w:i/>
          <w:lang w:val="fr-FR"/>
        </w:rPr>
      </w:pPr>
      <w:r w:rsidRPr="00F845FC">
        <w:rPr>
          <w:lang w:val="fr-FR"/>
        </w:rPr>
        <w:t>« 6.2.9</w:t>
      </w:r>
      <w:r w:rsidRPr="00F845FC">
        <w:rPr>
          <w:lang w:val="fr-FR"/>
        </w:rPr>
        <w:tab/>
        <w:t xml:space="preserve">Autres prescriptions </w:t>
      </w:r>
    </w:p>
    <w:p w:rsidR="0077627A" w:rsidRPr="00F845FC" w:rsidRDefault="001F6AC9" w:rsidP="00ED13BC">
      <w:pPr>
        <w:pStyle w:val="SingleTxtG"/>
        <w:spacing w:line="240" w:lineRule="exact"/>
        <w:ind w:left="2438"/>
        <w:rPr>
          <w:lang w:val="fr-FR"/>
        </w:rPr>
      </w:pPr>
      <w:r>
        <w:rPr>
          <w:lang w:val="fr-FR"/>
        </w:rPr>
        <w:t>…</w:t>
      </w:r>
    </w:p>
    <w:p w:rsidR="0077627A" w:rsidRPr="00F845FC" w:rsidRDefault="0077627A" w:rsidP="00ED13BC">
      <w:pPr>
        <w:pStyle w:val="SingleTxtG"/>
        <w:spacing w:line="240" w:lineRule="exact"/>
        <w:ind w:left="2438"/>
        <w:rPr>
          <w:lang w:val="fr-FR"/>
        </w:rPr>
      </w:pPr>
      <w:r w:rsidRPr="00F845FC">
        <w:rPr>
          <w:lang w:val="fr-FR"/>
        </w:rPr>
        <w:t>L</w:t>
      </w:r>
      <w:r>
        <w:rPr>
          <w:lang w:val="fr-FR"/>
        </w:rPr>
        <w:t>’</w:t>
      </w:r>
      <w:r w:rsidRPr="00F845FC">
        <w:rPr>
          <w:lang w:val="fr-FR"/>
        </w:rPr>
        <w:t>éclairage de virage ne peut être obtenu qu</w:t>
      </w:r>
      <w:r>
        <w:rPr>
          <w:lang w:val="fr-FR"/>
        </w:rPr>
        <w:t>’</w:t>
      </w:r>
      <w:r w:rsidRPr="00F845FC">
        <w:rPr>
          <w:lang w:val="fr-FR"/>
        </w:rPr>
        <w:t xml:space="preserve">au moyen de feux de croisement conformes aux Règlements </w:t>
      </w:r>
      <w:r>
        <w:rPr>
          <w:lang w:val="fr-FR"/>
        </w:rPr>
        <w:t xml:space="preserve">ONU </w:t>
      </w:r>
      <w:r w:rsidRPr="00F845FC">
        <w:rPr>
          <w:rFonts w:eastAsia="MS Mincho"/>
          <w:szCs w:val="22"/>
          <w:lang w:val="fr-FR"/>
        </w:rPr>
        <w:t>n</w:t>
      </w:r>
      <w:r w:rsidRPr="00F845FC">
        <w:rPr>
          <w:rFonts w:eastAsia="MS Mincho"/>
          <w:szCs w:val="22"/>
          <w:vertAlign w:val="superscript"/>
          <w:lang w:val="fr-FR"/>
        </w:rPr>
        <w:t>os</w:t>
      </w:r>
      <w:r w:rsidRPr="00F845FC">
        <w:rPr>
          <w:lang w:val="fr-FR"/>
        </w:rPr>
        <w:t> 98, 112 ou [RID].</w:t>
      </w:r>
    </w:p>
    <w:p w:rsidR="0077627A" w:rsidRPr="00F845FC" w:rsidRDefault="001F6AC9" w:rsidP="00ED13BC">
      <w:pPr>
        <w:pStyle w:val="SingleTxtG"/>
        <w:spacing w:line="240" w:lineRule="exact"/>
        <w:ind w:left="2438"/>
        <w:rPr>
          <w:lang w:val="fr-FR"/>
        </w:rPr>
      </w:pPr>
      <w:r>
        <w:rPr>
          <w:lang w:val="fr-FR"/>
        </w:rPr>
        <w:t>…</w:t>
      </w:r>
      <w:r w:rsidR="0077627A" w:rsidRPr="00F845FC">
        <w:rPr>
          <w:lang w:val="fr-FR"/>
        </w:rPr>
        <w:t> ».</w:t>
      </w:r>
    </w:p>
    <w:p w:rsidR="0077627A" w:rsidRPr="00F845FC" w:rsidRDefault="0077627A" w:rsidP="00CD5E4E">
      <w:pPr>
        <w:pStyle w:val="SingleTxtG"/>
        <w:keepNext/>
        <w:spacing w:line="240" w:lineRule="exact"/>
        <w:rPr>
          <w:lang w:val="fr-FR"/>
        </w:rPr>
      </w:pPr>
      <w:r w:rsidRPr="00F845FC">
        <w:rPr>
          <w:i/>
          <w:lang w:val="fr-FR"/>
        </w:rPr>
        <w:t>Paragraphe 6.3</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6.3</w:t>
      </w:r>
      <w:r w:rsidRPr="00F845FC">
        <w:rPr>
          <w:lang w:val="fr-FR"/>
        </w:rPr>
        <w:tab/>
        <w:t>Feu de brouillard avant (Règlement</w:t>
      </w:r>
      <w:r>
        <w:rPr>
          <w:lang w:val="fr-FR"/>
        </w:rPr>
        <w:t xml:space="preserve"> ONU </w:t>
      </w:r>
      <w:r w:rsidRPr="00F845FC">
        <w:rPr>
          <w:rFonts w:eastAsia="MS Mincho"/>
          <w:szCs w:val="22"/>
          <w:lang w:val="fr-FR"/>
        </w:rPr>
        <w:t>n</w:t>
      </w:r>
      <w:r w:rsidRPr="00F845FC">
        <w:rPr>
          <w:rFonts w:eastAsia="MS Mincho"/>
          <w:szCs w:val="22"/>
          <w:vertAlign w:val="superscript"/>
          <w:lang w:val="fr-FR"/>
        </w:rPr>
        <w:t>o</w:t>
      </w:r>
      <w:r w:rsidRPr="00F845FC">
        <w:rPr>
          <w:lang w:val="fr-FR"/>
        </w:rPr>
        <w:t> 19 ou [RID]) ».</w:t>
      </w:r>
    </w:p>
    <w:p w:rsidR="0077627A" w:rsidRPr="00F845FC" w:rsidRDefault="0077627A" w:rsidP="00CD5E4E">
      <w:pPr>
        <w:pStyle w:val="SingleTxtG"/>
        <w:keepNext/>
        <w:spacing w:line="240" w:lineRule="exact"/>
        <w:rPr>
          <w:lang w:val="fr-FR"/>
        </w:rPr>
      </w:pPr>
      <w:r w:rsidRPr="00F845FC">
        <w:rPr>
          <w:i/>
          <w:lang w:val="fr-FR"/>
        </w:rPr>
        <w:t>Paragraphe 6.3.2</w:t>
      </w:r>
      <w:r w:rsidRPr="00F845FC">
        <w:rPr>
          <w:lang w:val="fr-FR"/>
        </w:rPr>
        <w:t>, lire</w:t>
      </w:r>
      <w:r w:rsidR="00B772DF">
        <w:rPr>
          <w:lang w:val="fr-FR"/>
        </w:rPr>
        <w:t> :</w:t>
      </w:r>
    </w:p>
    <w:p w:rsidR="0077627A" w:rsidRPr="00F845FC" w:rsidRDefault="0077627A" w:rsidP="00A301AC">
      <w:pPr>
        <w:pStyle w:val="SingleTxtG"/>
        <w:ind w:left="2438" w:hanging="1304"/>
        <w:rPr>
          <w:iCs/>
          <w:lang w:val="fr-FR"/>
        </w:rPr>
      </w:pPr>
      <w:r w:rsidRPr="00F845FC">
        <w:rPr>
          <w:lang w:val="fr-FR"/>
        </w:rPr>
        <w:t>« 6.3.2</w:t>
      </w:r>
      <w:r w:rsidRPr="00F845FC">
        <w:rPr>
          <w:lang w:val="fr-FR"/>
        </w:rPr>
        <w:tab/>
        <w:t>Nombre</w:t>
      </w:r>
    </w:p>
    <w:p w:rsidR="0077627A" w:rsidRPr="00F845FC" w:rsidRDefault="0077627A" w:rsidP="00ED13BC">
      <w:pPr>
        <w:pStyle w:val="SingleTxtG"/>
        <w:spacing w:line="240" w:lineRule="exact"/>
        <w:ind w:left="2438"/>
        <w:rPr>
          <w:bCs/>
          <w:lang w:val="fr-FR"/>
        </w:rPr>
      </w:pPr>
      <w:r w:rsidRPr="00F845FC">
        <w:rPr>
          <w:lang w:val="fr-FR"/>
        </w:rPr>
        <w:t>Deux, conformes aux prescriptions soit de la série 03 et des séries ultérieures d</w:t>
      </w:r>
      <w:r>
        <w:rPr>
          <w:lang w:val="fr-FR"/>
        </w:rPr>
        <w:t>’</w:t>
      </w:r>
      <w:r w:rsidRPr="00F845FC">
        <w:rPr>
          <w:lang w:val="fr-FR"/>
        </w:rPr>
        <w:t xml:space="preserve">amendements au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xml:space="preserve"> 19, soit du Règlement </w:t>
      </w:r>
      <w:r w:rsidR="00473663">
        <w:rPr>
          <w:lang w:val="fr-FR"/>
        </w:rPr>
        <w:t xml:space="preserve">ONU </w:t>
      </w:r>
      <w:r w:rsidRPr="00F845FC">
        <w:rPr>
          <w:lang w:val="fr-FR"/>
        </w:rPr>
        <w:t>n</w:t>
      </w:r>
      <w:r w:rsidRPr="00F845FC">
        <w:rPr>
          <w:vertAlign w:val="superscript"/>
          <w:lang w:val="fr-FR"/>
        </w:rPr>
        <w:t>o</w:t>
      </w:r>
      <w:r w:rsidRPr="00F845FC">
        <w:rPr>
          <w:lang w:val="fr-FR"/>
        </w:rPr>
        <w:t> [RID]. ».</w:t>
      </w:r>
    </w:p>
    <w:p w:rsidR="0077627A" w:rsidRPr="00F845FC" w:rsidRDefault="0077627A" w:rsidP="00CD5E4E">
      <w:pPr>
        <w:pStyle w:val="SingleTxtG"/>
        <w:keepNext/>
        <w:spacing w:line="240" w:lineRule="exact"/>
        <w:rPr>
          <w:lang w:val="fr-FR"/>
        </w:rPr>
      </w:pPr>
      <w:r w:rsidRPr="00F845FC">
        <w:rPr>
          <w:i/>
          <w:lang w:val="fr-FR"/>
        </w:rPr>
        <w:t>Paragraphe 6.3.9</w:t>
      </w:r>
      <w:r w:rsidRPr="00F845FC">
        <w:rPr>
          <w:lang w:val="fr-FR"/>
        </w:rPr>
        <w:t>, lire</w:t>
      </w:r>
      <w:r w:rsidR="00B772DF">
        <w:rPr>
          <w:lang w:val="fr-FR"/>
        </w:rPr>
        <w:t> :</w:t>
      </w:r>
    </w:p>
    <w:p w:rsidR="0077627A" w:rsidRPr="00F845FC" w:rsidRDefault="0077627A" w:rsidP="00F32296">
      <w:pPr>
        <w:pStyle w:val="SingleTxtG"/>
        <w:ind w:left="2438" w:hanging="1304"/>
        <w:jc w:val="left"/>
        <w:rPr>
          <w:u w:val="single"/>
          <w:lang w:val="fr-FR"/>
        </w:rPr>
      </w:pPr>
      <w:r w:rsidRPr="00F845FC">
        <w:rPr>
          <w:lang w:val="fr-FR"/>
        </w:rPr>
        <w:t>« 6.3.9</w:t>
      </w:r>
      <w:r w:rsidRPr="00F845FC">
        <w:rPr>
          <w:lang w:val="fr-FR"/>
        </w:rPr>
        <w:tab/>
        <w:t>Autres prescriptions</w:t>
      </w:r>
    </w:p>
    <w:p w:rsidR="0077627A" w:rsidRPr="00F845FC" w:rsidRDefault="0077627A" w:rsidP="00ED13BC">
      <w:pPr>
        <w:pStyle w:val="SingleTxtG"/>
        <w:spacing w:line="240" w:lineRule="exact"/>
        <w:ind w:left="2438"/>
        <w:rPr>
          <w:lang w:val="fr-FR"/>
        </w:rPr>
      </w:pPr>
      <w:r w:rsidRPr="00FD49C7">
        <w:rPr>
          <w:spacing w:val="-2"/>
          <w:lang w:val="fr-FR"/>
        </w:rPr>
        <w:t xml:space="preserve">En cas de réponse affirmative à la question posée dans la fiche d’information figurant à l’annexe 1 du Règlement ONU </w:t>
      </w:r>
      <w:r w:rsidRPr="00FD49C7">
        <w:rPr>
          <w:rFonts w:eastAsia="MS Mincho"/>
          <w:spacing w:val="-2"/>
          <w:szCs w:val="22"/>
          <w:lang w:val="fr-FR"/>
        </w:rPr>
        <w:t>n</w:t>
      </w:r>
      <w:r w:rsidRPr="00FD49C7">
        <w:rPr>
          <w:rFonts w:eastAsia="MS Mincho"/>
          <w:spacing w:val="-2"/>
          <w:szCs w:val="22"/>
          <w:vertAlign w:val="superscript"/>
          <w:lang w:val="fr-FR"/>
        </w:rPr>
        <w:t>o</w:t>
      </w:r>
      <w:r w:rsidRPr="00FD49C7">
        <w:rPr>
          <w:spacing w:val="-2"/>
          <w:lang w:val="fr-FR"/>
        </w:rPr>
        <w:t xml:space="preserve"> 19 ou à l’annexe 1 </w:t>
      </w:r>
      <w:r w:rsidRPr="00F845FC">
        <w:rPr>
          <w:lang w:val="fr-FR"/>
        </w:rPr>
        <w:t xml:space="preserve">du Règlement </w:t>
      </w:r>
      <w:r>
        <w:rPr>
          <w:lang w:val="fr-FR"/>
        </w:rPr>
        <w:t xml:space="preserve">ONU </w:t>
      </w:r>
      <w:r w:rsidRPr="00F845FC">
        <w:rPr>
          <w:lang w:val="fr-FR"/>
        </w:rPr>
        <w:t>n</w:t>
      </w:r>
      <w:r w:rsidRPr="00F845FC">
        <w:rPr>
          <w:vertAlign w:val="superscript"/>
          <w:lang w:val="fr-FR"/>
        </w:rPr>
        <w:t>o</w:t>
      </w:r>
      <w:r>
        <w:rPr>
          <w:lang w:val="fr-FR"/>
        </w:rPr>
        <w:t xml:space="preserve"> </w:t>
      </w:r>
      <w:r w:rsidRPr="00F845FC">
        <w:rPr>
          <w:lang w:val="fr-FR"/>
        </w:rPr>
        <w:t>[RID], l</w:t>
      </w:r>
      <w:r>
        <w:rPr>
          <w:lang w:val="fr-FR"/>
        </w:rPr>
        <w:t>’</w:t>
      </w:r>
      <w:r w:rsidRPr="00F845FC">
        <w:rPr>
          <w:lang w:val="fr-FR"/>
        </w:rPr>
        <w:t>alignement et les intensités lumineuses du faisceau de brouillard de la classe F3 peuvent être ajustés automatiquement</w:t>
      </w:r>
      <w:r>
        <w:rPr>
          <w:lang w:val="fr-FR"/>
        </w:rPr>
        <w:t>…</w:t>
      </w:r>
      <w:r w:rsidRPr="00F845FC">
        <w:rPr>
          <w:lang w:val="fr-FR"/>
        </w:rPr>
        <w:t> ».</w:t>
      </w:r>
    </w:p>
    <w:p w:rsidR="0077627A" w:rsidRPr="00F845FC" w:rsidRDefault="0077627A" w:rsidP="00CD5E4E">
      <w:pPr>
        <w:pStyle w:val="SingleTxtG"/>
        <w:keepNext/>
        <w:spacing w:line="240" w:lineRule="exact"/>
        <w:rPr>
          <w:lang w:val="fr-FR"/>
        </w:rPr>
      </w:pPr>
      <w:r w:rsidRPr="0075788C">
        <w:rPr>
          <w:i/>
          <w:lang w:val="fr-FR"/>
        </w:rPr>
        <w:t>Paragraphe</w:t>
      </w:r>
      <w:r w:rsidRPr="00F845FC">
        <w:rPr>
          <w:i/>
          <w:lang w:val="fr-FR"/>
        </w:rPr>
        <w:t xml:space="preserve"> 6.4</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6.4</w:t>
      </w:r>
      <w:r w:rsidRPr="00F845FC">
        <w:rPr>
          <w:lang w:val="fr-FR"/>
        </w:rPr>
        <w:tab/>
        <w:t>Feu de marche arrière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23 ou [LSD]) ».</w:t>
      </w:r>
    </w:p>
    <w:p w:rsidR="0077627A" w:rsidRPr="00F845FC" w:rsidRDefault="0077627A" w:rsidP="00CD5E4E">
      <w:pPr>
        <w:pStyle w:val="SingleTxtG"/>
        <w:keepNext/>
        <w:spacing w:line="240" w:lineRule="exact"/>
        <w:rPr>
          <w:lang w:val="fr-FR"/>
        </w:rPr>
      </w:pPr>
      <w:r w:rsidRPr="00F845FC">
        <w:rPr>
          <w:i/>
          <w:lang w:val="fr-FR"/>
        </w:rPr>
        <w:t>Paragraphe 6.5</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6.5</w:t>
      </w:r>
      <w:r w:rsidRPr="00F845FC">
        <w:rPr>
          <w:lang w:val="fr-FR"/>
        </w:rPr>
        <w:tab/>
        <w:t>Feu indicateur de direction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6 ou [LSD]) ».</w:t>
      </w:r>
    </w:p>
    <w:p w:rsidR="0077627A" w:rsidRPr="00F845FC" w:rsidRDefault="0077627A" w:rsidP="00CD5E4E">
      <w:pPr>
        <w:pStyle w:val="SingleTxtG"/>
        <w:keepNext/>
        <w:spacing w:line="240" w:lineRule="exact"/>
        <w:rPr>
          <w:lang w:val="fr-FR"/>
        </w:rPr>
      </w:pPr>
      <w:r w:rsidRPr="00F845FC">
        <w:rPr>
          <w:i/>
          <w:lang w:val="fr-FR"/>
        </w:rPr>
        <w:t>Paragraphe 6.5.8</w:t>
      </w:r>
      <w:r w:rsidRPr="00F845FC">
        <w:rPr>
          <w:lang w:val="fr-FR"/>
        </w:rPr>
        <w:t>, lire</w:t>
      </w:r>
      <w:r w:rsidR="00B772DF">
        <w:rPr>
          <w:lang w:val="fr-FR"/>
        </w:rPr>
        <w:t> :</w:t>
      </w:r>
    </w:p>
    <w:p w:rsidR="0077627A" w:rsidRPr="00F845FC" w:rsidRDefault="0077627A" w:rsidP="00F32296">
      <w:pPr>
        <w:pStyle w:val="SingleTxtG"/>
        <w:ind w:left="2438" w:hanging="1304"/>
        <w:jc w:val="left"/>
        <w:rPr>
          <w:lang w:val="fr-FR"/>
        </w:rPr>
      </w:pPr>
      <w:r w:rsidRPr="00F845FC">
        <w:rPr>
          <w:lang w:val="fr-FR"/>
        </w:rPr>
        <w:t>« 6.5.8</w:t>
      </w:r>
      <w:r w:rsidRPr="00F845FC">
        <w:rPr>
          <w:lang w:val="fr-FR"/>
        </w:rPr>
        <w:tab/>
        <w:t>Témoin</w:t>
      </w:r>
    </w:p>
    <w:p w:rsidR="0077627A" w:rsidRPr="00F845FC" w:rsidRDefault="001F6AC9" w:rsidP="00ED13BC">
      <w:pPr>
        <w:pStyle w:val="SingleTxtG"/>
        <w:spacing w:line="240" w:lineRule="exact"/>
        <w:ind w:left="2438"/>
        <w:rPr>
          <w:lang w:val="fr-FR"/>
        </w:rPr>
      </w:pPr>
      <w:r>
        <w:rPr>
          <w:lang w:val="fr-FR"/>
        </w:rPr>
        <w:t>…</w:t>
      </w:r>
    </w:p>
    <w:p w:rsidR="0077627A" w:rsidRPr="00F845FC" w:rsidRDefault="0077627A" w:rsidP="00ED13BC">
      <w:pPr>
        <w:pStyle w:val="SingleTxtG"/>
        <w:spacing w:line="240" w:lineRule="exact"/>
        <w:ind w:left="2438"/>
        <w:rPr>
          <w:lang w:val="fr-FR"/>
        </w:rPr>
      </w:pPr>
      <w:r w:rsidRPr="00F845FC">
        <w:rPr>
          <w:lang w:val="fr-FR"/>
        </w:rPr>
        <w:t xml:space="preserve">Il doit être activé par le signal produit conformément au paragraphe 6.2.2 du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xml:space="preserve"> 6 ou au paragraphe 5.6.3 du Règlement </w:t>
      </w:r>
      <w:r>
        <w:rPr>
          <w:lang w:val="fr-FR"/>
        </w:rPr>
        <w:t xml:space="preserve">ONU </w:t>
      </w:r>
      <w:r w:rsidRPr="00F845FC">
        <w:rPr>
          <w:lang w:val="fr-FR"/>
        </w:rPr>
        <w:t>n</w:t>
      </w:r>
      <w:r w:rsidRPr="00F845FC">
        <w:rPr>
          <w:vertAlign w:val="superscript"/>
          <w:lang w:val="fr-FR"/>
        </w:rPr>
        <w:t>o</w:t>
      </w:r>
      <w:r w:rsidRPr="00F845FC">
        <w:rPr>
          <w:lang w:val="fr-FR"/>
        </w:rPr>
        <w:t> [LSD], ou d</w:t>
      </w:r>
      <w:r>
        <w:rPr>
          <w:lang w:val="fr-FR"/>
        </w:rPr>
        <w:t>’</w:t>
      </w:r>
      <w:r w:rsidRPr="00F845FC">
        <w:rPr>
          <w:lang w:val="fr-FR"/>
        </w:rPr>
        <w:t>une autre manière qui convient</w:t>
      </w:r>
      <w:r w:rsidRPr="0076044F">
        <w:rPr>
          <w:sz w:val="18"/>
          <w:szCs w:val="18"/>
          <w:vertAlign w:val="superscript"/>
          <w:lang w:val="fr-FR"/>
        </w:rPr>
        <w:t>13</w:t>
      </w:r>
      <w:r w:rsidRPr="00F845FC">
        <w:rPr>
          <w:lang w:val="fr-FR"/>
        </w:rPr>
        <w:t>.</w:t>
      </w:r>
    </w:p>
    <w:p w:rsidR="0077627A" w:rsidRPr="00F845FC" w:rsidRDefault="001F6AC9" w:rsidP="00ED13BC">
      <w:pPr>
        <w:pStyle w:val="SingleTxtG"/>
        <w:spacing w:line="240" w:lineRule="exact"/>
        <w:ind w:left="2438"/>
        <w:rPr>
          <w:lang w:val="fr-FR"/>
        </w:rPr>
      </w:pPr>
      <w:r>
        <w:rPr>
          <w:lang w:val="fr-FR"/>
        </w:rPr>
        <w:t>…</w:t>
      </w:r>
      <w:r w:rsidR="0077627A" w:rsidRPr="00F845FC">
        <w:rPr>
          <w:lang w:val="fr-FR"/>
        </w:rPr>
        <w:t> ».</w:t>
      </w:r>
    </w:p>
    <w:p w:rsidR="0077627A" w:rsidRPr="00F845FC" w:rsidRDefault="0077627A" w:rsidP="00CD5E4E">
      <w:pPr>
        <w:pStyle w:val="SingleTxtG"/>
        <w:keepNext/>
        <w:spacing w:line="240" w:lineRule="exact"/>
        <w:rPr>
          <w:lang w:val="fr-FR"/>
        </w:rPr>
      </w:pPr>
      <w:r w:rsidRPr="00F845FC">
        <w:rPr>
          <w:i/>
          <w:lang w:val="fr-FR"/>
        </w:rPr>
        <w:t>Paragraphe 6.7</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6.7</w:t>
      </w:r>
      <w:r w:rsidRPr="00F845FC">
        <w:rPr>
          <w:lang w:val="fr-FR"/>
        </w:rPr>
        <w:tab/>
        <w:t>Feu-stop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7 ou [LSD]) ».</w:t>
      </w:r>
    </w:p>
    <w:p w:rsidR="0077627A" w:rsidRPr="00F845FC" w:rsidRDefault="0077627A" w:rsidP="00CD5E4E">
      <w:pPr>
        <w:pStyle w:val="SingleTxtG"/>
        <w:keepNext/>
        <w:spacing w:line="240" w:lineRule="exact"/>
        <w:rPr>
          <w:lang w:val="fr-FR"/>
        </w:rPr>
      </w:pPr>
      <w:r w:rsidRPr="00F845FC">
        <w:rPr>
          <w:i/>
          <w:lang w:val="fr-FR"/>
        </w:rPr>
        <w:t>Paragraphe 6.8</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6.8</w:t>
      </w:r>
      <w:r w:rsidRPr="00F845FC">
        <w:rPr>
          <w:lang w:val="fr-FR"/>
        </w:rPr>
        <w:tab/>
        <w:t>Dispositif d</w:t>
      </w:r>
      <w:r>
        <w:rPr>
          <w:lang w:val="fr-FR"/>
        </w:rPr>
        <w:t>’</w:t>
      </w:r>
      <w:r w:rsidRPr="00F845FC">
        <w:rPr>
          <w:lang w:val="fr-FR"/>
        </w:rPr>
        <w:t>éclairage de la plaque d</w:t>
      </w:r>
      <w:r>
        <w:rPr>
          <w:lang w:val="fr-FR"/>
        </w:rPr>
        <w:t>’</w:t>
      </w:r>
      <w:r w:rsidRPr="00F845FC">
        <w:rPr>
          <w:lang w:val="fr-FR"/>
        </w:rPr>
        <w:t>immatriculation arrière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4 ou [LSD]) ».</w:t>
      </w:r>
    </w:p>
    <w:p w:rsidR="0077627A" w:rsidRPr="00F845FC" w:rsidRDefault="0077627A" w:rsidP="00CD5E4E">
      <w:pPr>
        <w:pStyle w:val="SingleTxtG"/>
        <w:keepNext/>
        <w:spacing w:line="240" w:lineRule="exact"/>
        <w:rPr>
          <w:lang w:val="fr-FR"/>
        </w:rPr>
      </w:pPr>
      <w:r w:rsidRPr="00F845FC">
        <w:rPr>
          <w:i/>
          <w:lang w:val="fr-FR"/>
        </w:rPr>
        <w:lastRenderedPageBreak/>
        <w:t>Paragraphe 6.9</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6.9</w:t>
      </w:r>
      <w:r w:rsidRPr="00F845FC">
        <w:rPr>
          <w:lang w:val="fr-FR"/>
        </w:rPr>
        <w:tab/>
        <w:t>Feu de position avant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7 ou [LSD]) ».</w:t>
      </w:r>
    </w:p>
    <w:p w:rsidR="0077627A" w:rsidRPr="00F845FC" w:rsidRDefault="0077627A" w:rsidP="00CD5E4E">
      <w:pPr>
        <w:pStyle w:val="SingleTxtG"/>
        <w:keepNext/>
        <w:spacing w:line="240" w:lineRule="exact"/>
        <w:rPr>
          <w:lang w:val="fr-FR"/>
        </w:rPr>
      </w:pPr>
      <w:r w:rsidRPr="00F845FC">
        <w:rPr>
          <w:i/>
          <w:lang w:val="fr-FR"/>
        </w:rPr>
        <w:t>Paragraphe 6.10</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6.10</w:t>
      </w:r>
      <w:r w:rsidRPr="00F845FC">
        <w:rPr>
          <w:lang w:val="fr-FR"/>
        </w:rPr>
        <w:tab/>
        <w:t>Feu de position arrière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7 ou [LSD]) ».</w:t>
      </w:r>
    </w:p>
    <w:p w:rsidR="0077627A" w:rsidRPr="00F845FC" w:rsidRDefault="0077627A" w:rsidP="00CD5E4E">
      <w:pPr>
        <w:pStyle w:val="SingleTxtG"/>
        <w:keepNext/>
        <w:spacing w:line="240" w:lineRule="exact"/>
        <w:rPr>
          <w:lang w:val="fr-FR"/>
        </w:rPr>
      </w:pPr>
      <w:r w:rsidRPr="00F845FC">
        <w:rPr>
          <w:i/>
          <w:lang w:val="fr-FR"/>
        </w:rPr>
        <w:t>Paragraphe 6.11</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6.11</w:t>
      </w:r>
      <w:r w:rsidRPr="00F845FC">
        <w:rPr>
          <w:lang w:val="fr-FR"/>
        </w:rPr>
        <w:tab/>
        <w:t>Feu de brouillard arrière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38 ou [LSD]) ».</w:t>
      </w:r>
    </w:p>
    <w:p w:rsidR="0077627A" w:rsidRPr="00F845FC" w:rsidRDefault="0077627A" w:rsidP="00CD5E4E">
      <w:pPr>
        <w:pStyle w:val="SingleTxtG"/>
        <w:keepNext/>
        <w:spacing w:line="240" w:lineRule="exact"/>
        <w:rPr>
          <w:lang w:val="fr-FR"/>
        </w:rPr>
      </w:pPr>
      <w:r w:rsidRPr="00F845FC">
        <w:rPr>
          <w:i/>
          <w:lang w:val="fr-FR"/>
        </w:rPr>
        <w:t>Paragraphe 6.12</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6.12</w:t>
      </w:r>
      <w:r w:rsidRPr="00F845FC">
        <w:rPr>
          <w:lang w:val="fr-FR"/>
        </w:rPr>
        <w:tab/>
        <w:t>Feu de stationnement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77 ou 7 ou [LSD]) ».</w:t>
      </w:r>
    </w:p>
    <w:p w:rsidR="0077627A" w:rsidRPr="00F845FC" w:rsidRDefault="0077627A" w:rsidP="00CD5E4E">
      <w:pPr>
        <w:pStyle w:val="SingleTxtG"/>
        <w:keepNext/>
        <w:spacing w:line="240" w:lineRule="exact"/>
        <w:rPr>
          <w:lang w:val="fr-FR"/>
        </w:rPr>
      </w:pPr>
      <w:r w:rsidRPr="00F845FC">
        <w:rPr>
          <w:i/>
          <w:lang w:val="fr-FR"/>
        </w:rPr>
        <w:t>Paragraphe 6.13</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6.13</w:t>
      </w:r>
      <w:r w:rsidRPr="00F845FC">
        <w:rPr>
          <w:lang w:val="fr-FR"/>
        </w:rPr>
        <w:tab/>
        <w:t>Feu d</w:t>
      </w:r>
      <w:r>
        <w:rPr>
          <w:lang w:val="fr-FR"/>
        </w:rPr>
        <w:t>’</w:t>
      </w:r>
      <w:r w:rsidRPr="00F845FC">
        <w:rPr>
          <w:lang w:val="fr-FR"/>
        </w:rPr>
        <w:t xml:space="preserve">encombrement (feu de gabarit)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7 ou [LSD]) ».</w:t>
      </w:r>
    </w:p>
    <w:p w:rsidR="0077627A" w:rsidRPr="00F845FC" w:rsidRDefault="0077627A" w:rsidP="00CD5E4E">
      <w:pPr>
        <w:pStyle w:val="SingleTxtG"/>
        <w:keepNext/>
        <w:spacing w:line="240" w:lineRule="exact"/>
        <w:rPr>
          <w:lang w:val="fr-FR"/>
        </w:rPr>
      </w:pPr>
      <w:r w:rsidRPr="00F845FC">
        <w:rPr>
          <w:i/>
          <w:lang w:val="fr-FR"/>
        </w:rPr>
        <w:t>Paragraphe 6.14</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6.14</w:t>
      </w:r>
      <w:r w:rsidRPr="00F845FC">
        <w:rPr>
          <w:lang w:val="fr-FR"/>
        </w:rPr>
        <w:tab/>
        <w:t>Catadioptre arrière, non triangulaire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3 ou [RRD]) ».</w:t>
      </w:r>
    </w:p>
    <w:p w:rsidR="0077627A" w:rsidRPr="00F845FC" w:rsidRDefault="0077627A" w:rsidP="00CD5E4E">
      <w:pPr>
        <w:pStyle w:val="SingleTxtG"/>
        <w:keepNext/>
        <w:spacing w:line="240" w:lineRule="exact"/>
        <w:rPr>
          <w:lang w:val="fr-FR"/>
        </w:rPr>
      </w:pPr>
      <w:r w:rsidRPr="00F845FC">
        <w:rPr>
          <w:i/>
          <w:lang w:val="fr-FR"/>
        </w:rPr>
        <w:t>Paragraphe 6.14.2</w:t>
      </w:r>
      <w:r w:rsidRPr="00F845FC">
        <w:rPr>
          <w:lang w:val="fr-FR"/>
        </w:rPr>
        <w:t>, lire</w:t>
      </w:r>
      <w:r w:rsidR="00B772DF">
        <w:rPr>
          <w:lang w:val="fr-FR"/>
        </w:rPr>
        <w:t> :</w:t>
      </w:r>
    </w:p>
    <w:p w:rsidR="0077627A" w:rsidRPr="00F845FC" w:rsidRDefault="0077627A" w:rsidP="00F32296">
      <w:pPr>
        <w:pStyle w:val="SingleTxtG"/>
        <w:ind w:left="2438" w:hanging="1304"/>
        <w:jc w:val="left"/>
        <w:rPr>
          <w:lang w:val="fr-FR"/>
        </w:rPr>
      </w:pPr>
      <w:r w:rsidRPr="00F845FC">
        <w:rPr>
          <w:lang w:val="fr-FR"/>
        </w:rPr>
        <w:t>« 6.14.2</w:t>
      </w:r>
      <w:r w:rsidRPr="00F845FC">
        <w:rPr>
          <w:lang w:val="fr-FR"/>
        </w:rPr>
        <w:tab/>
        <w:t>Nombre</w:t>
      </w:r>
    </w:p>
    <w:p w:rsidR="0077627A" w:rsidRPr="00F845FC" w:rsidRDefault="0077627A" w:rsidP="00ED13BC">
      <w:pPr>
        <w:pStyle w:val="SingleTxtG"/>
        <w:spacing w:line="240" w:lineRule="exact"/>
        <w:ind w:left="2438"/>
        <w:rPr>
          <w:lang w:val="fr-FR"/>
        </w:rPr>
      </w:pPr>
      <w:r w:rsidRPr="00F845FC">
        <w:rPr>
          <w:lang w:val="fr-FR"/>
        </w:rPr>
        <w:t>Deux, dont les performances doivent être conformes aux prescriptions concernant les catadioptres de la classe IA ou IB, énoncées dans le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3 ou [RRD]. Les dispositifs et matériaux réfléchissants supplémentaires (y compris deux catadioptres ne répondant pas aux dispositions du paragraphe 6.14.4 ci-dessous) sont autorisés à condition qu</w:t>
      </w:r>
      <w:r>
        <w:rPr>
          <w:lang w:val="fr-FR"/>
        </w:rPr>
        <w:t>’</w:t>
      </w:r>
      <w:r w:rsidRPr="00F845FC">
        <w:rPr>
          <w:lang w:val="fr-FR"/>
        </w:rPr>
        <w:t>ils ne nuisent pas à l</w:t>
      </w:r>
      <w:r>
        <w:rPr>
          <w:lang w:val="fr-FR"/>
        </w:rPr>
        <w:t>’</w:t>
      </w:r>
      <w:r w:rsidRPr="00F845FC">
        <w:rPr>
          <w:lang w:val="fr-FR"/>
        </w:rPr>
        <w:t>efficacité des dispositifs obligatoires d</w:t>
      </w:r>
      <w:r>
        <w:rPr>
          <w:lang w:val="fr-FR"/>
        </w:rPr>
        <w:t>’</w:t>
      </w:r>
      <w:r w:rsidRPr="00F845FC">
        <w:rPr>
          <w:lang w:val="fr-FR"/>
        </w:rPr>
        <w:t>éclairage et de signalisation lumineuse. ».</w:t>
      </w:r>
    </w:p>
    <w:p w:rsidR="0077627A" w:rsidRPr="00F845FC" w:rsidRDefault="0077627A" w:rsidP="00591E37">
      <w:pPr>
        <w:pStyle w:val="SingleTxtG"/>
        <w:keepNext/>
        <w:spacing w:line="240" w:lineRule="exact"/>
        <w:rPr>
          <w:lang w:val="fr-FR"/>
        </w:rPr>
      </w:pPr>
      <w:r w:rsidRPr="00F845FC">
        <w:rPr>
          <w:i/>
          <w:lang w:val="fr-FR"/>
        </w:rPr>
        <w:t>Paragraphe 6.15</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6.15</w:t>
      </w:r>
      <w:r w:rsidRPr="00F845FC">
        <w:rPr>
          <w:lang w:val="fr-FR"/>
        </w:rPr>
        <w:tab/>
        <w:t>Catadioptre arrière, triangulaire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3 ou [RRD]) ».</w:t>
      </w:r>
    </w:p>
    <w:p w:rsidR="0077627A" w:rsidRPr="00F845FC" w:rsidRDefault="0077627A" w:rsidP="00CD5E4E">
      <w:pPr>
        <w:pStyle w:val="SingleTxtG"/>
        <w:keepNext/>
        <w:spacing w:line="240" w:lineRule="exact"/>
        <w:rPr>
          <w:lang w:val="fr-FR"/>
        </w:rPr>
      </w:pPr>
      <w:r w:rsidRPr="00F845FC">
        <w:rPr>
          <w:i/>
          <w:lang w:val="fr-FR"/>
        </w:rPr>
        <w:t>Paragraphe 6.15.2</w:t>
      </w:r>
      <w:r w:rsidRPr="00F845FC">
        <w:rPr>
          <w:lang w:val="fr-FR"/>
        </w:rPr>
        <w:t>, lire</w:t>
      </w:r>
      <w:r w:rsidR="00B772DF">
        <w:rPr>
          <w:lang w:val="fr-FR"/>
        </w:rPr>
        <w:t> :</w:t>
      </w:r>
    </w:p>
    <w:p w:rsidR="0077627A" w:rsidRPr="00F845FC" w:rsidRDefault="0077627A" w:rsidP="00F32296">
      <w:pPr>
        <w:pStyle w:val="SingleTxtG"/>
        <w:ind w:left="2438" w:hanging="1304"/>
        <w:jc w:val="left"/>
        <w:rPr>
          <w:lang w:val="fr-FR"/>
        </w:rPr>
      </w:pPr>
      <w:r w:rsidRPr="00F845FC">
        <w:rPr>
          <w:lang w:val="fr-FR"/>
        </w:rPr>
        <w:t>« 6.15.2</w:t>
      </w:r>
      <w:r w:rsidRPr="00F845FC">
        <w:rPr>
          <w:lang w:val="fr-FR"/>
        </w:rPr>
        <w:tab/>
        <w:t>Nombre</w:t>
      </w:r>
    </w:p>
    <w:p w:rsidR="0077627A" w:rsidRPr="00F845FC" w:rsidRDefault="0077627A" w:rsidP="00ED13BC">
      <w:pPr>
        <w:pStyle w:val="SingleTxtG"/>
        <w:spacing w:line="240" w:lineRule="exact"/>
        <w:ind w:left="2438"/>
        <w:rPr>
          <w:i/>
          <w:lang w:val="fr-FR"/>
        </w:rPr>
      </w:pPr>
      <w:r w:rsidRPr="00F845FC">
        <w:rPr>
          <w:lang w:val="fr-FR"/>
        </w:rPr>
        <w:t>Deux, dont les performances doivent être conformes aux prescriptions concernant les catadioptres de la classe IIIA ou IIIB, énoncées dans le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3 ou [RRD]. Les dispositifs et matériaux réfléchissants supplémentaires (y compris deux catadioptres ne répondant pas aux dispositions du paragraphe 6.15.4 ci-dessous) sont autorisés à condition qu</w:t>
      </w:r>
      <w:r>
        <w:rPr>
          <w:lang w:val="fr-FR"/>
        </w:rPr>
        <w:t>’</w:t>
      </w:r>
      <w:r w:rsidRPr="00F845FC">
        <w:rPr>
          <w:lang w:val="fr-FR"/>
        </w:rPr>
        <w:t>ils ne nuisent pas à l</w:t>
      </w:r>
      <w:r>
        <w:rPr>
          <w:lang w:val="fr-FR"/>
        </w:rPr>
        <w:t>’</w:t>
      </w:r>
      <w:r w:rsidRPr="00F845FC">
        <w:rPr>
          <w:lang w:val="fr-FR"/>
        </w:rPr>
        <w:t>efficacité des dispositifs obligatoires d</w:t>
      </w:r>
      <w:r>
        <w:rPr>
          <w:lang w:val="fr-FR"/>
        </w:rPr>
        <w:t>’</w:t>
      </w:r>
      <w:r w:rsidRPr="00F845FC">
        <w:rPr>
          <w:lang w:val="fr-FR"/>
        </w:rPr>
        <w:t>éclairage et de signalisation lumineuse. ».</w:t>
      </w:r>
    </w:p>
    <w:p w:rsidR="0077627A" w:rsidRPr="00F845FC" w:rsidRDefault="0077627A" w:rsidP="00591E37">
      <w:pPr>
        <w:pStyle w:val="SingleTxtG"/>
        <w:keepNext/>
        <w:spacing w:line="240" w:lineRule="exact"/>
        <w:rPr>
          <w:lang w:val="fr-FR"/>
        </w:rPr>
      </w:pPr>
      <w:r w:rsidRPr="00F845FC">
        <w:rPr>
          <w:i/>
          <w:lang w:val="fr-FR"/>
        </w:rPr>
        <w:t>Paragraphe 6.16</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6.16</w:t>
      </w:r>
      <w:r w:rsidRPr="00F845FC">
        <w:rPr>
          <w:lang w:val="fr-FR"/>
        </w:rPr>
        <w:tab/>
        <w:t>Catadioptre avant, non triangulaire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3 ou [RRD]) ».</w:t>
      </w:r>
    </w:p>
    <w:p w:rsidR="0077627A" w:rsidRPr="00F845FC" w:rsidRDefault="0077627A" w:rsidP="00591E37">
      <w:pPr>
        <w:pStyle w:val="SingleTxtG"/>
        <w:keepNext/>
        <w:spacing w:line="240" w:lineRule="exact"/>
        <w:rPr>
          <w:lang w:val="fr-FR"/>
        </w:rPr>
      </w:pPr>
      <w:r w:rsidRPr="00F845FC">
        <w:rPr>
          <w:i/>
          <w:lang w:val="fr-FR"/>
        </w:rPr>
        <w:t>Paragraphe 6.16.2</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6.16.2</w:t>
      </w:r>
      <w:r w:rsidRPr="00F845FC">
        <w:rPr>
          <w:lang w:val="fr-FR"/>
        </w:rPr>
        <w:tab/>
        <w:t>Nombre</w:t>
      </w:r>
    </w:p>
    <w:p w:rsidR="0077627A" w:rsidRPr="00F845FC" w:rsidRDefault="0077627A" w:rsidP="00ED13BC">
      <w:pPr>
        <w:pStyle w:val="SingleTxtG"/>
        <w:spacing w:line="240" w:lineRule="exact"/>
        <w:ind w:left="2438"/>
        <w:rPr>
          <w:lang w:val="fr-FR"/>
        </w:rPr>
      </w:pPr>
      <w:r w:rsidRPr="00F845FC">
        <w:rPr>
          <w:lang w:val="fr-FR"/>
        </w:rPr>
        <w:t xml:space="preserve">Deux, dont les performances doivent être conformes aux prescriptions concernant les catadioptres de la classe IA ou IB, énoncées dans le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3 ou [RRD]. Les dispositifs et matériaux réfléchissants supplémentaires (y compris deux catadioptres ne répondant pas aux dispositions du paragraphe 6.16.4 ci-dessous) sont autorisés à condition qu</w:t>
      </w:r>
      <w:r>
        <w:rPr>
          <w:lang w:val="fr-FR"/>
        </w:rPr>
        <w:t>’</w:t>
      </w:r>
      <w:r w:rsidRPr="00F845FC">
        <w:rPr>
          <w:lang w:val="fr-FR"/>
        </w:rPr>
        <w:t>ils ne nuisent pas à l</w:t>
      </w:r>
      <w:r>
        <w:rPr>
          <w:lang w:val="fr-FR"/>
        </w:rPr>
        <w:t>’</w:t>
      </w:r>
      <w:r w:rsidRPr="00F845FC">
        <w:rPr>
          <w:lang w:val="fr-FR"/>
        </w:rPr>
        <w:t>efficacité des dispositifs obligatoires d</w:t>
      </w:r>
      <w:r>
        <w:rPr>
          <w:lang w:val="fr-FR"/>
        </w:rPr>
        <w:t>’</w:t>
      </w:r>
      <w:r w:rsidRPr="00F845FC">
        <w:rPr>
          <w:lang w:val="fr-FR"/>
        </w:rPr>
        <w:t>éclairage et de signalisation lumineuse. ».</w:t>
      </w:r>
    </w:p>
    <w:p w:rsidR="0077627A" w:rsidRPr="00F845FC" w:rsidRDefault="0077627A" w:rsidP="00591E37">
      <w:pPr>
        <w:pStyle w:val="SingleTxtG"/>
        <w:keepNext/>
        <w:spacing w:line="240" w:lineRule="exact"/>
        <w:rPr>
          <w:lang w:val="fr-FR"/>
        </w:rPr>
      </w:pPr>
      <w:r w:rsidRPr="00F845FC">
        <w:rPr>
          <w:i/>
          <w:lang w:val="fr-FR"/>
        </w:rPr>
        <w:t>Paragraphe 6.17</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6.17</w:t>
      </w:r>
      <w:r w:rsidRPr="00F845FC">
        <w:rPr>
          <w:lang w:val="fr-FR"/>
        </w:rPr>
        <w:tab/>
        <w:t>Catadioptre latéral, non triangulaire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3 ou [RRD]) ».</w:t>
      </w:r>
    </w:p>
    <w:p w:rsidR="0077627A" w:rsidRPr="00F845FC" w:rsidRDefault="0077627A" w:rsidP="00591E37">
      <w:pPr>
        <w:pStyle w:val="SingleTxtG"/>
        <w:keepNext/>
        <w:spacing w:line="240" w:lineRule="exact"/>
        <w:rPr>
          <w:lang w:val="fr-FR"/>
        </w:rPr>
      </w:pPr>
      <w:r w:rsidRPr="00F845FC">
        <w:rPr>
          <w:i/>
          <w:lang w:val="fr-FR"/>
        </w:rPr>
        <w:lastRenderedPageBreak/>
        <w:t>Paragraphe 6.17.2</w:t>
      </w:r>
      <w:r w:rsidRPr="00F845FC">
        <w:rPr>
          <w:lang w:val="fr-FR"/>
        </w:rPr>
        <w:t>, lire</w:t>
      </w:r>
      <w:r w:rsidR="00B772DF">
        <w:rPr>
          <w:lang w:val="fr-FR"/>
        </w:rPr>
        <w:t> :</w:t>
      </w:r>
    </w:p>
    <w:p w:rsidR="0077627A" w:rsidRPr="00F845FC" w:rsidRDefault="0077627A" w:rsidP="0076044F">
      <w:pPr>
        <w:pStyle w:val="SingleTxtG"/>
        <w:ind w:left="2438" w:hanging="1304"/>
        <w:jc w:val="left"/>
        <w:rPr>
          <w:lang w:val="fr-FR"/>
        </w:rPr>
      </w:pPr>
      <w:r w:rsidRPr="00F845FC">
        <w:rPr>
          <w:lang w:val="fr-FR"/>
        </w:rPr>
        <w:t>« 6.17.2</w:t>
      </w:r>
      <w:r w:rsidRPr="00F845FC">
        <w:rPr>
          <w:lang w:val="fr-FR"/>
        </w:rPr>
        <w:tab/>
        <w:t>Nombre</w:t>
      </w:r>
    </w:p>
    <w:p w:rsidR="0077627A" w:rsidRPr="00F845FC" w:rsidRDefault="0077627A" w:rsidP="00ED13BC">
      <w:pPr>
        <w:pStyle w:val="SingleTxtG"/>
        <w:spacing w:line="240" w:lineRule="exact"/>
        <w:ind w:left="2438"/>
        <w:rPr>
          <w:lang w:val="fr-FR"/>
        </w:rPr>
      </w:pPr>
      <w:r w:rsidRPr="00F845FC">
        <w:rPr>
          <w:lang w:val="fr-FR"/>
        </w:rPr>
        <w:t>Tel que les prescriptions relatives à l</w:t>
      </w:r>
      <w:r>
        <w:rPr>
          <w:lang w:val="fr-FR"/>
        </w:rPr>
        <w:t>’</w:t>
      </w:r>
      <w:r w:rsidRPr="00F845FC">
        <w:rPr>
          <w:lang w:val="fr-FR"/>
        </w:rPr>
        <w:t>emplacement en longueur soient respectées. Les performances de ces dispositifs doivent être conformes aux prescriptions concernant les catadioptres de la classe IA ou IB, énoncées dans le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3 ou [RRD]. Les dispositifs et matériaux réfléchissants supplémentaires (y compris deux catadioptres ne répondant pas aux dispositions du paragraphe 6.17.4 ci-dessous) sont autorisés à condition qu</w:t>
      </w:r>
      <w:r>
        <w:rPr>
          <w:lang w:val="fr-FR"/>
        </w:rPr>
        <w:t>’</w:t>
      </w:r>
      <w:r w:rsidRPr="00F845FC">
        <w:rPr>
          <w:lang w:val="fr-FR"/>
        </w:rPr>
        <w:t>ils ne nuisent pas à l</w:t>
      </w:r>
      <w:r>
        <w:rPr>
          <w:lang w:val="fr-FR"/>
        </w:rPr>
        <w:t>’</w:t>
      </w:r>
      <w:r w:rsidRPr="00F845FC">
        <w:rPr>
          <w:lang w:val="fr-FR"/>
        </w:rPr>
        <w:t>efficacité des dispositifs obligatoires d</w:t>
      </w:r>
      <w:r>
        <w:rPr>
          <w:lang w:val="fr-FR"/>
        </w:rPr>
        <w:t>’</w:t>
      </w:r>
      <w:r w:rsidRPr="00F845FC">
        <w:rPr>
          <w:lang w:val="fr-FR"/>
        </w:rPr>
        <w:t>éclairage et de signalisation lumineuse. ».</w:t>
      </w:r>
    </w:p>
    <w:p w:rsidR="0077627A" w:rsidRPr="00F845FC" w:rsidRDefault="0077627A" w:rsidP="00591E37">
      <w:pPr>
        <w:pStyle w:val="SingleTxtG"/>
        <w:keepNext/>
        <w:spacing w:line="240" w:lineRule="exact"/>
        <w:rPr>
          <w:lang w:val="fr-FR"/>
        </w:rPr>
      </w:pPr>
      <w:r w:rsidRPr="00F845FC">
        <w:rPr>
          <w:i/>
          <w:lang w:val="fr-FR"/>
        </w:rPr>
        <w:t>Paragraphe 6.18</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6.18</w:t>
      </w:r>
      <w:r w:rsidRPr="00F845FC">
        <w:rPr>
          <w:lang w:val="fr-FR"/>
        </w:rPr>
        <w:tab/>
        <w:t>Feux de position latéraux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91 ou [LSD]) ».</w:t>
      </w:r>
    </w:p>
    <w:p w:rsidR="0077627A" w:rsidRPr="00F845FC" w:rsidRDefault="0077627A" w:rsidP="00591E37">
      <w:pPr>
        <w:pStyle w:val="SingleTxtG"/>
        <w:keepNext/>
        <w:spacing w:line="240" w:lineRule="exact"/>
        <w:rPr>
          <w:lang w:val="fr-FR"/>
        </w:rPr>
      </w:pPr>
      <w:r w:rsidRPr="00F845FC">
        <w:rPr>
          <w:i/>
          <w:lang w:val="fr-FR"/>
        </w:rPr>
        <w:t>Paragraphe 6.19</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6.19</w:t>
      </w:r>
      <w:r w:rsidRPr="00F845FC">
        <w:rPr>
          <w:lang w:val="fr-FR"/>
        </w:rPr>
        <w:tab/>
        <w:t xml:space="preserve">Feu de circulation diurne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87 ou [LSD])</w:t>
      </w:r>
      <w:r w:rsidRPr="0076044F">
        <w:rPr>
          <w:sz w:val="18"/>
          <w:szCs w:val="18"/>
          <w:vertAlign w:val="superscript"/>
          <w:lang w:val="fr-FR"/>
        </w:rPr>
        <w:t>14</w:t>
      </w:r>
      <w:r w:rsidRPr="00F845FC">
        <w:rPr>
          <w:lang w:val="fr-FR"/>
        </w:rPr>
        <w:t> ».</w:t>
      </w:r>
    </w:p>
    <w:p w:rsidR="0077627A" w:rsidRPr="00F845FC" w:rsidRDefault="0077627A" w:rsidP="00591E37">
      <w:pPr>
        <w:pStyle w:val="SingleTxtG"/>
        <w:keepNext/>
        <w:spacing w:line="240" w:lineRule="exact"/>
        <w:rPr>
          <w:lang w:val="fr-FR"/>
        </w:rPr>
      </w:pPr>
      <w:r w:rsidRPr="00F845FC">
        <w:rPr>
          <w:i/>
          <w:lang w:val="fr-FR"/>
        </w:rPr>
        <w:t>Paragraphe 6.20</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6.20</w:t>
      </w:r>
      <w:r w:rsidRPr="00F845FC">
        <w:rPr>
          <w:lang w:val="fr-FR"/>
        </w:rPr>
        <w:tab/>
        <w:t>Feu d</w:t>
      </w:r>
      <w:r>
        <w:rPr>
          <w:lang w:val="fr-FR"/>
        </w:rPr>
        <w:t>’</w:t>
      </w:r>
      <w:r w:rsidRPr="00F845FC">
        <w:rPr>
          <w:lang w:val="fr-FR"/>
        </w:rPr>
        <w:t>angle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119 ou [RID]) ».</w:t>
      </w:r>
    </w:p>
    <w:p w:rsidR="0077627A" w:rsidRPr="00F845FC" w:rsidRDefault="0077627A" w:rsidP="00591E37">
      <w:pPr>
        <w:pStyle w:val="SingleTxtG"/>
        <w:keepNext/>
        <w:spacing w:line="240" w:lineRule="exact"/>
        <w:rPr>
          <w:lang w:val="fr-FR"/>
        </w:rPr>
      </w:pPr>
      <w:r w:rsidRPr="00F845FC">
        <w:rPr>
          <w:i/>
          <w:lang w:val="fr-FR"/>
        </w:rPr>
        <w:t>Paragraphe 6.21</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6.21</w:t>
      </w:r>
      <w:r w:rsidRPr="00F845FC">
        <w:rPr>
          <w:lang w:val="fr-FR"/>
        </w:rPr>
        <w:tab/>
        <w:t>Marquages à grande visibilité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104 ou [RRD]) ».</w:t>
      </w:r>
    </w:p>
    <w:p w:rsidR="0077627A" w:rsidRPr="00F845FC" w:rsidRDefault="0077627A" w:rsidP="00591E37">
      <w:pPr>
        <w:pStyle w:val="SingleTxtG"/>
        <w:keepNext/>
        <w:spacing w:line="240" w:lineRule="exact"/>
        <w:rPr>
          <w:lang w:val="fr-FR"/>
        </w:rPr>
      </w:pPr>
      <w:r w:rsidRPr="00F845FC">
        <w:rPr>
          <w:i/>
          <w:lang w:val="fr-FR"/>
        </w:rPr>
        <w:t>Paragraphe 6.21.1.2.5</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6.21.1.2.5</w:t>
      </w:r>
      <w:r w:rsidRPr="00F845FC">
        <w:rPr>
          <w:lang w:val="fr-FR"/>
        </w:rPr>
        <w:tab/>
        <w:t>Lorsque le fabricant, après vérification par le service technique, peut prouver à l</w:t>
      </w:r>
      <w:r>
        <w:rPr>
          <w:lang w:val="fr-FR"/>
        </w:rPr>
        <w:t>’</w:t>
      </w:r>
      <w:r w:rsidRPr="00F845FC">
        <w:rPr>
          <w:lang w:val="fr-FR"/>
        </w:rPr>
        <w:t>autorité d</w:t>
      </w:r>
      <w:r>
        <w:rPr>
          <w:lang w:val="fr-FR"/>
        </w:rPr>
        <w:t>’</w:t>
      </w:r>
      <w:r w:rsidRPr="00F845FC">
        <w:rPr>
          <w:lang w:val="fr-FR"/>
        </w:rPr>
        <w:t>homologation de type qu</w:t>
      </w:r>
      <w:r>
        <w:rPr>
          <w:lang w:val="fr-FR"/>
        </w:rPr>
        <w:t>’</w:t>
      </w:r>
      <w:r w:rsidRPr="00F845FC">
        <w:rPr>
          <w:lang w:val="fr-FR"/>
        </w:rPr>
        <w:t>il est impossible de se conformer aux prescriptions énoncées aux paragraphes 6.21.2 à 6.21.7.5 ci</w:t>
      </w:r>
      <w:r w:rsidR="0076044F">
        <w:rPr>
          <w:lang w:val="fr-FR"/>
        </w:rPr>
        <w:noBreakHyphen/>
      </w:r>
      <w:r w:rsidRPr="00F845FC">
        <w:rPr>
          <w:lang w:val="fr-FR"/>
        </w:rPr>
        <w:t>dessous, en raison d</w:t>
      </w:r>
      <w:r>
        <w:rPr>
          <w:lang w:val="fr-FR"/>
        </w:rPr>
        <w:t>’</w:t>
      </w:r>
      <w:r w:rsidRPr="00F845FC">
        <w:rPr>
          <w:lang w:val="fr-FR"/>
        </w:rPr>
        <w:t>exigences opérationnelles susceptibles d</w:t>
      </w:r>
      <w:r>
        <w:rPr>
          <w:lang w:val="fr-FR"/>
        </w:rPr>
        <w:t>’</w:t>
      </w:r>
      <w:r w:rsidRPr="00F845FC">
        <w:rPr>
          <w:lang w:val="fr-FR"/>
        </w:rPr>
        <w:t>imposer au véhicule une forme, une structure ou une conception spéciales, on peut se contenter du respect partiel de ces prescriptions. Cela dépend du nombre de prescriptions devant, si possible, être satisfaites et de l</w:t>
      </w:r>
      <w:r>
        <w:rPr>
          <w:lang w:val="fr-FR"/>
        </w:rPr>
        <w:t>’</w:t>
      </w:r>
      <w:r w:rsidRPr="00F845FC">
        <w:rPr>
          <w:lang w:val="fr-FR"/>
        </w:rPr>
        <w:t>application des marquages à grande visibilité qui satisfont en partie aux prescriptions les plus strictes concernant la structure du véhicule. On peut notamment mettre en place, lorsque la structure le permet, des plaques ou des supports supplémentaires constitués d</w:t>
      </w:r>
      <w:r>
        <w:rPr>
          <w:lang w:val="fr-FR"/>
        </w:rPr>
        <w:t>’</w:t>
      </w:r>
      <w:r w:rsidRPr="00F845FC">
        <w:rPr>
          <w:lang w:val="fr-FR"/>
        </w:rPr>
        <w:t>un matériau conforme au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104 ou [RRD], afin que la signalisation soit claire et uniforme et réponde à l</w:t>
      </w:r>
      <w:r>
        <w:rPr>
          <w:lang w:val="fr-FR"/>
        </w:rPr>
        <w:t>’</w:t>
      </w:r>
      <w:r w:rsidRPr="00F845FC">
        <w:rPr>
          <w:lang w:val="fr-FR"/>
        </w:rPr>
        <w:t>objectif de grande visibilité.</w:t>
      </w:r>
    </w:p>
    <w:p w:rsidR="0077627A" w:rsidRPr="00F845FC" w:rsidRDefault="0077627A" w:rsidP="00ED13BC">
      <w:pPr>
        <w:pStyle w:val="SingleTxtG"/>
        <w:spacing w:line="240" w:lineRule="exact"/>
        <w:ind w:left="2438"/>
        <w:rPr>
          <w:lang w:val="fr-FR"/>
        </w:rPr>
      </w:pPr>
      <w:r w:rsidRPr="00F845FC">
        <w:rPr>
          <w:lang w:val="fr-FR"/>
        </w:rPr>
        <w:t>Lorsque le respect partiel est jugé acceptable, les dispositifs rétroréfléchissants, tels que les catadioptres de la classe IVA d</w:t>
      </w:r>
      <w:r>
        <w:rPr>
          <w:lang w:val="fr-FR"/>
        </w:rPr>
        <w:t>u</w:t>
      </w:r>
      <w:r w:rsidRPr="00F845FC">
        <w:rPr>
          <w:lang w:val="fr-FR"/>
        </w:rPr>
        <w:t xml:space="preserv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3 ou [RRD], ou les supports constitués d</w:t>
      </w:r>
      <w:r>
        <w:rPr>
          <w:lang w:val="fr-FR"/>
        </w:rPr>
        <w:t>’</w:t>
      </w:r>
      <w:r w:rsidRPr="00F845FC">
        <w:rPr>
          <w:lang w:val="fr-FR"/>
        </w:rPr>
        <w:t>un matériau rétroréfléchissant conforme aux prescriptions photométriques de la classe C d</w:t>
      </w:r>
      <w:r>
        <w:rPr>
          <w:lang w:val="fr-FR"/>
        </w:rPr>
        <w:t>u</w:t>
      </w:r>
      <w:r w:rsidRPr="00F845FC">
        <w:rPr>
          <w:lang w:val="fr-FR"/>
        </w:rPr>
        <w:t xml:space="preserv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104 ou [RRD] peuvent en partie remplacer les marquages à grande visibilité requis. Dans ce cas, il convient d</w:t>
      </w:r>
      <w:r>
        <w:rPr>
          <w:lang w:val="fr-FR"/>
        </w:rPr>
        <w:t>’</w:t>
      </w:r>
      <w:r w:rsidRPr="00F845FC">
        <w:rPr>
          <w:lang w:val="fr-FR"/>
        </w:rPr>
        <w:t>installer de tels dispositifs rétroréfléchissants tous les 1 500 </w:t>
      </w:r>
      <w:proofErr w:type="spellStart"/>
      <w:r w:rsidRPr="00F845FC">
        <w:rPr>
          <w:lang w:val="fr-FR"/>
        </w:rPr>
        <w:t>mm.</w:t>
      </w:r>
      <w:proofErr w:type="spellEnd"/>
    </w:p>
    <w:p w:rsidR="0077627A" w:rsidRPr="00F845FC" w:rsidRDefault="0077627A" w:rsidP="00ED13BC">
      <w:pPr>
        <w:pStyle w:val="SingleTxtG"/>
        <w:spacing w:line="240" w:lineRule="exact"/>
        <w:ind w:left="2438"/>
        <w:rPr>
          <w:lang w:val="fr-FR"/>
        </w:rPr>
      </w:pPr>
      <w:r w:rsidRPr="00F845FC">
        <w:rPr>
          <w:lang w:val="fr-FR"/>
        </w:rPr>
        <w:t>Les renseignements nécessaires doivent être consignés sur la fiche de communication. ».</w:t>
      </w:r>
    </w:p>
    <w:p w:rsidR="0077627A" w:rsidRPr="00F845FC" w:rsidRDefault="0077627A" w:rsidP="00591E37">
      <w:pPr>
        <w:pStyle w:val="SingleTxtG"/>
        <w:keepNext/>
        <w:spacing w:line="240" w:lineRule="exact"/>
        <w:rPr>
          <w:lang w:val="fr-FR"/>
        </w:rPr>
      </w:pPr>
      <w:r w:rsidRPr="00F845FC">
        <w:rPr>
          <w:i/>
          <w:lang w:val="fr-FR"/>
        </w:rPr>
        <w:t>Paragraphe 6.21.4.2.1.1</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spacing w:val="-2"/>
          <w:lang w:val="fr-FR"/>
        </w:rPr>
        <w:t>« 6.21.4.2.1.1</w:t>
      </w:r>
      <w:r w:rsidRPr="00F845FC">
        <w:rPr>
          <w:spacing w:val="-2"/>
          <w:lang w:val="fr-FR"/>
        </w:rPr>
        <w:tab/>
      </w:r>
      <w:r w:rsidRPr="00F845FC">
        <w:rPr>
          <w:lang w:val="fr-FR"/>
        </w:rPr>
        <w:t>Pour les véhicules à moteur, de la longueur du véhicule ou, dans le cas des tracteurs de semi-remorques, de la longueur de la cabine</w:t>
      </w:r>
      <w:r w:rsidR="00B772DF">
        <w:rPr>
          <w:lang w:val="fr-FR"/>
        </w:rPr>
        <w:t> ;</w:t>
      </w:r>
      <w:r w:rsidRPr="00F845FC">
        <w:rPr>
          <w:lang w:val="fr-FR"/>
        </w:rPr>
        <w:t xml:space="preserve"> </w:t>
      </w:r>
    </w:p>
    <w:p w:rsidR="0077627A" w:rsidRPr="00F845FC" w:rsidRDefault="0077627A" w:rsidP="00ED13BC">
      <w:pPr>
        <w:pStyle w:val="SingleTxtG"/>
        <w:spacing w:line="240" w:lineRule="exact"/>
        <w:ind w:left="2438"/>
        <w:rPr>
          <w:bCs/>
          <w:lang w:val="fr-FR"/>
        </w:rPr>
      </w:pPr>
      <w:r w:rsidRPr="00F845FC">
        <w:rPr>
          <w:lang w:val="fr-FR"/>
        </w:rPr>
        <w:t>Il est cependant permis d</w:t>
      </w:r>
      <w:r>
        <w:rPr>
          <w:lang w:val="fr-FR"/>
        </w:rPr>
        <w:t>’</w:t>
      </w:r>
      <w:r w:rsidRPr="00F845FC">
        <w:rPr>
          <w:lang w:val="fr-FR"/>
        </w:rPr>
        <w:t>avoir recours à un autre mode de marquage à moins de 2 400 mm de l</w:t>
      </w:r>
      <w:r>
        <w:rPr>
          <w:lang w:val="fr-FR"/>
        </w:rPr>
        <w:t>’</w:t>
      </w:r>
      <w:r w:rsidRPr="00F845FC">
        <w:rPr>
          <w:lang w:val="fr-FR"/>
        </w:rPr>
        <w:t>extrémité avant du véhicule à moteur lorsqu</w:t>
      </w:r>
      <w:r>
        <w:rPr>
          <w:lang w:val="fr-FR"/>
        </w:rPr>
        <w:t>’</w:t>
      </w:r>
      <w:r w:rsidRPr="00F845FC">
        <w:rPr>
          <w:lang w:val="fr-FR"/>
        </w:rPr>
        <w:t>une série de catadioptres de la classe IVA d</w:t>
      </w:r>
      <w:r>
        <w:rPr>
          <w:lang w:val="fr-FR"/>
        </w:rPr>
        <w:t>u</w:t>
      </w:r>
      <w:r w:rsidRPr="00F845FC">
        <w:rPr>
          <w:lang w:val="fr-FR"/>
        </w:rPr>
        <w:t xml:space="preserv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xml:space="preserve"> 3 ou [RRD] ou de la classe C </w:t>
      </w:r>
      <w:r>
        <w:rPr>
          <w:lang w:val="fr-FR"/>
        </w:rPr>
        <w:t>du</w:t>
      </w:r>
      <w:r w:rsidRPr="00F845FC">
        <w:rPr>
          <w:lang w:val="fr-FR"/>
        </w:rPr>
        <w:t xml:space="preserv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104 ou [RRD] est installé</w:t>
      </w:r>
      <w:r w:rsidR="0076044F">
        <w:rPr>
          <w:lang w:val="fr-FR"/>
        </w:rPr>
        <w:t xml:space="preserve">e en suivant les prescriptions </w:t>
      </w:r>
      <w:r w:rsidRPr="00F845FC">
        <w:rPr>
          <w:lang w:val="fr-FR"/>
        </w:rPr>
        <w:t>de marquage à grande visibilité</w:t>
      </w:r>
      <w:r>
        <w:rPr>
          <w:lang w:val="fr-FR"/>
        </w:rPr>
        <w:t>, à savoir</w:t>
      </w:r>
      <w:r w:rsidR="00B772DF">
        <w:rPr>
          <w:lang w:val="fr-FR"/>
        </w:rPr>
        <w:t> :</w:t>
      </w:r>
    </w:p>
    <w:p w:rsidR="0077627A" w:rsidRPr="00F845FC" w:rsidRDefault="0077627A" w:rsidP="00ED13BC">
      <w:pPr>
        <w:pStyle w:val="SingleTxtG"/>
        <w:spacing w:line="240" w:lineRule="exact"/>
        <w:ind w:left="3005" w:hanging="567"/>
        <w:rPr>
          <w:lang w:val="fr-FR"/>
        </w:rPr>
      </w:pPr>
      <w:r w:rsidRPr="00F845FC">
        <w:rPr>
          <w:lang w:val="fr-FR"/>
        </w:rPr>
        <w:t>a)</w:t>
      </w:r>
      <w:r w:rsidRPr="00F845FC">
        <w:rPr>
          <w:lang w:val="fr-FR"/>
        </w:rPr>
        <w:tab/>
        <w:t>La taille du catadioptre est d</w:t>
      </w:r>
      <w:r>
        <w:rPr>
          <w:lang w:val="fr-FR"/>
        </w:rPr>
        <w:t>’</w:t>
      </w:r>
      <w:r w:rsidRPr="00F845FC">
        <w:rPr>
          <w:lang w:val="fr-FR"/>
        </w:rPr>
        <w:t>au moins 25 cm</w:t>
      </w:r>
      <w:r w:rsidRPr="00F845FC">
        <w:rPr>
          <w:vertAlign w:val="superscript"/>
          <w:lang w:val="fr-FR"/>
        </w:rPr>
        <w:t>2</w:t>
      </w:r>
      <w:r w:rsidR="00B772DF">
        <w:rPr>
          <w:lang w:val="fr-FR"/>
        </w:rPr>
        <w:t> ;</w:t>
      </w:r>
    </w:p>
    <w:p w:rsidR="0077627A" w:rsidRPr="00F845FC" w:rsidRDefault="0077627A" w:rsidP="00B772DF">
      <w:pPr>
        <w:pStyle w:val="SingleTxtG"/>
        <w:spacing w:after="100" w:line="240" w:lineRule="exact"/>
        <w:ind w:left="3005" w:hanging="567"/>
        <w:rPr>
          <w:lang w:val="fr-FR"/>
        </w:rPr>
      </w:pPr>
      <w:r w:rsidRPr="00F845FC">
        <w:rPr>
          <w:lang w:val="fr-FR"/>
        </w:rPr>
        <w:lastRenderedPageBreak/>
        <w:t>b)</w:t>
      </w:r>
      <w:r w:rsidRPr="00F845FC">
        <w:rPr>
          <w:lang w:val="fr-FR"/>
        </w:rPr>
        <w:tab/>
        <w:t>Un catadioptre est installé à une distance ne dépassant pas 600 mm de l</w:t>
      </w:r>
      <w:r>
        <w:rPr>
          <w:lang w:val="fr-FR"/>
        </w:rPr>
        <w:t>’</w:t>
      </w:r>
      <w:r w:rsidRPr="00F845FC">
        <w:rPr>
          <w:lang w:val="fr-FR"/>
        </w:rPr>
        <w:t>extrémité avant du véhicule</w:t>
      </w:r>
      <w:r w:rsidR="00B772DF">
        <w:rPr>
          <w:lang w:val="fr-FR"/>
        </w:rPr>
        <w:t> ;</w:t>
      </w:r>
    </w:p>
    <w:p w:rsidR="0077627A" w:rsidRPr="00F845FC" w:rsidRDefault="0077627A" w:rsidP="00B772DF">
      <w:pPr>
        <w:pStyle w:val="SingleTxtG"/>
        <w:spacing w:after="100" w:line="240" w:lineRule="exact"/>
        <w:ind w:left="3005" w:hanging="567"/>
        <w:rPr>
          <w:lang w:val="fr-FR"/>
        </w:rPr>
      </w:pPr>
      <w:r w:rsidRPr="00F845FC">
        <w:rPr>
          <w:lang w:val="fr-FR"/>
        </w:rPr>
        <w:t>c)</w:t>
      </w:r>
      <w:r w:rsidRPr="00F845FC">
        <w:rPr>
          <w:lang w:val="fr-FR"/>
        </w:rPr>
        <w:tab/>
        <w:t>Les catadioptres supplémentaires ne sont pas distants de plus de 600 mm</w:t>
      </w:r>
      <w:r w:rsidR="00B772DF">
        <w:rPr>
          <w:lang w:val="fr-FR"/>
        </w:rPr>
        <w:t> ;</w:t>
      </w:r>
    </w:p>
    <w:p w:rsidR="0077627A" w:rsidRPr="00F845FC" w:rsidRDefault="0077627A" w:rsidP="00B772DF">
      <w:pPr>
        <w:pStyle w:val="SingleTxtG"/>
        <w:spacing w:after="100" w:line="240" w:lineRule="exact"/>
        <w:ind w:left="3005" w:hanging="567"/>
        <w:rPr>
          <w:lang w:val="fr-FR"/>
        </w:rPr>
      </w:pPr>
      <w:r w:rsidRPr="00F845FC">
        <w:rPr>
          <w:lang w:val="fr-FR"/>
        </w:rPr>
        <w:t>d)</w:t>
      </w:r>
      <w:r w:rsidRPr="00F845FC">
        <w:rPr>
          <w:lang w:val="fr-FR"/>
        </w:rPr>
        <w:tab/>
        <w:t>La distance entre le dernier catadioptre et le début du marquage à grande visibilité ne dépasse pas 600 </w:t>
      </w:r>
      <w:proofErr w:type="spellStart"/>
      <w:r w:rsidRPr="00F845FC">
        <w:rPr>
          <w:lang w:val="fr-FR"/>
        </w:rPr>
        <w:t>mm.</w:t>
      </w:r>
      <w:proofErr w:type="spellEnd"/>
      <w:r w:rsidRPr="00F845FC">
        <w:rPr>
          <w:lang w:val="fr-FR"/>
        </w:rPr>
        <w:t> ».</w:t>
      </w:r>
    </w:p>
    <w:p w:rsidR="0077627A" w:rsidRPr="00F845FC" w:rsidRDefault="0077627A" w:rsidP="00B772DF">
      <w:pPr>
        <w:pStyle w:val="SingleTxtG"/>
        <w:keepNext/>
        <w:spacing w:after="100" w:line="240" w:lineRule="exact"/>
        <w:rPr>
          <w:lang w:val="fr-FR"/>
        </w:rPr>
      </w:pPr>
      <w:r w:rsidRPr="00F845FC">
        <w:rPr>
          <w:i/>
          <w:lang w:val="fr-FR"/>
        </w:rPr>
        <w:t>Paragraphe 6.21.7.4</w:t>
      </w:r>
      <w:r w:rsidRPr="00F845FC">
        <w:rPr>
          <w:lang w:val="fr-FR"/>
        </w:rPr>
        <w:t>, lire</w:t>
      </w:r>
      <w:r w:rsidR="00B772DF">
        <w:rPr>
          <w:lang w:val="fr-FR"/>
        </w:rPr>
        <w:t> :</w:t>
      </w:r>
    </w:p>
    <w:p w:rsidR="0077627A" w:rsidRPr="00F845FC" w:rsidRDefault="0077627A" w:rsidP="00B772DF">
      <w:pPr>
        <w:pStyle w:val="SingleTxtG"/>
        <w:spacing w:after="100"/>
        <w:ind w:left="2438" w:hanging="1304"/>
        <w:rPr>
          <w:lang w:val="fr-FR"/>
        </w:rPr>
      </w:pPr>
      <w:r w:rsidRPr="00F845FC">
        <w:rPr>
          <w:lang w:val="fr-FR"/>
        </w:rPr>
        <w:t>« 6.21.7.4</w:t>
      </w:r>
      <w:r w:rsidRPr="00F845FC">
        <w:rPr>
          <w:lang w:val="fr-FR"/>
        </w:rPr>
        <w:tab/>
        <w:t>Lorsque des plaques d</w:t>
      </w:r>
      <w:r>
        <w:rPr>
          <w:lang w:val="fr-FR"/>
        </w:rPr>
        <w:t>’</w:t>
      </w:r>
      <w:r w:rsidRPr="00F845FC">
        <w:rPr>
          <w:lang w:val="fr-FR"/>
        </w:rPr>
        <w:t>identification arrière conformes soit à la série 01 d</w:t>
      </w:r>
      <w:r>
        <w:rPr>
          <w:lang w:val="fr-FR"/>
        </w:rPr>
        <w:t>’</w:t>
      </w:r>
      <w:r w:rsidRPr="00F845FC">
        <w:rPr>
          <w:lang w:val="fr-FR"/>
        </w:rPr>
        <w:t xml:space="preserve">amendements au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xml:space="preserve"> 70, soit au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[RRD] sont installées, elles peuvent être considérées, à la discrétion du constructeur, comme faisant partie du marquage à grande visibilité arrière, aux fins du calcul de la longueur du marquage à grande visibilité et de sa proximité avec le côté du véhicule. ».</w:t>
      </w:r>
    </w:p>
    <w:p w:rsidR="0077627A" w:rsidRPr="00F845FC" w:rsidRDefault="0077627A" w:rsidP="00B772DF">
      <w:pPr>
        <w:pStyle w:val="SingleTxtG"/>
        <w:keepNext/>
        <w:spacing w:after="100" w:line="240" w:lineRule="exact"/>
        <w:rPr>
          <w:lang w:val="fr-FR"/>
        </w:rPr>
      </w:pPr>
      <w:r w:rsidRPr="00F845FC">
        <w:rPr>
          <w:i/>
          <w:lang w:val="fr-FR"/>
        </w:rPr>
        <w:t>Paragraphe 6.22</w:t>
      </w:r>
      <w:r w:rsidRPr="00F845FC">
        <w:rPr>
          <w:lang w:val="fr-FR"/>
        </w:rPr>
        <w:t>, lire</w:t>
      </w:r>
      <w:r w:rsidR="00B772DF">
        <w:rPr>
          <w:lang w:val="fr-FR"/>
        </w:rPr>
        <w:t> :</w:t>
      </w:r>
    </w:p>
    <w:p w:rsidR="0077627A" w:rsidRPr="00F845FC" w:rsidRDefault="0077627A" w:rsidP="00B772DF">
      <w:pPr>
        <w:pStyle w:val="SingleTxtG"/>
        <w:spacing w:after="100"/>
        <w:ind w:left="2438" w:hanging="1304"/>
        <w:rPr>
          <w:lang w:val="fr-FR"/>
        </w:rPr>
      </w:pPr>
      <w:r w:rsidRPr="00F845FC">
        <w:rPr>
          <w:lang w:val="fr-FR"/>
        </w:rPr>
        <w:t>« 6.22</w:t>
      </w:r>
      <w:r w:rsidRPr="00F845FC">
        <w:rPr>
          <w:lang w:val="fr-FR"/>
        </w:rPr>
        <w:tab/>
        <w:t>Système d</w:t>
      </w:r>
      <w:r>
        <w:rPr>
          <w:lang w:val="fr-FR"/>
        </w:rPr>
        <w:t>’</w:t>
      </w:r>
      <w:r w:rsidRPr="00F845FC">
        <w:rPr>
          <w:lang w:val="fr-FR"/>
        </w:rPr>
        <w:t xml:space="preserve">éclairage avant adaptatif (AFS)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123 ou [RID]) ».</w:t>
      </w:r>
    </w:p>
    <w:p w:rsidR="0077627A" w:rsidRPr="00F845FC" w:rsidRDefault="0077627A" w:rsidP="00B772DF">
      <w:pPr>
        <w:pStyle w:val="SingleTxtG"/>
        <w:keepNext/>
        <w:spacing w:after="100" w:line="240" w:lineRule="exact"/>
        <w:rPr>
          <w:lang w:val="fr-FR"/>
        </w:rPr>
      </w:pPr>
      <w:r w:rsidRPr="00F845FC">
        <w:rPr>
          <w:i/>
          <w:lang w:val="fr-FR"/>
        </w:rPr>
        <w:t>Paragraphe 6.22.6.1.2.1</w:t>
      </w:r>
      <w:r w:rsidRPr="00F845FC">
        <w:rPr>
          <w:lang w:val="fr-FR"/>
        </w:rPr>
        <w:t>, lire</w:t>
      </w:r>
      <w:r w:rsidR="00B772DF">
        <w:rPr>
          <w:lang w:val="fr-FR"/>
        </w:rPr>
        <w:t> :</w:t>
      </w:r>
    </w:p>
    <w:p w:rsidR="0077627A" w:rsidRPr="00F845FC" w:rsidRDefault="0077627A" w:rsidP="00B772DF">
      <w:pPr>
        <w:pStyle w:val="SingleTxtG"/>
        <w:spacing w:after="100"/>
        <w:ind w:left="2438" w:hanging="1304"/>
        <w:rPr>
          <w:lang w:val="fr-FR"/>
        </w:rPr>
      </w:pPr>
      <w:r w:rsidRPr="00F845FC">
        <w:rPr>
          <w:spacing w:val="-2"/>
          <w:lang w:val="fr-FR"/>
        </w:rPr>
        <w:t>« 6.22.6.1.2.1</w:t>
      </w:r>
      <w:r w:rsidRPr="00F845FC">
        <w:rPr>
          <w:lang w:val="fr-FR"/>
        </w:rPr>
        <w:tab/>
        <w:t>Lorsque le faisceau de croisement est constitué de plusieurs faisceaux provenant de plusieurs unités d</w:t>
      </w:r>
      <w:r>
        <w:rPr>
          <w:lang w:val="fr-FR"/>
        </w:rPr>
        <w:t>’</w:t>
      </w:r>
      <w:r w:rsidRPr="00F845FC">
        <w:rPr>
          <w:lang w:val="fr-FR"/>
        </w:rPr>
        <w:t>éclairage, les dispositions du paragraphe 6.22.6.1.2 ci-dessus s</w:t>
      </w:r>
      <w:r>
        <w:rPr>
          <w:lang w:val="fr-FR"/>
        </w:rPr>
        <w:t>’</w:t>
      </w:r>
      <w:r w:rsidRPr="00F845FC">
        <w:rPr>
          <w:lang w:val="fr-FR"/>
        </w:rPr>
        <w:t>appliquent à la coupure (si elle existe) de chacun des faisceaux, qui sont conçus pour être projetés dans la zone angulaire, comme indiqué au point 9.</w:t>
      </w:r>
      <w:r>
        <w:rPr>
          <w:lang w:val="fr-FR"/>
        </w:rPr>
        <w:t>3</w:t>
      </w:r>
      <w:r w:rsidRPr="00F845FC">
        <w:rPr>
          <w:lang w:val="fr-FR"/>
        </w:rPr>
        <w:t xml:space="preserve"> de la fiche de communication conforme au modèle décrit à l</w:t>
      </w:r>
      <w:r>
        <w:rPr>
          <w:lang w:val="fr-FR"/>
        </w:rPr>
        <w:t>’</w:t>
      </w:r>
      <w:r w:rsidRPr="00F845FC">
        <w:rPr>
          <w:lang w:val="fr-FR"/>
        </w:rPr>
        <w:t>annexe 1</w:t>
      </w:r>
      <w:r>
        <w:rPr>
          <w:lang w:val="fr-FR"/>
        </w:rPr>
        <w:t xml:space="preserve"> du</w:t>
      </w:r>
      <w:r w:rsidRPr="00F845FC">
        <w:rPr>
          <w:lang w:val="fr-FR"/>
        </w:rPr>
        <w:t xml:space="preserve">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xml:space="preserve"> 123 ou </w:t>
      </w:r>
      <w:r>
        <w:rPr>
          <w:lang w:val="fr-FR"/>
        </w:rPr>
        <w:t>au point 9.3.3 de l’annexe 1 du Règlement ONU n</w:t>
      </w:r>
      <w:r w:rsidRPr="001F6B25">
        <w:rPr>
          <w:vertAlign w:val="superscript"/>
          <w:lang w:val="fr-FR"/>
        </w:rPr>
        <w:t>o</w:t>
      </w:r>
      <w:r>
        <w:rPr>
          <w:vertAlign w:val="superscript"/>
          <w:lang w:val="fr-FR"/>
        </w:rPr>
        <w:t xml:space="preserve"> </w:t>
      </w:r>
      <w:r w:rsidRPr="00F845FC">
        <w:rPr>
          <w:lang w:val="fr-FR"/>
        </w:rPr>
        <w:t>[RID]. ».</w:t>
      </w:r>
    </w:p>
    <w:p w:rsidR="0077627A" w:rsidRPr="00F845FC" w:rsidRDefault="0077627A" w:rsidP="00B772DF">
      <w:pPr>
        <w:pStyle w:val="SingleTxtG"/>
        <w:spacing w:after="100" w:line="240" w:lineRule="exact"/>
        <w:rPr>
          <w:lang w:val="fr-FR"/>
        </w:rPr>
      </w:pPr>
      <w:r w:rsidRPr="00F845FC">
        <w:rPr>
          <w:i/>
          <w:lang w:val="fr-FR"/>
        </w:rPr>
        <w:t>Paragraphe 6.22.6.3</w:t>
      </w:r>
      <w:r w:rsidRPr="00F845FC">
        <w:rPr>
          <w:lang w:val="fr-FR"/>
        </w:rPr>
        <w:t>, lire</w:t>
      </w:r>
      <w:r w:rsidR="00B772DF">
        <w:rPr>
          <w:lang w:val="fr-FR"/>
        </w:rPr>
        <w:t> :</w:t>
      </w:r>
    </w:p>
    <w:p w:rsidR="0077627A" w:rsidRPr="00F845FC" w:rsidRDefault="0077627A" w:rsidP="00D77653">
      <w:pPr>
        <w:pStyle w:val="SingleTxtG"/>
        <w:keepNext/>
        <w:spacing w:after="100"/>
        <w:ind w:left="2438" w:hanging="1304"/>
        <w:jc w:val="left"/>
        <w:rPr>
          <w:lang w:val="fr-FR"/>
        </w:rPr>
      </w:pPr>
      <w:r w:rsidRPr="00F845FC">
        <w:rPr>
          <w:lang w:val="fr-FR"/>
        </w:rPr>
        <w:t>« 6.22.6.3</w:t>
      </w:r>
      <w:r w:rsidRPr="00F845FC">
        <w:rPr>
          <w:lang w:val="fr-FR"/>
        </w:rPr>
        <w:tab/>
        <w:t>Orientation horizontale</w:t>
      </w:r>
      <w:r w:rsidR="00B772DF">
        <w:rPr>
          <w:lang w:val="fr-FR"/>
        </w:rPr>
        <w:t> :</w:t>
      </w:r>
    </w:p>
    <w:p w:rsidR="0077627A" w:rsidRPr="00F845FC" w:rsidRDefault="0077627A" w:rsidP="0076044F">
      <w:pPr>
        <w:pStyle w:val="SingleTxtG"/>
        <w:spacing w:line="240" w:lineRule="exact"/>
        <w:ind w:left="2438"/>
        <w:rPr>
          <w:i/>
          <w:lang w:val="fr-FR"/>
        </w:rPr>
      </w:pPr>
      <w:r w:rsidRPr="00F845FC">
        <w:rPr>
          <w:lang w:val="fr-FR"/>
        </w:rPr>
        <w:t>Pour chaque unité d</w:t>
      </w:r>
      <w:r>
        <w:rPr>
          <w:lang w:val="fr-FR"/>
        </w:rPr>
        <w:t>’</w:t>
      </w:r>
      <w:r w:rsidRPr="00F845FC">
        <w:rPr>
          <w:lang w:val="fr-FR"/>
        </w:rPr>
        <w:t>éclairage, le coude de la coupure, si elle existe, doit coïncider, lorsqu</w:t>
      </w:r>
      <w:r>
        <w:rPr>
          <w:lang w:val="fr-FR"/>
        </w:rPr>
        <w:t>’</w:t>
      </w:r>
      <w:r w:rsidRPr="00F845FC">
        <w:rPr>
          <w:lang w:val="fr-FR"/>
        </w:rPr>
        <w:t>il est projeté sur l</w:t>
      </w:r>
      <w:r>
        <w:rPr>
          <w:lang w:val="fr-FR"/>
        </w:rPr>
        <w:t>’</w:t>
      </w:r>
      <w:r w:rsidRPr="00F845FC">
        <w:rPr>
          <w:lang w:val="fr-FR"/>
        </w:rPr>
        <w:t>écran, avec la ligne verticale passant par l</w:t>
      </w:r>
      <w:r>
        <w:rPr>
          <w:lang w:val="fr-FR"/>
        </w:rPr>
        <w:t>’</w:t>
      </w:r>
      <w:r w:rsidRPr="00F845FC">
        <w:rPr>
          <w:lang w:val="fr-FR"/>
        </w:rPr>
        <w:t>axe de référence de ladite unité d</w:t>
      </w:r>
      <w:r>
        <w:rPr>
          <w:lang w:val="fr-FR"/>
        </w:rPr>
        <w:t>’</w:t>
      </w:r>
      <w:r w:rsidRPr="00F845FC">
        <w:rPr>
          <w:lang w:val="fr-FR"/>
        </w:rPr>
        <w:t>éclairage. Une tolérance de 0,5 degré vers le côté du sens de la circulation est admise. Les autres unités d</w:t>
      </w:r>
      <w:r>
        <w:rPr>
          <w:lang w:val="fr-FR"/>
        </w:rPr>
        <w:t>’</w:t>
      </w:r>
      <w:r w:rsidRPr="00F845FC">
        <w:rPr>
          <w:lang w:val="fr-FR"/>
        </w:rPr>
        <w:t>éclairage doivent être réglées conformément à l</w:t>
      </w:r>
      <w:r>
        <w:rPr>
          <w:lang w:val="fr-FR"/>
        </w:rPr>
        <w:t>’</w:t>
      </w:r>
      <w:r w:rsidRPr="00F845FC">
        <w:rPr>
          <w:lang w:val="fr-FR"/>
        </w:rPr>
        <w:t>indication du demandeur, comme indiqué à l</w:t>
      </w:r>
      <w:r>
        <w:rPr>
          <w:lang w:val="fr-FR"/>
        </w:rPr>
        <w:t>’</w:t>
      </w:r>
      <w:r w:rsidRPr="00F845FC">
        <w:rPr>
          <w:lang w:val="fr-FR"/>
        </w:rPr>
        <w:t xml:space="preserve">annexe 10 du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123 ou à l</w:t>
      </w:r>
      <w:r>
        <w:rPr>
          <w:lang w:val="fr-FR"/>
        </w:rPr>
        <w:t>’</w:t>
      </w:r>
      <w:r w:rsidRPr="00F845FC">
        <w:rPr>
          <w:lang w:val="fr-FR"/>
        </w:rPr>
        <w:t xml:space="preserve">annexe 14 du Règlement </w:t>
      </w:r>
      <w:r>
        <w:rPr>
          <w:lang w:val="fr-FR"/>
        </w:rPr>
        <w:t xml:space="preserve">ONU </w:t>
      </w:r>
      <w:r w:rsidRPr="00F845FC">
        <w:rPr>
          <w:lang w:val="fr-FR"/>
        </w:rPr>
        <w:t>n</w:t>
      </w:r>
      <w:r w:rsidRPr="00F845FC">
        <w:rPr>
          <w:vertAlign w:val="superscript"/>
          <w:lang w:val="fr-FR"/>
        </w:rPr>
        <w:t>o</w:t>
      </w:r>
      <w:r w:rsidRPr="00F845FC">
        <w:rPr>
          <w:lang w:val="fr-FR"/>
        </w:rPr>
        <w:t> [RID]. ».</w:t>
      </w:r>
    </w:p>
    <w:p w:rsidR="0077627A" w:rsidRPr="00F845FC" w:rsidRDefault="0077627A" w:rsidP="00B772DF">
      <w:pPr>
        <w:pStyle w:val="SingleTxtG"/>
        <w:keepNext/>
        <w:spacing w:after="100" w:line="240" w:lineRule="exact"/>
        <w:rPr>
          <w:lang w:val="fr-FR"/>
        </w:rPr>
      </w:pPr>
      <w:r w:rsidRPr="00F845FC">
        <w:rPr>
          <w:i/>
          <w:lang w:val="fr-FR"/>
        </w:rPr>
        <w:t>Paragraphe 6.22.7.4.3</w:t>
      </w:r>
      <w:r w:rsidRPr="00F845FC">
        <w:rPr>
          <w:lang w:val="fr-FR"/>
        </w:rPr>
        <w:t>, lire</w:t>
      </w:r>
      <w:r w:rsidR="00B772DF">
        <w:rPr>
          <w:lang w:val="fr-FR"/>
        </w:rPr>
        <w:t> :</w:t>
      </w:r>
    </w:p>
    <w:p w:rsidR="0077627A" w:rsidRPr="00F845FC" w:rsidRDefault="0077627A" w:rsidP="00B772DF">
      <w:pPr>
        <w:pStyle w:val="SingleTxtG"/>
        <w:spacing w:after="100"/>
        <w:ind w:left="2438" w:hanging="1304"/>
        <w:rPr>
          <w:lang w:val="fr-FR"/>
        </w:rPr>
      </w:pPr>
      <w:r w:rsidRPr="00F845FC">
        <w:rPr>
          <w:lang w:val="fr-FR"/>
        </w:rPr>
        <w:t>« 6.22.7.4.3</w:t>
      </w:r>
      <w:r w:rsidRPr="00F845FC">
        <w:rPr>
          <w:lang w:val="fr-FR"/>
        </w:rPr>
        <w:tab/>
        <w:t>Le ou les modes de la classe E du faisceau de croisement ne doivent fonctionner que si la vitesse du véhicule dépasse 70</w:t>
      </w:r>
      <w:r w:rsidR="003C7394">
        <w:rPr>
          <w:lang w:val="fr-FR"/>
        </w:rPr>
        <w:t> </w:t>
      </w:r>
      <w:r w:rsidRPr="00F845FC">
        <w:rPr>
          <w:lang w:val="fr-FR"/>
        </w:rPr>
        <w:t>km/h et une ou plusieurs des conditions ci-dessous sont automatiquement détectées</w:t>
      </w:r>
      <w:r w:rsidR="00B772DF">
        <w:rPr>
          <w:lang w:val="fr-FR"/>
        </w:rPr>
        <w:t> :</w:t>
      </w:r>
    </w:p>
    <w:p w:rsidR="0077627A" w:rsidRPr="00F845FC" w:rsidRDefault="0077627A" w:rsidP="00B772DF">
      <w:pPr>
        <w:pStyle w:val="SingleTxtG"/>
        <w:spacing w:after="100" w:line="240" w:lineRule="exact"/>
        <w:ind w:left="3005" w:hanging="567"/>
        <w:rPr>
          <w:lang w:val="fr-FR"/>
        </w:rPr>
      </w:pPr>
      <w:r w:rsidRPr="00F845FC">
        <w:rPr>
          <w:lang w:val="fr-FR"/>
        </w:rPr>
        <w:t>a)</w:t>
      </w:r>
      <w:r w:rsidRPr="00F845FC">
        <w:rPr>
          <w:lang w:val="fr-FR"/>
        </w:rPr>
        <w:tab/>
        <w:t>Les caractéristiques de la route correspondent à celles d</w:t>
      </w:r>
      <w:r>
        <w:rPr>
          <w:lang w:val="fr-FR"/>
        </w:rPr>
        <w:t>’</w:t>
      </w:r>
      <w:r w:rsidRPr="00F845FC">
        <w:rPr>
          <w:lang w:val="fr-FR"/>
        </w:rPr>
        <w:t>une autoroute</w:t>
      </w:r>
      <w:r w:rsidRPr="00D77653">
        <w:rPr>
          <w:sz w:val="18"/>
          <w:szCs w:val="18"/>
          <w:vertAlign w:val="superscript"/>
          <w:lang w:val="fr-FR"/>
        </w:rPr>
        <w:t>17</w:t>
      </w:r>
      <w:r w:rsidRPr="00F845FC">
        <w:rPr>
          <w:lang w:val="fr-FR"/>
        </w:rPr>
        <w:t xml:space="preserve"> et/ou la vitesse du véhicule dépasse 110</w:t>
      </w:r>
      <w:r w:rsidR="003C7394">
        <w:rPr>
          <w:lang w:val="fr-FR"/>
        </w:rPr>
        <w:t> </w:t>
      </w:r>
      <w:r w:rsidRPr="00F845FC">
        <w:rPr>
          <w:lang w:val="fr-FR"/>
        </w:rPr>
        <w:t>km/h (application du signal E)</w:t>
      </w:r>
      <w:r w:rsidR="00B772DF">
        <w:rPr>
          <w:lang w:val="fr-FR"/>
        </w:rPr>
        <w:t> ;</w:t>
      </w:r>
      <w:r w:rsidRPr="00F845FC">
        <w:rPr>
          <w:lang w:val="fr-FR"/>
        </w:rPr>
        <w:t xml:space="preserve"> </w:t>
      </w:r>
    </w:p>
    <w:p w:rsidR="0077627A" w:rsidRPr="00F845FC" w:rsidRDefault="0077627A" w:rsidP="00B772DF">
      <w:pPr>
        <w:pStyle w:val="SingleTxtG"/>
        <w:spacing w:after="100" w:line="240" w:lineRule="exact"/>
        <w:ind w:left="3005" w:hanging="567"/>
        <w:rPr>
          <w:lang w:val="fr-FR"/>
        </w:rPr>
      </w:pPr>
      <w:r w:rsidRPr="00F845FC">
        <w:rPr>
          <w:lang w:val="fr-FR"/>
        </w:rPr>
        <w:t>b)</w:t>
      </w:r>
      <w:r w:rsidRPr="00F845FC">
        <w:rPr>
          <w:lang w:val="fr-FR"/>
        </w:rPr>
        <w:tab/>
        <w:t>Lorsqu</w:t>
      </w:r>
      <w:r>
        <w:rPr>
          <w:lang w:val="fr-FR"/>
        </w:rPr>
        <w:t>’</w:t>
      </w:r>
      <w:r w:rsidRPr="00F845FC">
        <w:rPr>
          <w:lang w:val="fr-FR"/>
        </w:rPr>
        <w:t>un mode de la classe E du faisceau de croisement est conforme, d</w:t>
      </w:r>
      <w:r>
        <w:rPr>
          <w:lang w:val="fr-FR"/>
        </w:rPr>
        <w:t>’</w:t>
      </w:r>
      <w:r w:rsidRPr="00F845FC">
        <w:rPr>
          <w:lang w:val="fr-FR"/>
        </w:rPr>
        <w:t>après les documents d</w:t>
      </w:r>
      <w:r>
        <w:rPr>
          <w:lang w:val="fr-FR"/>
        </w:rPr>
        <w:t>’</w:t>
      </w:r>
      <w:r w:rsidRPr="00F845FC">
        <w:rPr>
          <w:lang w:val="fr-FR"/>
        </w:rPr>
        <w:t>homologation ou la fiche de communication du système, à un ensemble de données du tableau</w:t>
      </w:r>
      <w:r w:rsidR="003C7394">
        <w:rPr>
          <w:lang w:val="fr-FR"/>
        </w:rPr>
        <w:t> </w:t>
      </w:r>
      <w:r w:rsidRPr="00F845FC">
        <w:rPr>
          <w:lang w:val="fr-FR"/>
        </w:rPr>
        <w:t>6 de l</w:t>
      </w:r>
      <w:r>
        <w:rPr>
          <w:lang w:val="fr-FR"/>
        </w:rPr>
        <w:t>’</w:t>
      </w:r>
      <w:r w:rsidRPr="00F845FC">
        <w:rPr>
          <w:lang w:val="fr-FR"/>
        </w:rPr>
        <w:t>annexe</w:t>
      </w:r>
      <w:r w:rsidR="003C7394">
        <w:rPr>
          <w:lang w:val="fr-FR"/>
        </w:rPr>
        <w:t> </w:t>
      </w:r>
      <w:r w:rsidRPr="00F845FC">
        <w:rPr>
          <w:lang w:val="fr-FR"/>
        </w:rPr>
        <w:t xml:space="preserve">3 du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123 ou du tableau</w:t>
      </w:r>
      <w:r w:rsidR="004470AA">
        <w:rPr>
          <w:lang w:val="fr-FR"/>
        </w:rPr>
        <w:t> </w:t>
      </w:r>
      <w:r w:rsidRPr="00F845FC">
        <w:rPr>
          <w:lang w:val="fr-FR"/>
        </w:rPr>
        <w:t xml:space="preserve">14 du Règlement </w:t>
      </w:r>
      <w:r>
        <w:rPr>
          <w:lang w:val="fr-FR"/>
        </w:rPr>
        <w:t xml:space="preserve">ONU </w:t>
      </w:r>
      <w:r w:rsidRPr="00F845FC">
        <w:rPr>
          <w:lang w:val="fr-FR"/>
        </w:rPr>
        <w:t>n</w:t>
      </w:r>
      <w:r w:rsidRPr="00F845FC">
        <w:rPr>
          <w:vertAlign w:val="superscript"/>
          <w:lang w:val="fr-FR"/>
        </w:rPr>
        <w:t>o</w:t>
      </w:r>
      <w:r w:rsidRPr="00F845FC">
        <w:rPr>
          <w:lang w:val="fr-FR"/>
        </w:rPr>
        <w:t> [RID].</w:t>
      </w:r>
    </w:p>
    <w:p w:rsidR="0077627A" w:rsidRPr="00F845FC" w:rsidRDefault="0077627A" w:rsidP="00B772DF">
      <w:pPr>
        <w:pStyle w:val="SingleTxtG"/>
        <w:spacing w:after="100" w:line="240" w:lineRule="exact"/>
        <w:ind w:left="3005"/>
        <w:rPr>
          <w:lang w:val="fr-FR"/>
        </w:rPr>
      </w:pPr>
      <w:r w:rsidRPr="00D77653">
        <w:rPr>
          <w:spacing w:val="-2"/>
          <w:lang w:val="fr-FR"/>
        </w:rPr>
        <w:t>Ensemble de données E1</w:t>
      </w:r>
      <w:r w:rsidR="00B772DF" w:rsidRPr="00D77653">
        <w:rPr>
          <w:spacing w:val="-2"/>
          <w:lang w:val="fr-FR"/>
        </w:rPr>
        <w:t> :</w:t>
      </w:r>
      <w:r w:rsidRPr="00D77653">
        <w:rPr>
          <w:spacing w:val="-2"/>
          <w:lang w:val="fr-FR"/>
        </w:rPr>
        <w:t xml:space="preserve"> vitesse du véhicule supérieure à 100</w:t>
      </w:r>
      <w:r w:rsidR="004470AA">
        <w:rPr>
          <w:spacing w:val="-2"/>
          <w:lang w:val="fr-FR"/>
        </w:rPr>
        <w:t> </w:t>
      </w:r>
      <w:r w:rsidRPr="00D77653">
        <w:rPr>
          <w:spacing w:val="-2"/>
          <w:lang w:val="fr-FR"/>
        </w:rPr>
        <w:t>km/h</w:t>
      </w:r>
      <w:r w:rsidRPr="00F845FC">
        <w:rPr>
          <w:lang w:val="fr-FR"/>
        </w:rPr>
        <w:t xml:space="preserve"> (application du signal E1)</w:t>
      </w:r>
      <w:r w:rsidR="00B772DF">
        <w:rPr>
          <w:lang w:val="fr-FR"/>
        </w:rPr>
        <w:t> ;</w:t>
      </w:r>
    </w:p>
    <w:p w:rsidR="0077627A" w:rsidRPr="00F845FC" w:rsidRDefault="0077627A" w:rsidP="00B772DF">
      <w:pPr>
        <w:pStyle w:val="SingleTxtG"/>
        <w:spacing w:after="100" w:line="240" w:lineRule="exact"/>
        <w:ind w:left="3005"/>
        <w:rPr>
          <w:lang w:val="fr-FR"/>
        </w:rPr>
      </w:pPr>
      <w:r w:rsidRPr="00F845FC">
        <w:rPr>
          <w:lang w:val="fr-FR"/>
        </w:rPr>
        <w:t>Ensemble de données E2</w:t>
      </w:r>
      <w:r w:rsidR="00B772DF">
        <w:rPr>
          <w:lang w:val="fr-FR"/>
        </w:rPr>
        <w:t> :</w:t>
      </w:r>
      <w:r w:rsidRPr="00F845FC">
        <w:rPr>
          <w:lang w:val="fr-FR"/>
        </w:rPr>
        <w:t xml:space="preserve"> vitesse du véhicule supérieure à 90</w:t>
      </w:r>
      <w:r w:rsidR="004470AA">
        <w:rPr>
          <w:lang w:val="fr-FR"/>
        </w:rPr>
        <w:t> </w:t>
      </w:r>
      <w:r w:rsidRPr="00F845FC">
        <w:rPr>
          <w:lang w:val="fr-FR"/>
        </w:rPr>
        <w:t>km/h (application du signal E2)</w:t>
      </w:r>
      <w:r w:rsidR="00B772DF">
        <w:rPr>
          <w:lang w:val="fr-FR"/>
        </w:rPr>
        <w:t> ;</w:t>
      </w:r>
    </w:p>
    <w:p w:rsidR="0077627A" w:rsidRPr="00F845FC" w:rsidRDefault="0077627A" w:rsidP="00591E37">
      <w:pPr>
        <w:pStyle w:val="SingleTxtG"/>
        <w:spacing w:line="240" w:lineRule="exact"/>
        <w:ind w:left="3005"/>
        <w:rPr>
          <w:lang w:val="fr-FR"/>
        </w:rPr>
      </w:pPr>
      <w:r w:rsidRPr="00F845FC">
        <w:rPr>
          <w:lang w:val="fr-FR"/>
        </w:rPr>
        <w:t>Ensemble de données E3</w:t>
      </w:r>
      <w:r w:rsidR="00B772DF">
        <w:rPr>
          <w:lang w:val="fr-FR"/>
        </w:rPr>
        <w:t> :</w:t>
      </w:r>
      <w:r w:rsidRPr="00F845FC">
        <w:rPr>
          <w:lang w:val="fr-FR"/>
        </w:rPr>
        <w:t xml:space="preserve"> vitesse du véhicule supérieure à 80</w:t>
      </w:r>
      <w:r w:rsidR="004470AA">
        <w:rPr>
          <w:lang w:val="fr-FR"/>
        </w:rPr>
        <w:t> </w:t>
      </w:r>
      <w:r w:rsidRPr="00F845FC">
        <w:rPr>
          <w:lang w:val="fr-FR"/>
        </w:rPr>
        <w:t>km/h (application du signal E3). ».</w:t>
      </w:r>
    </w:p>
    <w:p w:rsidR="0077627A" w:rsidRPr="00F845FC" w:rsidRDefault="0077627A" w:rsidP="00591E37">
      <w:pPr>
        <w:pStyle w:val="SingleTxtG"/>
        <w:keepNext/>
        <w:spacing w:line="240" w:lineRule="exact"/>
        <w:rPr>
          <w:lang w:val="fr-FR"/>
        </w:rPr>
      </w:pPr>
      <w:r w:rsidRPr="00F845FC">
        <w:rPr>
          <w:i/>
          <w:lang w:val="fr-FR"/>
        </w:rPr>
        <w:lastRenderedPageBreak/>
        <w:t>Paragraphe 6.22.8.2</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6.22.8.2</w:t>
      </w:r>
      <w:r w:rsidRPr="00F845FC">
        <w:rPr>
          <w:lang w:val="fr-FR"/>
        </w:rPr>
        <w:tab/>
        <w:t>L</w:t>
      </w:r>
      <w:r>
        <w:rPr>
          <w:lang w:val="fr-FR"/>
        </w:rPr>
        <w:t>’</w:t>
      </w:r>
      <w:r w:rsidRPr="00F845FC">
        <w:rPr>
          <w:lang w:val="fr-FR"/>
        </w:rPr>
        <w:t>AFS doit obligatoirement être muni d</w:t>
      </w:r>
      <w:r>
        <w:rPr>
          <w:lang w:val="fr-FR"/>
        </w:rPr>
        <w:t>’</w:t>
      </w:r>
      <w:r w:rsidRPr="00F845FC">
        <w:rPr>
          <w:lang w:val="fr-FR"/>
        </w:rPr>
        <w:t>un témoin visuel de panne non clignotant. Ce témoin doit être activé chaque fois qu</w:t>
      </w:r>
      <w:r>
        <w:rPr>
          <w:lang w:val="fr-FR"/>
        </w:rPr>
        <w:t>’</w:t>
      </w:r>
      <w:r w:rsidRPr="00F845FC">
        <w:rPr>
          <w:lang w:val="fr-FR"/>
        </w:rPr>
        <w:t>une défaillance est détectée sur les signaux de commande AFS ou lorsqu</w:t>
      </w:r>
      <w:r>
        <w:rPr>
          <w:lang w:val="fr-FR"/>
        </w:rPr>
        <w:t>’</w:t>
      </w:r>
      <w:r w:rsidRPr="00F845FC">
        <w:rPr>
          <w:lang w:val="fr-FR"/>
        </w:rPr>
        <w:t xml:space="preserve">un signal de défaillance est reçu conformément au paragraphe 5.9 du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xml:space="preserve"> 123 ou au paragraphe 4.13 du Règlement </w:t>
      </w:r>
      <w:r>
        <w:rPr>
          <w:lang w:val="fr-FR"/>
        </w:rPr>
        <w:t xml:space="preserve">ONU </w:t>
      </w:r>
      <w:r w:rsidRPr="00F845FC">
        <w:rPr>
          <w:lang w:val="fr-FR"/>
        </w:rPr>
        <w:t>n</w:t>
      </w:r>
      <w:r w:rsidRPr="00F845FC">
        <w:rPr>
          <w:vertAlign w:val="superscript"/>
          <w:lang w:val="fr-FR"/>
        </w:rPr>
        <w:t>o</w:t>
      </w:r>
      <w:r w:rsidRPr="00F845FC">
        <w:rPr>
          <w:lang w:val="fr-FR"/>
        </w:rPr>
        <w:t> [RID]. Le témoin doit rester activé aussi longtemps que dure la défaillance. Il peut être désactivé temporairement, mais doit être remis en fonction chaque fois que le dispositif qui met le moteur en marche ou le coupe est activé ou désactivé. ».</w:t>
      </w:r>
    </w:p>
    <w:p w:rsidR="0077627A" w:rsidRPr="00F845FC" w:rsidRDefault="0077627A" w:rsidP="00591E37">
      <w:pPr>
        <w:pStyle w:val="SingleTxtG"/>
        <w:keepNext/>
        <w:spacing w:line="240" w:lineRule="exact"/>
        <w:rPr>
          <w:lang w:val="fr-FR"/>
        </w:rPr>
      </w:pPr>
      <w:r w:rsidRPr="00F845FC">
        <w:rPr>
          <w:i/>
          <w:lang w:val="fr-FR"/>
        </w:rPr>
        <w:t>Paragraphe 6.22.8.4</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6.22.8.4</w:t>
      </w:r>
      <w:r w:rsidRPr="00F845FC">
        <w:rPr>
          <w:lang w:val="fr-FR"/>
        </w:rPr>
        <w:tab/>
        <w:t>Un témoin servant à indiquer que le conducteur a placé le système dans l</w:t>
      </w:r>
      <w:r>
        <w:rPr>
          <w:lang w:val="fr-FR"/>
        </w:rPr>
        <w:t>’</w:t>
      </w:r>
      <w:r w:rsidRPr="00F845FC">
        <w:rPr>
          <w:lang w:val="fr-FR"/>
        </w:rPr>
        <w:t xml:space="preserve">état prescrit au paragraphe 5.8 du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xml:space="preserve"> 123 ou au paragraphe 4.12 du Règlement </w:t>
      </w:r>
      <w:r>
        <w:rPr>
          <w:lang w:val="fr-FR"/>
        </w:rPr>
        <w:t xml:space="preserve">ONU </w:t>
      </w:r>
      <w:r w:rsidRPr="00F845FC">
        <w:rPr>
          <w:lang w:val="fr-FR"/>
        </w:rPr>
        <w:t>n</w:t>
      </w:r>
      <w:r w:rsidRPr="00F845FC">
        <w:rPr>
          <w:vertAlign w:val="superscript"/>
          <w:lang w:val="fr-FR"/>
        </w:rPr>
        <w:t>o</w:t>
      </w:r>
      <w:r w:rsidRPr="00F845FC">
        <w:rPr>
          <w:lang w:val="fr-FR"/>
        </w:rPr>
        <w:t> [RID] est facultatif. ».</w:t>
      </w:r>
    </w:p>
    <w:p w:rsidR="0077627A" w:rsidRPr="00F845FC" w:rsidRDefault="0077627A" w:rsidP="00591E37">
      <w:pPr>
        <w:pStyle w:val="SingleTxtG"/>
        <w:keepNext/>
        <w:spacing w:line="240" w:lineRule="exact"/>
        <w:rPr>
          <w:lang w:val="fr-FR"/>
        </w:rPr>
      </w:pPr>
      <w:r w:rsidRPr="00F845FC">
        <w:rPr>
          <w:i/>
          <w:lang w:val="fr-FR"/>
        </w:rPr>
        <w:t>Paragraphe 6.22.9.1</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6.22.9.1</w:t>
      </w:r>
      <w:r w:rsidRPr="00F845FC">
        <w:rPr>
          <w:lang w:val="fr-FR"/>
        </w:rPr>
        <w:tab/>
        <w:t>Le montage d</w:t>
      </w:r>
      <w:r>
        <w:rPr>
          <w:lang w:val="fr-FR"/>
        </w:rPr>
        <w:t>’</w:t>
      </w:r>
      <w:r w:rsidRPr="00F845FC">
        <w:rPr>
          <w:lang w:val="fr-FR"/>
        </w:rPr>
        <w:t>un système AFS n</w:t>
      </w:r>
      <w:r>
        <w:rPr>
          <w:lang w:val="fr-FR"/>
        </w:rPr>
        <w:t>’</w:t>
      </w:r>
      <w:r w:rsidRPr="00F845FC">
        <w:rPr>
          <w:lang w:val="fr-FR"/>
        </w:rPr>
        <w:t xml:space="preserve">est autorisé que si le véhicule est aussi équipé de dispositifs de nettoyage des projecteurs conformes au Règlement </w:t>
      </w:r>
      <w:r w:rsidRPr="00F845FC">
        <w:rPr>
          <w:rFonts w:eastAsia="MS Mincho"/>
          <w:szCs w:val="22"/>
          <w:lang w:val="fr-FR"/>
        </w:rPr>
        <w:t>n</w:t>
      </w:r>
      <w:r w:rsidRPr="00F845FC">
        <w:rPr>
          <w:rFonts w:eastAsia="MS Mincho"/>
          <w:szCs w:val="22"/>
          <w:vertAlign w:val="superscript"/>
          <w:lang w:val="fr-FR"/>
        </w:rPr>
        <w:t>o</w:t>
      </w:r>
      <w:r w:rsidRPr="00F845FC">
        <w:rPr>
          <w:lang w:val="fr-FR"/>
        </w:rPr>
        <w:t> 45</w:t>
      </w:r>
      <w:r w:rsidRPr="00D77653">
        <w:rPr>
          <w:sz w:val="18"/>
          <w:szCs w:val="18"/>
          <w:vertAlign w:val="superscript"/>
          <w:lang w:val="fr-FR"/>
        </w:rPr>
        <w:t>19</w:t>
      </w:r>
      <w:r w:rsidRPr="00F845FC">
        <w:rPr>
          <w:lang w:val="fr-FR"/>
        </w:rPr>
        <w:t>, au moins sur les unités d</w:t>
      </w:r>
      <w:r>
        <w:rPr>
          <w:lang w:val="fr-FR"/>
        </w:rPr>
        <w:t>’</w:t>
      </w:r>
      <w:r w:rsidRPr="00F845FC">
        <w:rPr>
          <w:lang w:val="fr-FR"/>
        </w:rPr>
        <w:t>éclairage énumérées au point 9.</w:t>
      </w:r>
      <w:r>
        <w:rPr>
          <w:lang w:val="fr-FR"/>
        </w:rPr>
        <w:t>2.</w:t>
      </w:r>
      <w:r w:rsidRPr="00F845FC">
        <w:rPr>
          <w:lang w:val="fr-FR"/>
        </w:rPr>
        <w:t>3 de la fiche de communication conforme au modèle de l</w:t>
      </w:r>
      <w:r>
        <w:rPr>
          <w:lang w:val="fr-FR"/>
        </w:rPr>
        <w:t>’</w:t>
      </w:r>
      <w:r w:rsidRPr="00F845FC">
        <w:rPr>
          <w:lang w:val="fr-FR"/>
        </w:rPr>
        <w:t xml:space="preserve">annexe 1 du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123 ou au point 9.3.</w:t>
      </w:r>
      <w:r>
        <w:rPr>
          <w:lang w:val="fr-FR"/>
        </w:rPr>
        <w:t>2.</w:t>
      </w:r>
      <w:r w:rsidRPr="00F845FC">
        <w:rPr>
          <w:lang w:val="fr-FR"/>
        </w:rPr>
        <w:t>3 de l</w:t>
      </w:r>
      <w:r>
        <w:rPr>
          <w:lang w:val="fr-FR"/>
        </w:rPr>
        <w:t>’</w:t>
      </w:r>
      <w:r w:rsidRPr="00F845FC">
        <w:rPr>
          <w:lang w:val="fr-FR"/>
        </w:rPr>
        <w:t xml:space="preserve">annexe 1 du Règlement </w:t>
      </w:r>
      <w:r>
        <w:rPr>
          <w:lang w:val="fr-FR"/>
        </w:rPr>
        <w:t xml:space="preserve">ONU </w:t>
      </w:r>
      <w:r w:rsidRPr="00F845FC">
        <w:rPr>
          <w:lang w:val="fr-FR"/>
        </w:rPr>
        <w:t>n</w:t>
      </w:r>
      <w:r w:rsidRPr="00F845FC">
        <w:rPr>
          <w:vertAlign w:val="superscript"/>
          <w:lang w:val="fr-FR"/>
        </w:rPr>
        <w:t>o</w:t>
      </w:r>
      <w:r w:rsidRPr="00F845FC">
        <w:rPr>
          <w:lang w:val="fr-FR"/>
        </w:rPr>
        <w:t> [RID], si le flux lumineux normal total des sources lumineuses de ces unités d</w:t>
      </w:r>
      <w:r>
        <w:rPr>
          <w:lang w:val="fr-FR"/>
        </w:rPr>
        <w:t>’</w:t>
      </w:r>
      <w:r w:rsidRPr="00F845FC">
        <w:rPr>
          <w:lang w:val="fr-FR"/>
        </w:rPr>
        <w:t xml:space="preserve">éclairage dépasse 2 000 lm par côté, et si ces unités contribuent au faisceau de croisement (élémentaire) </w:t>
      </w:r>
      <w:r>
        <w:rPr>
          <w:lang w:val="fr-FR"/>
        </w:rPr>
        <w:t xml:space="preserve">de la </w:t>
      </w:r>
      <w:r w:rsidRPr="00F845FC">
        <w:rPr>
          <w:lang w:val="fr-FR"/>
        </w:rPr>
        <w:t>classe C. ».</w:t>
      </w:r>
    </w:p>
    <w:p w:rsidR="0077627A" w:rsidRPr="00F845FC" w:rsidRDefault="0077627A" w:rsidP="00591E37">
      <w:pPr>
        <w:pStyle w:val="SingleTxtG"/>
        <w:keepNext/>
        <w:spacing w:line="240" w:lineRule="exact"/>
        <w:rPr>
          <w:lang w:val="fr-FR"/>
        </w:rPr>
      </w:pPr>
      <w:r w:rsidRPr="00F845FC">
        <w:rPr>
          <w:i/>
          <w:lang w:val="fr-FR"/>
        </w:rPr>
        <w:t>Paragraphe 6.22.9.5</w:t>
      </w:r>
      <w:r w:rsidRPr="00F845FC">
        <w:rPr>
          <w:lang w:val="fr-FR"/>
        </w:rPr>
        <w:t>, lire</w:t>
      </w:r>
      <w:r w:rsidR="00B772DF">
        <w:rPr>
          <w:lang w:val="fr-FR"/>
        </w:rPr>
        <w:t> :</w:t>
      </w:r>
    </w:p>
    <w:p w:rsidR="0077627A" w:rsidRPr="00F845FC" w:rsidRDefault="0077627A" w:rsidP="00A301AC">
      <w:pPr>
        <w:pStyle w:val="SingleTxtG"/>
        <w:ind w:left="2438" w:hanging="1304"/>
        <w:rPr>
          <w:spacing w:val="-2"/>
          <w:lang w:val="fr-FR"/>
        </w:rPr>
      </w:pPr>
      <w:r w:rsidRPr="00F845FC">
        <w:rPr>
          <w:spacing w:val="-2"/>
          <w:lang w:val="fr-FR"/>
        </w:rPr>
        <w:t>« 6.22.9.5</w:t>
      </w:r>
      <w:r w:rsidRPr="00F845FC">
        <w:rPr>
          <w:spacing w:val="-2"/>
          <w:lang w:val="fr-FR"/>
        </w:rPr>
        <w:tab/>
        <w:t xml:space="preserve">Les moyens permettant, conformément aux dispositions du paragraphe 5.8 du Règlement </w:t>
      </w:r>
      <w:r>
        <w:rPr>
          <w:spacing w:val="-2"/>
          <w:lang w:val="fr-FR"/>
        </w:rPr>
        <w:t xml:space="preserve">ONU </w:t>
      </w:r>
      <w:r w:rsidRPr="00F845FC">
        <w:rPr>
          <w:rFonts w:eastAsia="MS Mincho"/>
          <w:spacing w:val="-2"/>
          <w:szCs w:val="22"/>
          <w:lang w:val="fr-FR"/>
        </w:rPr>
        <w:t>n</w:t>
      </w:r>
      <w:r w:rsidRPr="00F845FC">
        <w:rPr>
          <w:rFonts w:eastAsia="MS Mincho"/>
          <w:spacing w:val="-2"/>
          <w:szCs w:val="22"/>
          <w:vertAlign w:val="superscript"/>
          <w:lang w:val="fr-FR"/>
        </w:rPr>
        <w:t>o</w:t>
      </w:r>
      <w:r w:rsidRPr="00F845FC">
        <w:rPr>
          <w:spacing w:val="-2"/>
          <w:lang w:val="fr-FR"/>
        </w:rPr>
        <w:t xml:space="preserve"> 123 ou du paragraphe 4.12 du Règlement </w:t>
      </w:r>
      <w:r>
        <w:rPr>
          <w:spacing w:val="-2"/>
          <w:lang w:val="fr-FR"/>
        </w:rPr>
        <w:t xml:space="preserve">ONU </w:t>
      </w:r>
      <w:r w:rsidRPr="00F845FC">
        <w:rPr>
          <w:spacing w:val="-2"/>
          <w:lang w:val="fr-FR"/>
        </w:rPr>
        <w:t>n</w:t>
      </w:r>
      <w:r w:rsidRPr="00F845FC">
        <w:rPr>
          <w:spacing w:val="-2"/>
          <w:vertAlign w:val="superscript"/>
          <w:lang w:val="fr-FR"/>
        </w:rPr>
        <w:t>o</w:t>
      </w:r>
      <w:r w:rsidRPr="00F845FC">
        <w:rPr>
          <w:spacing w:val="-2"/>
          <w:lang w:val="fr-FR"/>
        </w:rPr>
        <w:t> [RID], à un véhicule d</w:t>
      </w:r>
      <w:r>
        <w:rPr>
          <w:spacing w:val="-2"/>
          <w:lang w:val="fr-FR"/>
        </w:rPr>
        <w:t>’</w:t>
      </w:r>
      <w:r w:rsidRPr="00F845FC">
        <w:rPr>
          <w:spacing w:val="-2"/>
          <w:lang w:val="fr-FR"/>
        </w:rPr>
        <w:t>être provisoirement conduit dans un pays où la circulation se fait du côté opposé à celui pour lequel l</w:t>
      </w:r>
      <w:r>
        <w:rPr>
          <w:spacing w:val="-2"/>
          <w:lang w:val="fr-FR"/>
        </w:rPr>
        <w:t>’</w:t>
      </w:r>
      <w:r w:rsidRPr="00F845FC">
        <w:rPr>
          <w:spacing w:val="-2"/>
          <w:lang w:val="fr-FR"/>
        </w:rPr>
        <w:t>homologation est demandée, doivent être expliqués en détail dans le manuel d</w:t>
      </w:r>
      <w:r>
        <w:rPr>
          <w:spacing w:val="-2"/>
          <w:lang w:val="fr-FR"/>
        </w:rPr>
        <w:t>’</w:t>
      </w:r>
      <w:r w:rsidRPr="00F845FC">
        <w:rPr>
          <w:spacing w:val="-2"/>
          <w:lang w:val="fr-FR"/>
        </w:rPr>
        <w:t>utilisation du véhicule. ».</w:t>
      </w:r>
    </w:p>
    <w:p w:rsidR="0077627A" w:rsidRPr="00F845FC" w:rsidRDefault="0077627A" w:rsidP="00591E37">
      <w:pPr>
        <w:pStyle w:val="SingleTxtG"/>
        <w:keepNext/>
        <w:spacing w:line="240" w:lineRule="exact"/>
        <w:rPr>
          <w:lang w:val="fr-FR"/>
        </w:rPr>
      </w:pPr>
      <w:r w:rsidRPr="00F845FC">
        <w:rPr>
          <w:i/>
          <w:lang w:val="fr-FR"/>
        </w:rPr>
        <w:t>Paragraphe 6.26</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6.26</w:t>
      </w:r>
      <w:r w:rsidRPr="00F845FC">
        <w:rPr>
          <w:lang w:val="fr-FR"/>
        </w:rPr>
        <w:tab/>
        <w:t>Feu de manœuvre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23 ou [LSD]) ».</w:t>
      </w:r>
    </w:p>
    <w:p w:rsidR="0077627A" w:rsidRPr="00F845FC" w:rsidRDefault="0077627A" w:rsidP="00591E37">
      <w:pPr>
        <w:pStyle w:val="SingleTxtG"/>
        <w:keepNext/>
        <w:spacing w:line="240" w:lineRule="exact"/>
        <w:rPr>
          <w:lang w:val="fr-FR"/>
        </w:rPr>
      </w:pPr>
      <w:r w:rsidRPr="00F845FC">
        <w:rPr>
          <w:i/>
          <w:lang w:val="fr-FR"/>
        </w:rPr>
        <w:t>Paragraphe 6.26.9.2</w:t>
      </w:r>
      <w:r w:rsidRPr="00F845FC">
        <w:rPr>
          <w:lang w:val="fr-FR"/>
        </w:rPr>
        <w:t>, lire</w:t>
      </w:r>
      <w:r w:rsidR="00B772DF">
        <w:rPr>
          <w:lang w:val="fr-FR"/>
        </w:rPr>
        <w:t> :</w:t>
      </w:r>
    </w:p>
    <w:p w:rsidR="00F9573C" w:rsidRDefault="0077627A" w:rsidP="00A301AC">
      <w:pPr>
        <w:pStyle w:val="SingleTxtG"/>
        <w:ind w:left="2438" w:hanging="1304"/>
        <w:rPr>
          <w:lang w:val="fr-FR"/>
        </w:rPr>
      </w:pPr>
      <w:r w:rsidRPr="00F845FC">
        <w:rPr>
          <w:lang w:val="fr-FR"/>
        </w:rPr>
        <w:t>« 6.26.9.2</w:t>
      </w:r>
      <w:r w:rsidRPr="00F845FC">
        <w:rPr>
          <w:lang w:val="fr-FR"/>
        </w:rPr>
        <w:tab/>
        <w:t>À la demande du demandeur de l</w:t>
      </w:r>
      <w:r>
        <w:rPr>
          <w:lang w:val="fr-FR"/>
        </w:rPr>
        <w:t>’</w:t>
      </w:r>
      <w:r w:rsidRPr="00F845FC">
        <w:rPr>
          <w:lang w:val="fr-FR"/>
        </w:rPr>
        <w:t>homologation et avec l</w:t>
      </w:r>
      <w:r>
        <w:rPr>
          <w:lang w:val="fr-FR"/>
        </w:rPr>
        <w:t>’</w:t>
      </w:r>
      <w:r w:rsidRPr="00F845FC">
        <w:rPr>
          <w:lang w:val="fr-FR"/>
        </w:rPr>
        <w:t>accord du service technique, le respect des prescriptions du paragraphe 6.26.9.1 peut être vérifié sur schéma ou par simulation</w:t>
      </w:r>
      <w:r>
        <w:rPr>
          <w:lang w:val="fr-FR"/>
        </w:rPr>
        <w:t>,</w:t>
      </w:r>
      <w:r w:rsidRPr="00F845FC">
        <w:rPr>
          <w:lang w:val="fr-FR"/>
        </w:rPr>
        <w:t xml:space="preserve"> ou jugé réalisé si les conditions d</w:t>
      </w:r>
      <w:r>
        <w:rPr>
          <w:lang w:val="fr-FR"/>
        </w:rPr>
        <w:t>’</w:t>
      </w:r>
      <w:r w:rsidRPr="00F845FC">
        <w:rPr>
          <w:lang w:val="fr-FR"/>
        </w:rPr>
        <w:t xml:space="preserve">installation satisfont aux prescriptions du paragraphe 6.2.2 du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xml:space="preserve"> 23, ou du paragraphe 5.10.2 du Règlement </w:t>
      </w:r>
      <w:r>
        <w:rPr>
          <w:lang w:val="fr-FR"/>
        </w:rPr>
        <w:t xml:space="preserve">ONU </w:t>
      </w:r>
      <w:r w:rsidRPr="00F845FC">
        <w:rPr>
          <w:lang w:val="fr-FR"/>
        </w:rPr>
        <w:t>n</w:t>
      </w:r>
      <w:r w:rsidRPr="00F845FC">
        <w:rPr>
          <w:vertAlign w:val="superscript"/>
          <w:lang w:val="fr-FR"/>
        </w:rPr>
        <w:t>o</w:t>
      </w:r>
      <w:r w:rsidRPr="00F845FC">
        <w:rPr>
          <w:lang w:val="fr-FR"/>
        </w:rPr>
        <w:t> [LSD], comme noté dans le document d</w:t>
      </w:r>
      <w:r>
        <w:rPr>
          <w:lang w:val="fr-FR"/>
        </w:rPr>
        <w:t>’</w:t>
      </w:r>
      <w:r w:rsidR="00FF4838">
        <w:rPr>
          <w:lang w:val="fr-FR"/>
        </w:rPr>
        <w:t xml:space="preserve">homologation </w:t>
      </w:r>
      <w:r>
        <w:rPr>
          <w:lang w:val="fr-FR"/>
        </w:rPr>
        <w:t xml:space="preserve">à </w:t>
      </w:r>
      <w:r w:rsidRPr="00F845FC">
        <w:rPr>
          <w:lang w:val="fr-FR"/>
        </w:rPr>
        <w:t>l</w:t>
      </w:r>
      <w:r>
        <w:rPr>
          <w:lang w:val="fr-FR"/>
        </w:rPr>
        <w:t>’</w:t>
      </w:r>
      <w:r w:rsidRPr="00F845FC">
        <w:rPr>
          <w:lang w:val="fr-FR"/>
        </w:rPr>
        <w:t>annexe 1,</w:t>
      </w:r>
      <w:r w:rsidR="00FF4838">
        <w:rPr>
          <w:lang w:val="fr-FR"/>
        </w:rPr>
        <w:t xml:space="preserve"> </w:t>
      </w:r>
      <w:r w:rsidRPr="00F845FC">
        <w:rPr>
          <w:lang w:val="fr-FR"/>
        </w:rPr>
        <w:t>paragraphe 9. ».</w:t>
      </w:r>
    </w:p>
    <w:p w:rsidR="00B772DF" w:rsidRPr="00B772DF" w:rsidRDefault="00B772DF" w:rsidP="00B772DF">
      <w:pPr>
        <w:pStyle w:val="SingleTxtG"/>
        <w:spacing w:before="240" w:after="0"/>
        <w:jc w:val="center"/>
        <w:rPr>
          <w:u w:val="single"/>
        </w:rPr>
      </w:pPr>
      <w:r>
        <w:rPr>
          <w:u w:val="single"/>
        </w:rPr>
        <w:tab/>
      </w:r>
      <w:r>
        <w:rPr>
          <w:u w:val="single"/>
        </w:rPr>
        <w:tab/>
      </w:r>
      <w:r>
        <w:rPr>
          <w:u w:val="single"/>
        </w:rPr>
        <w:tab/>
      </w:r>
    </w:p>
    <w:sectPr w:rsidR="00B772DF" w:rsidRPr="00B772DF" w:rsidSect="00B7533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532" w:rsidRDefault="00FC4532" w:rsidP="00F95C08">
      <w:pPr>
        <w:spacing w:line="240" w:lineRule="auto"/>
      </w:pPr>
    </w:p>
  </w:endnote>
  <w:endnote w:type="continuationSeparator" w:id="0">
    <w:p w:rsidR="00FC4532" w:rsidRPr="00AC3823" w:rsidRDefault="00FC4532" w:rsidP="00AC3823">
      <w:pPr>
        <w:pStyle w:val="Footer"/>
      </w:pPr>
    </w:p>
  </w:endnote>
  <w:endnote w:type="continuationNotice" w:id="1">
    <w:p w:rsidR="00FC4532" w:rsidRDefault="00FC45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337" w:rsidRPr="00B75337" w:rsidRDefault="00B75337" w:rsidP="00B75337">
    <w:pPr>
      <w:pStyle w:val="Footer"/>
      <w:tabs>
        <w:tab w:val="right" w:pos="9638"/>
      </w:tabs>
    </w:pPr>
    <w:r w:rsidRPr="00B75337">
      <w:rPr>
        <w:b/>
        <w:sz w:val="18"/>
      </w:rPr>
      <w:fldChar w:fldCharType="begin"/>
    </w:r>
    <w:r w:rsidRPr="00B75337">
      <w:rPr>
        <w:b/>
        <w:sz w:val="18"/>
      </w:rPr>
      <w:instrText xml:space="preserve"> PAGE  \* MERGEFORMAT </w:instrText>
    </w:r>
    <w:r w:rsidRPr="00B75337">
      <w:rPr>
        <w:b/>
        <w:sz w:val="18"/>
      </w:rPr>
      <w:fldChar w:fldCharType="separate"/>
    </w:r>
    <w:r w:rsidR="00386690">
      <w:rPr>
        <w:b/>
        <w:noProof/>
        <w:sz w:val="18"/>
      </w:rPr>
      <w:t>4</w:t>
    </w:r>
    <w:r w:rsidRPr="00B75337">
      <w:rPr>
        <w:b/>
        <w:sz w:val="18"/>
      </w:rPr>
      <w:fldChar w:fldCharType="end"/>
    </w:r>
    <w:r>
      <w:rPr>
        <w:b/>
        <w:sz w:val="18"/>
      </w:rPr>
      <w:tab/>
    </w:r>
    <w:r>
      <w:t>GE.18-13892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337" w:rsidRPr="00B75337" w:rsidRDefault="00B75337" w:rsidP="00B75337">
    <w:pPr>
      <w:pStyle w:val="Footer"/>
      <w:tabs>
        <w:tab w:val="right" w:pos="9638"/>
      </w:tabs>
      <w:rPr>
        <w:b/>
        <w:sz w:val="18"/>
      </w:rPr>
    </w:pPr>
    <w:r>
      <w:t>GE.18-13892</w:t>
    </w:r>
    <w:r>
      <w:tab/>
    </w:r>
    <w:r w:rsidRPr="00B75337">
      <w:rPr>
        <w:b/>
        <w:sz w:val="18"/>
      </w:rPr>
      <w:fldChar w:fldCharType="begin"/>
    </w:r>
    <w:r w:rsidRPr="00B75337">
      <w:rPr>
        <w:b/>
        <w:sz w:val="18"/>
      </w:rPr>
      <w:instrText xml:space="preserve"> PAGE  \* MERGEFORMAT </w:instrText>
    </w:r>
    <w:r w:rsidRPr="00B75337">
      <w:rPr>
        <w:b/>
        <w:sz w:val="18"/>
      </w:rPr>
      <w:fldChar w:fldCharType="separate"/>
    </w:r>
    <w:r w:rsidR="00386690">
      <w:rPr>
        <w:b/>
        <w:noProof/>
        <w:sz w:val="18"/>
      </w:rPr>
      <w:t>5</w:t>
    </w:r>
    <w:r w:rsidRPr="00B753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B75337" w:rsidRDefault="00B75337" w:rsidP="00B75337">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13892</w:t>
    </w:r>
    <w:r w:rsidR="00FF4838">
      <w:rPr>
        <w:sz w:val="20"/>
      </w:rPr>
      <w:t xml:space="preserve">  </w:t>
    </w:r>
    <w:r>
      <w:rPr>
        <w:sz w:val="20"/>
      </w:rPr>
      <w:t>(</w:t>
    </w:r>
    <w:proofErr w:type="gramEnd"/>
    <w:r>
      <w:rPr>
        <w:sz w:val="20"/>
      </w:rPr>
      <w:t>F)</w:t>
    </w:r>
    <w:r w:rsidR="00FF4838">
      <w:rPr>
        <w:sz w:val="20"/>
      </w:rPr>
      <w:t xml:space="preserve">    </w:t>
    </w:r>
    <w:r>
      <w:rPr>
        <w:sz w:val="20"/>
      </w:rPr>
      <w:t>200918</w:t>
    </w:r>
    <w:r w:rsidR="00FF4838">
      <w:rPr>
        <w:sz w:val="20"/>
      </w:rPr>
      <w:t xml:space="preserve">    </w:t>
    </w:r>
    <w:r>
      <w:rPr>
        <w:sz w:val="20"/>
      </w:rPr>
      <w:t>280918</w:t>
    </w:r>
    <w:r>
      <w:rPr>
        <w:sz w:val="20"/>
      </w:rPr>
      <w:br/>
    </w:r>
    <w:r w:rsidRPr="00B75337">
      <w:rPr>
        <w:rFonts w:ascii="C39T30Lfz" w:hAnsi="C39T30Lfz"/>
        <w:sz w:val="56"/>
      </w:rPr>
      <w:t></w:t>
    </w:r>
    <w:r w:rsidRPr="00B75337">
      <w:rPr>
        <w:rFonts w:ascii="C39T30Lfz" w:hAnsi="C39T30Lfz"/>
        <w:sz w:val="56"/>
      </w:rPr>
      <w:t></w:t>
    </w:r>
    <w:r w:rsidRPr="00B75337">
      <w:rPr>
        <w:rFonts w:ascii="C39T30Lfz" w:hAnsi="C39T30Lfz"/>
        <w:sz w:val="56"/>
      </w:rPr>
      <w:t></w:t>
    </w:r>
    <w:r w:rsidRPr="00B75337">
      <w:rPr>
        <w:rFonts w:ascii="C39T30Lfz" w:hAnsi="C39T30Lfz"/>
        <w:sz w:val="56"/>
      </w:rPr>
      <w:t></w:t>
    </w:r>
    <w:r w:rsidRPr="00B75337">
      <w:rPr>
        <w:rFonts w:ascii="C39T30Lfz" w:hAnsi="C39T30Lfz"/>
        <w:sz w:val="56"/>
      </w:rPr>
      <w:t></w:t>
    </w:r>
    <w:r w:rsidRPr="00B75337">
      <w:rPr>
        <w:rFonts w:ascii="C39T30Lfz" w:hAnsi="C39T30Lfz"/>
        <w:sz w:val="56"/>
      </w:rPr>
      <w:t></w:t>
    </w:r>
    <w:r w:rsidRPr="00B75337">
      <w:rPr>
        <w:rFonts w:ascii="C39T30Lfz" w:hAnsi="C39T30Lfz"/>
        <w:sz w:val="56"/>
      </w:rPr>
      <w:t></w:t>
    </w:r>
    <w:r w:rsidRPr="00B75337">
      <w:rPr>
        <w:rFonts w:ascii="C39T30Lfz" w:hAnsi="C39T30Lfz"/>
        <w:sz w:val="56"/>
      </w:rPr>
      <w:t></w:t>
    </w:r>
    <w:r w:rsidRPr="00B7533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0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0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532" w:rsidRPr="00AC3823" w:rsidRDefault="00FC4532" w:rsidP="00AC3823">
      <w:pPr>
        <w:pStyle w:val="Footer"/>
        <w:tabs>
          <w:tab w:val="right" w:pos="2155"/>
        </w:tabs>
        <w:spacing w:after="80" w:line="240" w:lineRule="atLeast"/>
        <w:ind w:left="680"/>
        <w:rPr>
          <w:u w:val="single"/>
        </w:rPr>
      </w:pPr>
      <w:r>
        <w:rPr>
          <w:u w:val="single"/>
        </w:rPr>
        <w:tab/>
      </w:r>
    </w:p>
  </w:footnote>
  <w:footnote w:type="continuationSeparator" w:id="0">
    <w:p w:rsidR="00FC4532" w:rsidRPr="00AC3823" w:rsidRDefault="00FC4532" w:rsidP="00AC3823">
      <w:pPr>
        <w:pStyle w:val="Footer"/>
        <w:tabs>
          <w:tab w:val="right" w:pos="2155"/>
        </w:tabs>
        <w:spacing w:after="80" w:line="240" w:lineRule="atLeast"/>
        <w:ind w:left="680"/>
        <w:rPr>
          <w:u w:val="single"/>
        </w:rPr>
      </w:pPr>
      <w:r>
        <w:rPr>
          <w:u w:val="single"/>
        </w:rPr>
        <w:tab/>
      </w:r>
    </w:p>
  </w:footnote>
  <w:footnote w:type="continuationNotice" w:id="1">
    <w:p w:rsidR="00FC4532" w:rsidRPr="00AC3823" w:rsidRDefault="00FC4532">
      <w:pPr>
        <w:spacing w:line="240" w:lineRule="auto"/>
        <w:rPr>
          <w:sz w:val="2"/>
          <w:szCs w:val="2"/>
        </w:rPr>
      </w:pPr>
    </w:p>
  </w:footnote>
  <w:footnote w:id="2">
    <w:p w:rsidR="00BF00C0" w:rsidRPr="00BF00C0" w:rsidRDefault="00BF00C0">
      <w:pPr>
        <w:pStyle w:val="FootnoteText"/>
      </w:pPr>
      <w:r>
        <w:rPr>
          <w:rStyle w:val="FootnoteReference"/>
        </w:rPr>
        <w:tab/>
      </w:r>
      <w:r w:rsidRPr="00BF00C0">
        <w:rPr>
          <w:rStyle w:val="FootnoteReference"/>
          <w:sz w:val="20"/>
          <w:vertAlign w:val="baseline"/>
        </w:rPr>
        <w:t>*</w:t>
      </w:r>
      <w:r>
        <w:rPr>
          <w:rStyle w:val="FootnoteReference"/>
          <w:sz w:val="20"/>
          <w:vertAlign w:val="baseline"/>
        </w:rPr>
        <w:tab/>
      </w:r>
      <w:r>
        <w:t>Nouveau tirage pour raisons techniques (11 octobre 2018).</w:t>
      </w:r>
    </w:p>
  </w:footnote>
  <w:footnote w:id="3">
    <w:p w:rsidR="00BF00C0" w:rsidRPr="00BF00C0" w:rsidRDefault="00BF00C0">
      <w:pPr>
        <w:pStyle w:val="FootnoteText"/>
      </w:pPr>
      <w:r>
        <w:rPr>
          <w:rStyle w:val="FootnoteReference"/>
        </w:rPr>
        <w:tab/>
      </w:r>
      <w:r w:rsidRPr="00BF00C0">
        <w:rPr>
          <w:rStyle w:val="FootnoteReference"/>
          <w:sz w:val="20"/>
          <w:vertAlign w:val="baseline"/>
        </w:rPr>
        <w:t>**</w:t>
      </w:r>
      <w:r>
        <w:rPr>
          <w:rStyle w:val="FootnoteReference"/>
          <w:sz w:val="20"/>
          <w:vertAlign w:val="baseline"/>
        </w:rPr>
        <w:tab/>
      </w:r>
      <w:r w:rsidRPr="002E5049">
        <w:t>Conformément au programme de travail du Comité des transports</w:t>
      </w:r>
      <w:r>
        <w:t> intérieurs pour la période 2018</w:t>
      </w:r>
      <w:r>
        <w:noBreakHyphen/>
        <w:t>2019 (ECE/TRANS/274</w:t>
      </w:r>
      <w:r w:rsidRPr="002E5049">
        <w:t>, par. 1</w:t>
      </w:r>
      <w:r>
        <w:t>23, et ECE/TRANS/2018/21/Add.1, module 3.1</w:t>
      </w:r>
      <w:r w:rsidRPr="002E5049">
        <w:t xml:space="preserve">), le Forum mondial a pour mission d’élaborer, d’harmoniser et de mettre à jour les Règlements </w:t>
      </w:r>
      <w:r>
        <w:t xml:space="preserve">ONU </w:t>
      </w:r>
      <w:r w:rsidRPr="002E5049">
        <w:t xml:space="preserve">en vue d’améliorer les caractéristiques </w:t>
      </w:r>
      <w:r w:rsidRPr="003976A9">
        <w:t>fonctionnelles</w:t>
      </w:r>
      <w:r w:rsidRPr="002E5049">
        <w:t xml:space="preserve"> des véhicules</w:t>
      </w:r>
      <w:r w:rsidRPr="001E1A55">
        <w:t>.</w:t>
      </w:r>
      <w:r w:rsidRPr="002E5049">
        <w:rPr>
          <w:sz w:val="24"/>
        </w:rPr>
        <w:t xml:space="preserve"> </w:t>
      </w:r>
      <w:r w:rsidRPr="002E5049">
        <w:t>Le présent document est soumis en vertu de ce mandat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337" w:rsidRPr="00B75337" w:rsidRDefault="003A4C68">
    <w:pPr>
      <w:pStyle w:val="Header"/>
    </w:pPr>
    <w:r>
      <w:fldChar w:fldCharType="begin"/>
    </w:r>
    <w:r>
      <w:instrText xml:space="preserve"> TITLE  \* MERGEFORMAT </w:instrText>
    </w:r>
    <w:r>
      <w:fldChar w:fldCharType="separate"/>
    </w:r>
    <w:r w:rsidR="00847D94">
      <w:t>ECE/TRANS/WP.29/2018/100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337" w:rsidRPr="00B75337" w:rsidRDefault="003A4C68" w:rsidP="00B75337">
    <w:pPr>
      <w:pStyle w:val="Header"/>
      <w:jc w:val="right"/>
    </w:pPr>
    <w:r>
      <w:fldChar w:fldCharType="begin"/>
    </w:r>
    <w:r>
      <w:instrText xml:space="preserve"> TITLE  \* MERGEFORMAT </w:instrText>
    </w:r>
    <w:r>
      <w:fldChar w:fldCharType="separate"/>
    </w:r>
    <w:r w:rsidR="00847D94">
      <w:t>ECE/TRANS/WP.29/2018/100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532"/>
    <w:rsid w:val="00017F94"/>
    <w:rsid w:val="00023842"/>
    <w:rsid w:val="000334F9"/>
    <w:rsid w:val="00045FEB"/>
    <w:rsid w:val="000679F1"/>
    <w:rsid w:val="0007796D"/>
    <w:rsid w:val="000B7790"/>
    <w:rsid w:val="00111F2F"/>
    <w:rsid w:val="0014365E"/>
    <w:rsid w:val="00143C66"/>
    <w:rsid w:val="00176178"/>
    <w:rsid w:val="001F525A"/>
    <w:rsid w:val="001F6AC9"/>
    <w:rsid w:val="00223272"/>
    <w:rsid w:val="00232AA6"/>
    <w:rsid w:val="0024779E"/>
    <w:rsid w:val="00257168"/>
    <w:rsid w:val="002744B8"/>
    <w:rsid w:val="002832AC"/>
    <w:rsid w:val="0029140B"/>
    <w:rsid w:val="002D7C93"/>
    <w:rsid w:val="00305801"/>
    <w:rsid w:val="00386690"/>
    <w:rsid w:val="003916DE"/>
    <w:rsid w:val="003976A9"/>
    <w:rsid w:val="003A4C68"/>
    <w:rsid w:val="003B7ED3"/>
    <w:rsid w:val="003C7394"/>
    <w:rsid w:val="00421996"/>
    <w:rsid w:val="00441C3B"/>
    <w:rsid w:val="00446FE5"/>
    <w:rsid w:val="004470AA"/>
    <w:rsid w:val="00452396"/>
    <w:rsid w:val="00473663"/>
    <w:rsid w:val="004837D8"/>
    <w:rsid w:val="004E2EED"/>
    <w:rsid w:val="004E468C"/>
    <w:rsid w:val="005505B7"/>
    <w:rsid w:val="00573BE5"/>
    <w:rsid w:val="00586ED3"/>
    <w:rsid w:val="00591E37"/>
    <w:rsid w:val="00596AA9"/>
    <w:rsid w:val="005C04AB"/>
    <w:rsid w:val="0071601D"/>
    <w:rsid w:val="0076044F"/>
    <w:rsid w:val="0077627A"/>
    <w:rsid w:val="007A62E6"/>
    <w:rsid w:val="007F20FA"/>
    <w:rsid w:val="0080684C"/>
    <w:rsid w:val="00846F5D"/>
    <w:rsid w:val="00847D94"/>
    <w:rsid w:val="00871C75"/>
    <w:rsid w:val="008776DC"/>
    <w:rsid w:val="00897200"/>
    <w:rsid w:val="009446C0"/>
    <w:rsid w:val="009705C8"/>
    <w:rsid w:val="009C1CF4"/>
    <w:rsid w:val="009D2079"/>
    <w:rsid w:val="009F6B74"/>
    <w:rsid w:val="00A301AC"/>
    <w:rsid w:val="00A3029F"/>
    <w:rsid w:val="00A30353"/>
    <w:rsid w:val="00A8309A"/>
    <w:rsid w:val="00AC3823"/>
    <w:rsid w:val="00AE323C"/>
    <w:rsid w:val="00AF0CB5"/>
    <w:rsid w:val="00B00181"/>
    <w:rsid w:val="00B00B0D"/>
    <w:rsid w:val="00B45F2E"/>
    <w:rsid w:val="00B75337"/>
    <w:rsid w:val="00B765F7"/>
    <w:rsid w:val="00B772DF"/>
    <w:rsid w:val="00BA0CA9"/>
    <w:rsid w:val="00BF00C0"/>
    <w:rsid w:val="00C02897"/>
    <w:rsid w:val="00C26ECF"/>
    <w:rsid w:val="00C97039"/>
    <w:rsid w:val="00CD5E4E"/>
    <w:rsid w:val="00D3439C"/>
    <w:rsid w:val="00D77653"/>
    <w:rsid w:val="00DB1831"/>
    <w:rsid w:val="00DD3BFD"/>
    <w:rsid w:val="00DF6678"/>
    <w:rsid w:val="00E0299A"/>
    <w:rsid w:val="00E85C74"/>
    <w:rsid w:val="00EA6547"/>
    <w:rsid w:val="00ED13BC"/>
    <w:rsid w:val="00EF2E22"/>
    <w:rsid w:val="00F1367D"/>
    <w:rsid w:val="00F32296"/>
    <w:rsid w:val="00F35BAF"/>
    <w:rsid w:val="00F660DF"/>
    <w:rsid w:val="00F94664"/>
    <w:rsid w:val="00F9573C"/>
    <w:rsid w:val="00F95C08"/>
    <w:rsid w:val="00FB7C8C"/>
    <w:rsid w:val="00FC4532"/>
    <w:rsid w:val="00FD49C7"/>
    <w:rsid w:val="00FF483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B7591A9-BC4B-40A4-9A90-CEF152E2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77627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2403</Words>
  <Characters>13699</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ECE/TRANS/WP.29/2018/100</vt:lpstr>
      <vt:lpstr>ECE/TRANS/WP.29/2018/100</vt:lpstr>
    </vt:vector>
  </TitlesOfParts>
  <Company>DCM</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ECE/TRANS/WP.29/2018/100</dc:title>
  <dc:subject/>
  <dc:creator>Nathalie VITTOZ</dc:creator>
  <cp:keywords/>
  <cp:lastModifiedBy>Secretariat</cp:lastModifiedBy>
  <cp:revision>2</cp:revision>
  <cp:lastPrinted>2018-09-28T06:52:00Z</cp:lastPrinted>
  <dcterms:created xsi:type="dcterms:W3CDTF">2018-10-18T13:42:00Z</dcterms:created>
  <dcterms:modified xsi:type="dcterms:W3CDTF">2018-10-18T13:42:00Z</dcterms:modified>
</cp:coreProperties>
</file>