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10D1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10D1F" w:rsidP="00710D1F">
            <w:pPr>
              <w:jc w:val="right"/>
            </w:pPr>
            <w:r w:rsidRPr="00710D1F">
              <w:rPr>
                <w:sz w:val="40"/>
              </w:rPr>
              <w:t>ECE</w:t>
            </w:r>
            <w:r>
              <w:t>/TRANS/WP.29/2018/59</w:t>
            </w:r>
            <w:r w:rsidR="003F10F4" w:rsidRPr="003F10F4">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10D1F" w:rsidP="00C97039">
            <w:pPr>
              <w:spacing w:before="240"/>
            </w:pPr>
            <w:r>
              <w:t>Distr. générale</w:t>
            </w:r>
          </w:p>
          <w:p w:rsidR="00710D1F" w:rsidRDefault="003F10F4" w:rsidP="00710D1F">
            <w:pPr>
              <w:spacing w:line="240" w:lineRule="exact"/>
            </w:pPr>
            <w:r>
              <w:t>4 </w:t>
            </w:r>
            <w:r w:rsidR="00710D1F">
              <w:t>avril 2018</w:t>
            </w:r>
          </w:p>
          <w:p w:rsidR="00710D1F" w:rsidRDefault="00710D1F" w:rsidP="00710D1F">
            <w:pPr>
              <w:spacing w:line="240" w:lineRule="exact"/>
            </w:pPr>
            <w:r>
              <w:t>Français</w:t>
            </w:r>
          </w:p>
          <w:p w:rsidR="00710D1F" w:rsidRPr="00DB58B5" w:rsidRDefault="003F10F4" w:rsidP="00710D1F">
            <w:pPr>
              <w:spacing w:line="240" w:lineRule="exact"/>
            </w:pPr>
            <w:r>
              <w:t>Original </w:t>
            </w:r>
            <w:r w:rsidR="00710D1F">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800C1" w:rsidRDefault="001800C1" w:rsidP="00AF0CB5">
      <w:pPr>
        <w:spacing w:before="120"/>
        <w:rPr>
          <w:b/>
          <w:sz w:val="24"/>
          <w:szCs w:val="24"/>
        </w:rPr>
      </w:pPr>
      <w:r w:rsidRPr="00685843">
        <w:rPr>
          <w:b/>
          <w:sz w:val="24"/>
          <w:szCs w:val="24"/>
        </w:rPr>
        <w:t>Forum mondial de l’harmonisation</w:t>
      </w:r>
      <w:r w:rsidR="003F10F4">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800C1" w:rsidRDefault="001800C1" w:rsidP="00F9573C">
      <w:pPr>
        <w:spacing w:before="120" w:line="240" w:lineRule="exact"/>
        <w:rPr>
          <w:b/>
        </w:rPr>
      </w:pPr>
      <w:r>
        <w:rPr>
          <w:b/>
        </w:rPr>
        <w:t>175</w:t>
      </w:r>
      <w:r w:rsidRPr="001800C1">
        <w:rPr>
          <w:b/>
          <w:vertAlign w:val="superscript"/>
        </w:rPr>
        <w:t>e</w:t>
      </w:r>
      <w:r>
        <w:rPr>
          <w:b/>
        </w:rPr>
        <w:t xml:space="preserve"> session</w:t>
      </w:r>
    </w:p>
    <w:p w:rsidR="001800C1" w:rsidRDefault="001800C1" w:rsidP="00F9573C">
      <w:pPr>
        <w:spacing w:line="240" w:lineRule="exact"/>
      </w:pPr>
      <w:r>
        <w:t>Genève, 19-22</w:t>
      </w:r>
      <w:r w:rsidR="003F10F4">
        <w:t> </w:t>
      </w:r>
      <w:r>
        <w:t>juin 2018</w:t>
      </w:r>
    </w:p>
    <w:p w:rsidR="001800C1" w:rsidRDefault="001800C1" w:rsidP="00F9573C">
      <w:pPr>
        <w:spacing w:line="240" w:lineRule="exact"/>
      </w:pPr>
      <w:r>
        <w:t>Point 4.8.7 de l’ordre du jour provisoire</w:t>
      </w:r>
    </w:p>
    <w:p w:rsidR="00F9573C" w:rsidRPr="001800C1" w:rsidRDefault="001800C1" w:rsidP="00AF0CB5">
      <w:pPr>
        <w:rPr>
          <w:b/>
        </w:rPr>
      </w:pPr>
      <w:r w:rsidRPr="001800C1">
        <w:rPr>
          <w:b/>
        </w:rPr>
        <w:t>Accord de 1958 : Examen de pro</w:t>
      </w:r>
      <w:r w:rsidR="00774BCA">
        <w:rPr>
          <w:b/>
        </w:rPr>
        <w:t>jets</w:t>
      </w:r>
      <w:r w:rsidRPr="001800C1">
        <w:rPr>
          <w:b/>
        </w:rPr>
        <w:t xml:space="preserve"> d’amendements</w:t>
      </w:r>
      <w:r w:rsidR="003F10F4">
        <w:rPr>
          <w:b/>
        </w:rPr>
        <w:t xml:space="preserve"> </w:t>
      </w:r>
      <w:r w:rsidRPr="001800C1">
        <w:rPr>
          <w:b/>
        </w:rPr>
        <w:br/>
        <w:t>à des Règlements</w:t>
      </w:r>
      <w:r w:rsidR="003F10F4">
        <w:rPr>
          <w:b/>
        </w:rPr>
        <w:t xml:space="preserve"> ONU</w:t>
      </w:r>
      <w:r w:rsidRPr="001800C1">
        <w:rPr>
          <w:b/>
        </w:rPr>
        <w:t xml:space="preserve"> existants</w:t>
      </w:r>
      <w:r w:rsidR="00774BCA">
        <w:rPr>
          <w:b/>
        </w:rPr>
        <w:t>,</w:t>
      </w:r>
      <w:r w:rsidRPr="001800C1">
        <w:rPr>
          <w:b/>
        </w:rPr>
        <w:t xml:space="preserve"> soumis par le GRRF</w:t>
      </w:r>
    </w:p>
    <w:p w:rsidR="00774BCA" w:rsidRPr="00A90EA8" w:rsidRDefault="00774BCA" w:rsidP="00774BCA">
      <w:pPr>
        <w:pStyle w:val="HChG"/>
      </w:pPr>
      <w:r>
        <w:rPr>
          <w:lang w:val="fr-FR"/>
        </w:rPr>
        <w:tab/>
      </w:r>
      <w:r>
        <w:rPr>
          <w:lang w:val="fr-FR"/>
        </w:rPr>
        <w:tab/>
        <w:t>Proposition de complément 9 au Règlement</w:t>
      </w:r>
      <w:r w:rsidR="003F10F4">
        <w:rPr>
          <w:lang w:val="fr-FR"/>
        </w:rPr>
        <w:t xml:space="preserve"> ONU</w:t>
      </w:r>
      <w:r>
        <w:rPr>
          <w:lang w:val="fr-FR"/>
        </w:rPr>
        <w:t xml:space="preserve"> n</w:t>
      </w:r>
      <w:r w:rsidRPr="00327B88">
        <w:rPr>
          <w:vertAlign w:val="superscript"/>
          <w:lang w:val="fr-FR"/>
        </w:rPr>
        <w:t>o</w:t>
      </w:r>
      <w:r>
        <w:rPr>
          <w:lang w:val="fr-FR"/>
        </w:rPr>
        <w:t xml:space="preserve"> 109 (Pneumatiques rechapés pour les véhicules utilitaires </w:t>
      </w:r>
      <w:r>
        <w:rPr>
          <w:lang w:val="fr-FR"/>
        </w:rPr>
        <w:br/>
        <w:t>et leurs remorques)</w:t>
      </w:r>
    </w:p>
    <w:p w:rsidR="00774BCA" w:rsidRPr="00B769A9" w:rsidRDefault="00774BCA" w:rsidP="00774BCA">
      <w:pPr>
        <w:pStyle w:val="H1G"/>
        <w:rPr>
          <w:sz w:val="32"/>
        </w:rPr>
      </w:pPr>
      <w:r>
        <w:rPr>
          <w:lang w:val="fr-FR"/>
        </w:rPr>
        <w:tab/>
      </w:r>
      <w:r>
        <w:rPr>
          <w:lang w:val="fr-FR"/>
        </w:rPr>
        <w:tab/>
      </w:r>
      <w:r w:rsidRPr="00B769A9">
        <w:rPr>
          <w:lang w:val="fr-FR"/>
        </w:rPr>
        <w:t>Communication du Groupe de travail en matière de roulement</w:t>
      </w:r>
      <w:r>
        <w:rPr>
          <w:lang w:val="fr-FR"/>
        </w:rPr>
        <w:t xml:space="preserve"> </w:t>
      </w:r>
      <w:r>
        <w:rPr>
          <w:lang w:val="fr-FR"/>
        </w:rPr>
        <w:br/>
      </w:r>
      <w:r w:rsidRPr="00B769A9">
        <w:rPr>
          <w:lang w:val="fr-FR"/>
        </w:rPr>
        <w:t>et de freinage</w:t>
      </w:r>
      <w:r w:rsidR="003F10F4" w:rsidRPr="003F10F4">
        <w:rPr>
          <w:rStyle w:val="FootnoteReference"/>
          <w:b w:val="0"/>
          <w:sz w:val="20"/>
          <w:vertAlign w:val="baseline"/>
        </w:rPr>
        <w:footnoteReference w:customMarkFollows="1" w:id="3"/>
        <w:t>**</w:t>
      </w:r>
    </w:p>
    <w:p w:rsidR="00774BCA" w:rsidRPr="008D6281" w:rsidRDefault="00774BCA" w:rsidP="00774BCA">
      <w:pPr>
        <w:pStyle w:val="SingleTxtG"/>
        <w:ind w:firstLine="567"/>
        <w:rPr>
          <w:spacing w:val="-1"/>
        </w:rPr>
      </w:pPr>
      <w:r w:rsidRPr="008D6281">
        <w:rPr>
          <w:spacing w:val="-1"/>
          <w:lang w:val="fr-FR"/>
        </w:rPr>
        <w:t>Le texte ci-après a été adopté par le Groupe de travail en matière de roulement et de freinage (GRRF) à sa quatre-vingt-sixième session (ECE/TRANS/WP.29/GRRF/86, par.</w:t>
      </w:r>
      <w:r w:rsidR="008D6281" w:rsidRPr="008D6281">
        <w:rPr>
          <w:spacing w:val="-1"/>
          <w:lang w:val="fr-FR"/>
        </w:rPr>
        <w:t> </w:t>
      </w:r>
      <w:r w:rsidRPr="008D6281">
        <w:rPr>
          <w:spacing w:val="-1"/>
          <w:lang w:val="fr-FR"/>
        </w:rPr>
        <w:t>34). Il est fondé sur le document ECE/TRANS/WP.29/GRRF/2018/9 et sur l’annexe</w:t>
      </w:r>
      <w:r w:rsidR="008D6281">
        <w:rPr>
          <w:spacing w:val="-1"/>
          <w:lang w:val="fr-FR"/>
        </w:rPr>
        <w:t> </w:t>
      </w:r>
      <w:r w:rsidRPr="008D6281">
        <w:rPr>
          <w:spacing w:val="-1"/>
          <w:lang w:val="fr-FR"/>
        </w:rPr>
        <w:t>VI du rapport. Il est soumis au Forum mondial de l’harmonisation des Règlements concernant les véhicules (WP.29) et au Comité d’administration (AC.1) pour examen à leurs sessions de juin 2018.</w:t>
      </w:r>
    </w:p>
    <w:p w:rsidR="00774BCA" w:rsidRDefault="00774BCA" w:rsidP="001E3DA1">
      <w:pPr>
        <w:pStyle w:val="HChG"/>
      </w:pPr>
      <w:r w:rsidRPr="00C42C4A">
        <w:br w:type="page"/>
      </w:r>
      <w:r>
        <w:rPr>
          <w:lang w:val="fr-FR"/>
        </w:rPr>
        <w:lastRenderedPageBreak/>
        <w:tab/>
      </w:r>
      <w:r>
        <w:rPr>
          <w:lang w:val="fr-FR"/>
        </w:rPr>
        <w:tab/>
        <w:t xml:space="preserve">Complément 9 au Règlement </w:t>
      </w:r>
      <w:r w:rsidR="003F10F4">
        <w:rPr>
          <w:lang w:val="fr-FR"/>
        </w:rPr>
        <w:t xml:space="preserve">ONU </w:t>
      </w:r>
      <w:r>
        <w:rPr>
          <w:lang w:val="fr-FR"/>
        </w:rPr>
        <w:t>n</w:t>
      </w:r>
      <w:r w:rsidRPr="00327B88">
        <w:rPr>
          <w:vertAlign w:val="superscript"/>
          <w:lang w:val="fr-FR"/>
        </w:rPr>
        <w:t>o</w:t>
      </w:r>
      <w:r w:rsidR="00C32C9F">
        <w:rPr>
          <w:lang w:val="fr-FR"/>
        </w:rPr>
        <w:t> </w:t>
      </w:r>
      <w:r>
        <w:rPr>
          <w:lang w:val="fr-FR"/>
        </w:rPr>
        <w:t>109 (Pneumatiques rechapés pour les véhicules utilitaires et leurs remorques)</w:t>
      </w:r>
    </w:p>
    <w:p w:rsidR="00774BCA" w:rsidRPr="00D078FD" w:rsidRDefault="00774BCA" w:rsidP="00C32C9F">
      <w:pPr>
        <w:pStyle w:val="SingleTxtG"/>
        <w:rPr>
          <w:sz w:val="18"/>
        </w:rPr>
      </w:pPr>
      <w:r>
        <w:rPr>
          <w:i/>
          <w:iCs/>
          <w:lang w:val="fr-FR"/>
        </w:rPr>
        <w:t>Paragraphe 1</w:t>
      </w:r>
      <w:r>
        <w:rPr>
          <w:lang w:val="fr-FR"/>
        </w:rPr>
        <w:t xml:space="preserve">, </w:t>
      </w:r>
      <w:bookmarkStart w:id="1" w:name="_Toc340666205"/>
      <w:bookmarkStart w:id="2" w:name="_Toc340745068"/>
      <w:r>
        <w:rPr>
          <w:lang w:val="fr-FR"/>
        </w:rPr>
        <w:t>modification sans objet en français.</w:t>
      </w:r>
    </w:p>
    <w:bookmarkEnd w:id="1"/>
    <w:bookmarkEnd w:id="2"/>
    <w:p w:rsidR="00774BCA" w:rsidRPr="00D078FD" w:rsidRDefault="00774BCA" w:rsidP="00C32C9F">
      <w:pPr>
        <w:pStyle w:val="SingleTxtG"/>
        <w:keepNext/>
        <w:rPr>
          <w:rFonts w:eastAsia="HGMaruGothicMPRO"/>
        </w:rPr>
      </w:pPr>
      <w:r w:rsidRPr="00EC500F">
        <w:rPr>
          <w:i/>
          <w:lang w:val="fr-FR"/>
        </w:rPr>
        <w:t>Paragraphe 2.1</w:t>
      </w:r>
      <w:r>
        <w:rPr>
          <w:lang w:val="fr-FR"/>
        </w:rPr>
        <w:t>, lire</w:t>
      </w:r>
      <w:r w:rsidR="00C32C9F">
        <w:rPr>
          <w:lang w:val="fr-FR"/>
        </w:rPr>
        <w:t> </w:t>
      </w:r>
      <w:r>
        <w:rPr>
          <w:lang w:val="fr-FR"/>
        </w:rPr>
        <w:t>:</w:t>
      </w:r>
    </w:p>
    <w:p w:rsidR="00774BCA" w:rsidRPr="00D078FD" w:rsidRDefault="00C32C9F" w:rsidP="00C32C9F">
      <w:pPr>
        <w:pStyle w:val="SingleTxtG"/>
        <w:ind w:left="2268" w:hanging="1134"/>
        <w:rPr>
          <w:rFonts w:eastAsia="HGMaruGothicMPRO"/>
        </w:rPr>
      </w:pPr>
      <w:r>
        <w:rPr>
          <w:lang w:val="fr-FR"/>
        </w:rPr>
        <w:t>« </w:t>
      </w:r>
      <w:r w:rsidR="00774BCA">
        <w:rPr>
          <w:lang w:val="fr-FR"/>
        </w:rPr>
        <w:t>2.1</w:t>
      </w:r>
      <w:r w:rsidR="00774BCA">
        <w:rPr>
          <w:lang w:val="fr-FR"/>
        </w:rPr>
        <w:tab/>
        <w:t xml:space="preserve">“Gamme de pneumatiques rechapés” </w:t>
      </w:r>
      <w:r>
        <w:rPr>
          <w:lang w:val="fr-FR"/>
        </w:rPr>
        <w:t>−</w:t>
      </w:r>
      <w:r w:rsidR="00774BCA">
        <w:rPr>
          <w:lang w:val="fr-FR"/>
        </w:rPr>
        <w:t xml:space="preserve"> La gamme de pneumatiques rech</w:t>
      </w:r>
      <w:r>
        <w:rPr>
          <w:lang w:val="fr-FR"/>
        </w:rPr>
        <w:t>apés selon le paragraphe 4.1.</w:t>
      </w:r>
      <w:r w:rsidR="00EC500F">
        <w:rPr>
          <w:lang w:val="fr-FR"/>
        </w:rPr>
        <w:t>5</w:t>
      </w:r>
      <w:r>
        <w:rPr>
          <w:lang w:val="fr-FR"/>
        </w:rPr>
        <w:t>. »</w:t>
      </w:r>
      <w:r w:rsidR="00774BCA">
        <w:rPr>
          <w:lang w:val="fr-FR"/>
        </w:rPr>
        <w:t>.</w:t>
      </w:r>
    </w:p>
    <w:p w:rsidR="00774BCA" w:rsidRPr="00D078FD" w:rsidRDefault="00774BCA" w:rsidP="00676E11">
      <w:pPr>
        <w:pStyle w:val="SingleTxtG"/>
        <w:keepNext/>
        <w:rPr>
          <w:rFonts w:eastAsia="HGMaruGothicMPRO"/>
        </w:rPr>
      </w:pPr>
      <w:r w:rsidRPr="00676E11">
        <w:rPr>
          <w:i/>
          <w:lang w:val="fr-FR"/>
        </w:rPr>
        <w:t>Ajouter un nouveau paragraphe 2.2</w:t>
      </w:r>
      <w:r w:rsidR="003F10F4">
        <w:rPr>
          <w:lang w:val="fr-FR"/>
        </w:rPr>
        <w:t>, ainsi conçu </w:t>
      </w:r>
      <w:r>
        <w:rPr>
          <w:lang w:val="fr-FR"/>
        </w:rPr>
        <w:t>:</w:t>
      </w:r>
    </w:p>
    <w:p w:rsidR="00774BCA" w:rsidRPr="00C42C4A" w:rsidRDefault="00676E11" w:rsidP="007C047F">
      <w:pPr>
        <w:pStyle w:val="SingleTxtG"/>
        <w:ind w:left="2268" w:hanging="1134"/>
      </w:pPr>
      <w:r>
        <w:rPr>
          <w:lang w:val="fr-FR"/>
        </w:rPr>
        <w:t>« </w:t>
      </w:r>
      <w:r w:rsidR="00774BCA">
        <w:rPr>
          <w:lang w:val="fr-FR"/>
        </w:rPr>
        <w:t>2.2</w:t>
      </w:r>
      <w:r w:rsidR="00774BCA">
        <w:rPr>
          <w:lang w:val="fr-FR"/>
        </w:rPr>
        <w:tab/>
      </w:r>
      <w:r w:rsidR="00774BCA" w:rsidRPr="00072B13">
        <w:rPr>
          <w:iCs/>
          <w:lang w:val="fr-FR"/>
        </w:rPr>
        <w:t>“</w:t>
      </w:r>
      <w:r w:rsidR="00774BCA">
        <w:rPr>
          <w:i/>
          <w:iCs/>
          <w:lang w:val="fr-FR"/>
        </w:rPr>
        <w:t>Rechapeur</w:t>
      </w:r>
      <w:r w:rsidR="00774BCA" w:rsidRPr="00676E11">
        <w:rPr>
          <w:iCs/>
          <w:lang w:val="fr-FR"/>
        </w:rPr>
        <w:t>”</w:t>
      </w:r>
      <w:r w:rsidR="00774BCA">
        <w:rPr>
          <w:lang w:val="fr-FR"/>
        </w:rPr>
        <w:t>, la personne ou l’organisme qui est responsable devant l’autorité d’homologation de type de tous les aspects du processus d’homologation de type au titre du présent Règlement ainsi que du respect de la conformité de la production.</w:t>
      </w:r>
      <w:r>
        <w:rPr>
          <w:lang w:val="fr-FR"/>
        </w:rPr>
        <w:t> »</w:t>
      </w:r>
      <w:r w:rsidR="00774BCA">
        <w:rPr>
          <w:lang w:val="fr-FR"/>
        </w:rPr>
        <w:t>.</w:t>
      </w:r>
    </w:p>
    <w:p w:rsidR="00774BCA" w:rsidRPr="00D078FD" w:rsidRDefault="00774BCA" w:rsidP="00676E11">
      <w:pPr>
        <w:pStyle w:val="SingleTxtG"/>
        <w:keepNext/>
        <w:rPr>
          <w:rFonts w:eastAsia="HGMaruGothicMPRO"/>
        </w:rPr>
      </w:pPr>
      <w:r w:rsidRPr="00676E11">
        <w:rPr>
          <w:i/>
          <w:lang w:val="fr-FR"/>
        </w:rPr>
        <w:t>Ajouter un nouveau paragraphe 2.3</w:t>
      </w:r>
      <w:r w:rsidR="00676E11">
        <w:rPr>
          <w:lang w:val="fr-FR"/>
        </w:rPr>
        <w:t>, ainsi conçu </w:t>
      </w:r>
      <w:r>
        <w:rPr>
          <w:lang w:val="fr-FR"/>
        </w:rPr>
        <w:t>:</w:t>
      </w:r>
    </w:p>
    <w:p w:rsidR="00774BCA" w:rsidRPr="00C42C4A" w:rsidRDefault="00676E11" w:rsidP="007C047F">
      <w:pPr>
        <w:pStyle w:val="SingleTxtG"/>
        <w:ind w:left="2268" w:hanging="1134"/>
      </w:pPr>
      <w:r>
        <w:rPr>
          <w:lang w:val="fr-FR"/>
        </w:rPr>
        <w:t>« </w:t>
      </w:r>
      <w:r w:rsidR="00774BCA">
        <w:rPr>
          <w:lang w:val="fr-FR"/>
        </w:rPr>
        <w:t>2.3</w:t>
      </w:r>
      <w:r w:rsidR="00774BCA">
        <w:rPr>
          <w:lang w:val="fr-FR"/>
        </w:rPr>
        <w:tab/>
      </w:r>
      <w:r w:rsidR="00774BCA" w:rsidRPr="00072B13">
        <w:rPr>
          <w:iCs/>
          <w:lang w:val="fr-FR"/>
        </w:rPr>
        <w:t>“</w:t>
      </w:r>
      <w:r w:rsidR="00774BCA">
        <w:rPr>
          <w:i/>
          <w:iCs/>
          <w:lang w:val="fr-FR"/>
        </w:rPr>
        <w:t>Fabricant du pneu</w:t>
      </w:r>
      <w:r w:rsidR="00774BCA" w:rsidRPr="00676E11">
        <w:rPr>
          <w:iCs/>
          <w:lang w:val="fr-FR"/>
        </w:rPr>
        <w:t>”</w:t>
      </w:r>
      <w:r w:rsidR="00774BCA">
        <w:rPr>
          <w:lang w:val="fr-FR"/>
        </w:rPr>
        <w:t>, la personne ou l’organisme qui était responsable devant l’autorité d’homologation ayant délivré l’homologation de type originale la conformité de la production au regard du règlement applicable aux pneumatiques neufs.</w:t>
      </w:r>
      <w:r>
        <w:rPr>
          <w:lang w:val="fr-FR"/>
        </w:rPr>
        <w:t> »</w:t>
      </w:r>
      <w:r w:rsidR="00774BCA">
        <w:rPr>
          <w:lang w:val="fr-FR"/>
        </w:rPr>
        <w:t>.</w:t>
      </w:r>
    </w:p>
    <w:p w:rsidR="00774BCA" w:rsidRPr="00D078FD" w:rsidRDefault="00774BCA" w:rsidP="00072B13">
      <w:pPr>
        <w:pStyle w:val="SingleTxtG"/>
        <w:keepNext/>
        <w:rPr>
          <w:rFonts w:eastAsia="HGMaruGothicMPRO"/>
        </w:rPr>
      </w:pPr>
      <w:r w:rsidRPr="00072B13">
        <w:rPr>
          <w:i/>
          <w:lang w:val="fr-FR"/>
        </w:rPr>
        <w:t>Ajouter un nouveau paragraphe 2.4</w:t>
      </w:r>
      <w:r>
        <w:rPr>
          <w:lang w:val="fr-FR"/>
        </w:rPr>
        <w:t>, ainsi conçu</w:t>
      </w:r>
      <w:r w:rsidR="00072B13">
        <w:rPr>
          <w:lang w:val="fr-FR"/>
        </w:rPr>
        <w:t> </w:t>
      </w:r>
      <w:r>
        <w:rPr>
          <w:lang w:val="fr-FR"/>
        </w:rPr>
        <w:t>:</w:t>
      </w:r>
    </w:p>
    <w:p w:rsidR="00774BCA" w:rsidRPr="00C42C4A" w:rsidRDefault="00072B13" w:rsidP="007C047F">
      <w:pPr>
        <w:pStyle w:val="SingleTxtG"/>
        <w:ind w:left="2268" w:hanging="1134"/>
      </w:pPr>
      <w:r>
        <w:rPr>
          <w:lang w:val="fr-FR"/>
        </w:rPr>
        <w:t>« </w:t>
      </w:r>
      <w:r w:rsidR="00774BCA">
        <w:rPr>
          <w:lang w:val="fr-FR"/>
        </w:rPr>
        <w:t>2.4</w:t>
      </w:r>
      <w:r w:rsidR="00774BCA">
        <w:rPr>
          <w:lang w:val="fr-FR"/>
        </w:rPr>
        <w:tab/>
      </w:r>
      <w:r w:rsidR="00774BCA" w:rsidRPr="00072B13">
        <w:rPr>
          <w:iCs/>
          <w:lang w:val="fr-FR"/>
        </w:rPr>
        <w:t>“</w:t>
      </w:r>
      <w:r w:rsidR="00774BCA">
        <w:rPr>
          <w:i/>
          <w:iCs/>
          <w:lang w:val="fr-FR"/>
        </w:rPr>
        <w:t>Fabricant du matériau/fournisseur du matériau</w:t>
      </w:r>
      <w:r w:rsidR="00774BCA" w:rsidRPr="00072B13">
        <w:rPr>
          <w:iCs/>
          <w:lang w:val="fr-FR"/>
        </w:rPr>
        <w:t>”</w:t>
      </w:r>
      <w:r w:rsidR="00774BCA">
        <w:rPr>
          <w:lang w:val="fr-FR"/>
        </w:rPr>
        <w:t>, la personne ou l’organisme qui fournit au rechapeur les matériaux de rechapage ou de réparation.</w:t>
      </w:r>
      <w:r>
        <w:rPr>
          <w:lang w:val="fr-FR"/>
        </w:rPr>
        <w:t> »</w:t>
      </w:r>
      <w:r w:rsidR="00774BCA">
        <w:rPr>
          <w:lang w:val="fr-FR"/>
        </w:rPr>
        <w:t xml:space="preserve">. </w:t>
      </w:r>
    </w:p>
    <w:p w:rsidR="00774BCA" w:rsidRPr="00D078FD" w:rsidRDefault="00774BCA" w:rsidP="00774BCA">
      <w:pPr>
        <w:spacing w:after="120"/>
        <w:ind w:left="1134" w:right="1134"/>
        <w:mirrorIndents/>
        <w:jc w:val="both"/>
        <w:rPr>
          <w:rFonts w:eastAsia="HGMaruGothicMPRO"/>
        </w:rPr>
      </w:pPr>
      <w:r>
        <w:rPr>
          <w:i/>
          <w:iCs/>
          <w:lang w:val="fr-FR"/>
        </w:rPr>
        <w:t>Ajouter un nouveau paragraphe 2.5</w:t>
      </w:r>
      <w:r>
        <w:rPr>
          <w:lang w:val="fr-FR"/>
        </w:rPr>
        <w:t>, ainsi conçu</w:t>
      </w:r>
      <w:r w:rsidR="003F10F4">
        <w:rPr>
          <w:lang w:val="fr-FR"/>
        </w:rPr>
        <w:t> </w:t>
      </w:r>
      <w:r>
        <w:rPr>
          <w:lang w:val="fr-FR"/>
        </w:rPr>
        <w:t>:</w:t>
      </w:r>
    </w:p>
    <w:p w:rsidR="00774BCA" w:rsidRPr="00C42C4A" w:rsidRDefault="00072B13" w:rsidP="007C047F">
      <w:pPr>
        <w:pStyle w:val="SingleTxtG"/>
        <w:ind w:left="2268" w:hanging="1134"/>
      </w:pPr>
      <w:r>
        <w:rPr>
          <w:lang w:val="fr-FR"/>
        </w:rPr>
        <w:t>« </w:t>
      </w:r>
      <w:r w:rsidR="00774BCA">
        <w:rPr>
          <w:lang w:val="fr-FR"/>
        </w:rPr>
        <w:t>2.5</w:t>
      </w:r>
      <w:r w:rsidR="00774BCA">
        <w:rPr>
          <w:lang w:val="fr-FR"/>
        </w:rPr>
        <w:tab/>
      </w:r>
      <w:r w:rsidR="00774BCA" w:rsidRPr="00403F22">
        <w:rPr>
          <w:iCs/>
          <w:lang w:val="fr-FR"/>
        </w:rPr>
        <w:t>“</w:t>
      </w:r>
      <w:r w:rsidR="00774BCA">
        <w:rPr>
          <w:i/>
          <w:iCs/>
          <w:lang w:val="fr-FR"/>
        </w:rPr>
        <w:t>Nom de marque/marque de fabrique</w:t>
      </w:r>
      <w:r w:rsidR="00774BCA" w:rsidRPr="00403F22">
        <w:rPr>
          <w:iCs/>
          <w:lang w:val="fr-FR"/>
        </w:rPr>
        <w:t>”</w:t>
      </w:r>
      <w:r w:rsidR="00774BCA">
        <w:rPr>
          <w:lang w:val="fr-FR"/>
        </w:rPr>
        <w:t>, l’identification du nom de marque ou de la marque de fabrique défini(e) par le rechapeur et indiqué(e) sur le(s) flanc(s) du pneu. Le nom de marque/la marque de fabrique peut être le même/la même que celui/celle du rechapeur. ».</w:t>
      </w:r>
    </w:p>
    <w:p w:rsidR="00774BCA" w:rsidRPr="00D078FD" w:rsidRDefault="00774BCA" w:rsidP="00403F22">
      <w:pPr>
        <w:pStyle w:val="SingleTxtG"/>
        <w:rPr>
          <w:rFonts w:eastAsia="HGMaruGothicMPRO"/>
        </w:rPr>
      </w:pPr>
      <w:r w:rsidRPr="00403F22">
        <w:rPr>
          <w:i/>
          <w:lang w:val="fr-FR"/>
        </w:rPr>
        <w:t>Ajouter un nouveau paragraphe 2.6</w:t>
      </w:r>
      <w:r>
        <w:rPr>
          <w:lang w:val="fr-FR"/>
        </w:rPr>
        <w:t>, ainsi conçu</w:t>
      </w:r>
      <w:r w:rsidR="003F10F4">
        <w:rPr>
          <w:lang w:val="fr-FR"/>
        </w:rPr>
        <w:t> </w:t>
      </w:r>
      <w:r>
        <w:rPr>
          <w:lang w:val="fr-FR"/>
        </w:rPr>
        <w:t>:</w:t>
      </w:r>
    </w:p>
    <w:p w:rsidR="00774BCA" w:rsidRPr="00D078FD" w:rsidRDefault="00774BCA" w:rsidP="007C047F">
      <w:pPr>
        <w:pStyle w:val="SingleTxtG"/>
        <w:ind w:left="2268" w:hanging="1134"/>
      </w:pPr>
      <w:r>
        <w:rPr>
          <w:lang w:val="fr-FR"/>
        </w:rPr>
        <w:t>« 2.6</w:t>
      </w:r>
      <w:r>
        <w:rPr>
          <w:lang w:val="fr-FR"/>
        </w:rPr>
        <w:tab/>
      </w:r>
      <w:r w:rsidRPr="00403F22">
        <w:rPr>
          <w:iCs/>
          <w:lang w:val="fr-FR"/>
        </w:rPr>
        <w:t>“</w:t>
      </w:r>
      <w:r>
        <w:rPr>
          <w:i/>
          <w:iCs/>
          <w:lang w:val="fr-FR"/>
        </w:rPr>
        <w:t>Désignation commerciale/nom commercial</w:t>
      </w:r>
      <w:r w:rsidRPr="00403F22">
        <w:rPr>
          <w:iCs/>
          <w:lang w:val="fr-FR"/>
        </w:rPr>
        <w:t>”</w:t>
      </w:r>
      <w:r>
        <w:rPr>
          <w:lang w:val="fr-FR"/>
        </w:rPr>
        <w:t>, l’identification d’une gamme de pneumatiques fournie par le rechapeur. Elle peut coïncider avec le nom de marque/la marque de fabrique.</w:t>
      </w:r>
      <w:r w:rsidR="003F10F4">
        <w:rPr>
          <w:lang w:val="fr-FR"/>
        </w:rPr>
        <w:t> </w:t>
      </w:r>
      <w:r>
        <w:rPr>
          <w:lang w:val="fr-FR"/>
        </w:rPr>
        <w:t>».</w:t>
      </w:r>
    </w:p>
    <w:p w:rsidR="00774BCA" w:rsidRPr="00D078FD" w:rsidRDefault="00774BCA" w:rsidP="00774BCA">
      <w:pPr>
        <w:spacing w:after="120"/>
        <w:ind w:left="1134" w:right="1134"/>
        <w:mirrorIndents/>
        <w:jc w:val="both"/>
        <w:rPr>
          <w:rFonts w:eastAsia="HGMaruGothicMPRO"/>
        </w:rPr>
      </w:pPr>
      <w:r>
        <w:rPr>
          <w:i/>
          <w:iCs/>
          <w:lang w:val="fr-FR"/>
        </w:rPr>
        <w:t>Ancien paragraphe 2.2</w:t>
      </w:r>
      <w:r w:rsidR="003F10F4">
        <w:rPr>
          <w:lang w:val="fr-FR"/>
        </w:rPr>
        <w:t>, lire </w:t>
      </w:r>
      <w:r>
        <w:rPr>
          <w:lang w:val="fr-FR"/>
        </w:rPr>
        <w:t>:</w:t>
      </w:r>
    </w:p>
    <w:p w:rsidR="00774BCA" w:rsidRPr="003B3F58" w:rsidRDefault="00774BCA" w:rsidP="007C047F">
      <w:pPr>
        <w:pStyle w:val="SingleTxtG"/>
        <w:ind w:left="2268" w:hanging="1134"/>
        <w:rPr>
          <w:rFonts w:eastAsia="HGMaruGothicMPRO"/>
        </w:rPr>
      </w:pPr>
      <w:r>
        <w:rPr>
          <w:lang w:val="fr-FR"/>
        </w:rPr>
        <w:t xml:space="preserve">« 2.7 </w:t>
      </w:r>
      <w:r>
        <w:rPr>
          <w:lang w:val="fr-FR"/>
        </w:rPr>
        <w:tab/>
      </w:r>
      <w:r w:rsidR="00403F22">
        <w:rPr>
          <w:iCs/>
          <w:lang w:val="fr-FR"/>
        </w:rPr>
        <w:t>“</w:t>
      </w:r>
      <w:r>
        <w:rPr>
          <w:i/>
          <w:iCs/>
          <w:lang w:val="fr-FR"/>
        </w:rPr>
        <w:t>Structure d’un pneumatique</w:t>
      </w:r>
      <w:r w:rsidR="00403F22">
        <w:rPr>
          <w:iCs/>
          <w:lang w:val="fr-FR"/>
        </w:rPr>
        <w:t>”</w:t>
      </w:r>
      <w:r>
        <w:rPr>
          <w:lang w:val="fr-FR"/>
        </w:rPr>
        <w:t>, les caractéristiques techniques de la carcasse du pneumatique. On distingue no</w:t>
      </w:r>
      <w:r w:rsidR="003F10F4">
        <w:rPr>
          <w:lang w:val="fr-FR"/>
        </w:rPr>
        <w:t>tamment les structures ci-après </w:t>
      </w:r>
      <w:r>
        <w:rPr>
          <w:lang w:val="fr-FR"/>
        </w:rPr>
        <w:t>:</w:t>
      </w:r>
    </w:p>
    <w:p w:rsidR="00774BCA" w:rsidRPr="003B3F58" w:rsidRDefault="00774BCA" w:rsidP="007C047F">
      <w:pPr>
        <w:pStyle w:val="SingleTxtG"/>
        <w:ind w:left="2268" w:hanging="1134"/>
        <w:rPr>
          <w:rFonts w:eastAsia="HGMaruGothicMPRO"/>
        </w:rPr>
      </w:pPr>
      <w:r>
        <w:rPr>
          <w:lang w:val="fr-FR"/>
        </w:rPr>
        <w:t>2.7.</w:t>
      </w:r>
      <w:r w:rsidRPr="00984932">
        <w:rPr>
          <w:lang w:val="fr-FR"/>
        </w:rPr>
        <w:t>1</w:t>
      </w:r>
      <w:r>
        <w:rPr>
          <w:lang w:val="fr-FR"/>
        </w:rPr>
        <w:t xml:space="preserve"> </w:t>
      </w:r>
      <w:r>
        <w:rPr>
          <w:lang w:val="fr-FR"/>
        </w:rPr>
        <w:tab/>
      </w:r>
      <w:r w:rsidRPr="00403F22">
        <w:rPr>
          <w:iCs/>
          <w:lang w:val="fr-FR"/>
        </w:rPr>
        <w:t>“</w:t>
      </w:r>
      <w:r>
        <w:rPr>
          <w:i/>
          <w:iCs/>
          <w:lang w:val="fr-FR"/>
        </w:rPr>
        <w:t>Diagonal</w:t>
      </w:r>
      <w:r w:rsidRPr="00403F22">
        <w:rPr>
          <w:iCs/>
          <w:lang w:val="fr-FR"/>
        </w:rPr>
        <w:t>”</w:t>
      </w:r>
      <w:r>
        <w:rPr>
          <w:lang w:val="fr-FR"/>
        </w:rPr>
        <w:t>, un pneumatique dont les câblés des plis s’étendent jusqu’aux talons et sont orientés de façon à former des angles alternés sensiblement inférieurs à 90° par rapport à la ligne médiane de la bande de roulement.</w:t>
      </w:r>
    </w:p>
    <w:p w:rsidR="00774BCA" w:rsidRPr="003B3F58" w:rsidRDefault="00774BCA" w:rsidP="007C047F">
      <w:pPr>
        <w:pStyle w:val="SingleTxtG"/>
        <w:ind w:left="2268" w:hanging="1134"/>
        <w:rPr>
          <w:rFonts w:eastAsia="HGMaruGothicMPRO"/>
        </w:rPr>
      </w:pPr>
      <w:r>
        <w:rPr>
          <w:lang w:val="fr-FR"/>
        </w:rPr>
        <w:t>2.7.2</w:t>
      </w:r>
      <w:r>
        <w:rPr>
          <w:lang w:val="fr-FR"/>
        </w:rPr>
        <w:tab/>
      </w:r>
      <w:r w:rsidRPr="00EC500F">
        <w:rPr>
          <w:iCs/>
          <w:lang w:val="fr-FR"/>
        </w:rPr>
        <w:t>“</w:t>
      </w:r>
      <w:r>
        <w:rPr>
          <w:i/>
          <w:iCs/>
          <w:lang w:val="fr-FR"/>
        </w:rPr>
        <w:t>Ceinturé croisé</w:t>
      </w:r>
      <w:r w:rsidRPr="00EC500F">
        <w:rPr>
          <w:iCs/>
          <w:lang w:val="fr-FR"/>
        </w:rPr>
        <w:t>”</w:t>
      </w:r>
      <w:r>
        <w:rPr>
          <w:lang w:val="fr-FR"/>
        </w:rPr>
        <w:t>, un pneumatique de construction diagonale dans lequel la carcasse est bridée par une ceinture formée de deux ou plusieurs couches de câblés essentiellement inextensibles, formant des angles alternés proches de ceux de la carcasse.</w:t>
      </w:r>
    </w:p>
    <w:p w:rsidR="00774BCA" w:rsidRPr="00083298" w:rsidRDefault="00774BCA" w:rsidP="007C047F">
      <w:pPr>
        <w:pStyle w:val="SingleTxtG"/>
        <w:ind w:left="2268" w:hanging="1134"/>
        <w:rPr>
          <w:rFonts w:eastAsia="HGMaruGothicMPRO"/>
        </w:rPr>
      </w:pPr>
      <w:r>
        <w:rPr>
          <w:lang w:val="fr-FR"/>
        </w:rPr>
        <w:t>2.7.3</w:t>
      </w:r>
      <w:r>
        <w:rPr>
          <w:lang w:val="fr-FR"/>
        </w:rPr>
        <w:tab/>
      </w:r>
      <w:r w:rsidR="00E704CF">
        <w:rPr>
          <w:iCs/>
          <w:lang w:val="fr-FR"/>
        </w:rPr>
        <w:t>“</w:t>
      </w:r>
      <w:r w:rsidR="00DC037D">
        <w:rPr>
          <w:i/>
          <w:iCs/>
          <w:lang w:val="fr-FR"/>
        </w:rPr>
        <w:t>À</w:t>
      </w:r>
      <w:r>
        <w:rPr>
          <w:i/>
          <w:iCs/>
          <w:lang w:val="fr-FR"/>
        </w:rPr>
        <w:t xml:space="preserve"> structure radiale</w:t>
      </w:r>
      <w:r w:rsidR="00E704CF">
        <w:rPr>
          <w:iCs/>
          <w:lang w:val="fr-FR"/>
        </w:rPr>
        <w:t>”</w:t>
      </w:r>
      <w:r>
        <w:rPr>
          <w:lang w:val="fr-FR"/>
        </w:rPr>
        <w:t>, désigne un pneumatique dont les câblés des plis s’étendent jusqu’aux talons et sont orientés de façon à former un angle sensiblement égal à 90° par rapport à la ligne médiane de la bande de roulement, et dont la carcasse est stabilisée par une ceinture circonférentiell</w:t>
      </w:r>
      <w:r w:rsidR="003F10F4">
        <w:rPr>
          <w:lang w:val="fr-FR"/>
        </w:rPr>
        <w:t>e essentiellement inextensible. </w:t>
      </w:r>
      <w:r>
        <w:rPr>
          <w:lang w:val="fr-FR"/>
        </w:rPr>
        <w:t>».</w:t>
      </w:r>
    </w:p>
    <w:p w:rsidR="00774BCA" w:rsidRPr="00D078FD" w:rsidRDefault="00774BCA" w:rsidP="00F3424F">
      <w:pPr>
        <w:pStyle w:val="SingleTxtG"/>
        <w:rPr>
          <w:rFonts w:eastAsia="HGMaruGothicMPRO"/>
        </w:rPr>
      </w:pPr>
      <w:r w:rsidRPr="00F3424F">
        <w:rPr>
          <w:i/>
          <w:lang w:val="fr-FR"/>
        </w:rPr>
        <w:t>Les anciens paragraphes 2.3</w:t>
      </w:r>
      <w:r>
        <w:rPr>
          <w:lang w:val="fr-FR"/>
        </w:rPr>
        <w:t xml:space="preserve"> deviennent </w:t>
      </w:r>
      <w:r w:rsidRPr="00F3424F">
        <w:rPr>
          <w:i/>
          <w:lang w:val="fr-FR"/>
        </w:rPr>
        <w:t>les paragraphes 2.8</w:t>
      </w:r>
      <w:r w:rsidR="003F10F4">
        <w:rPr>
          <w:lang w:val="fr-FR"/>
        </w:rPr>
        <w:t>.</w:t>
      </w:r>
    </w:p>
    <w:p w:rsidR="00774BCA" w:rsidRPr="00D078FD" w:rsidRDefault="00774BCA" w:rsidP="00F3424F">
      <w:pPr>
        <w:pStyle w:val="SingleTxtG"/>
        <w:keepNext/>
        <w:rPr>
          <w:rFonts w:eastAsia="HGMaruGothicMPRO"/>
        </w:rPr>
      </w:pPr>
      <w:r w:rsidRPr="00F3424F">
        <w:rPr>
          <w:i/>
          <w:lang w:val="fr-FR"/>
        </w:rPr>
        <w:lastRenderedPageBreak/>
        <w:t>Ancien paragraphe 2.4,</w:t>
      </w:r>
      <w:r>
        <w:rPr>
          <w:lang w:val="fr-FR"/>
        </w:rPr>
        <w:t xml:space="preserve"> lire</w:t>
      </w:r>
      <w:r w:rsidR="003F10F4">
        <w:rPr>
          <w:lang w:val="fr-FR"/>
        </w:rPr>
        <w:t> </w:t>
      </w:r>
      <w:r>
        <w:rPr>
          <w:lang w:val="fr-FR"/>
        </w:rPr>
        <w:t>:</w:t>
      </w:r>
    </w:p>
    <w:p w:rsidR="00774BCA" w:rsidRDefault="00F3424F" w:rsidP="007C047F">
      <w:pPr>
        <w:pStyle w:val="SingleTxtG"/>
        <w:ind w:left="2268" w:hanging="1134"/>
        <w:rPr>
          <w:rFonts w:eastAsia="HGMaruGothicMPRO"/>
        </w:rPr>
      </w:pPr>
      <w:r>
        <w:rPr>
          <w:lang w:val="fr-FR"/>
        </w:rPr>
        <w:t>« </w:t>
      </w:r>
      <w:r w:rsidR="00774BCA">
        <w:rPr>
          <w:lang w:val="fr-FR"/>
        </w:rPr>
        <w:t>2.9</w:t>
      </w:r>
      <w:r w:rsidR="00774BCA">
        <w:rPr>
          <w:lang w:val="fr-FR"/>
        </w:rPr>
        <w:tab/>
      </w:r>
      <w:r w:rsidR="00774BCA" w:rsidRPr="00F3424F">
        <w:rPr>
          <w:iCs/>
          <w:lang w:val="fr-FR"/>
        </w:rPr>
        <w:t>“</w:t>
      </w:r>
      <w:r w:rsidR="00774BCA">
        <w:rPr>
          <w:i/>
          <w:iCs/>
          <w:lang w:val="fr-FR"/>
        </w:rPr>
        <w:t>Talon</w:t>
      </w:r>
      <w:r w:rsidR="00774BCA" w:rsidRPr="00F3424F">
        <w:rPr>
          <w:iCs/>
          <w:lang w:val="fr-FR"/>
        </w:rPr>
        <w:t>”</w:t>
      </w:r>
      <w:r w:rsidR="00774BCA">
        <w:rPr>
          <w:lang w:val="fr-FR"/>
        </w:rPr>
        <w:t>, l’élément du pneumatique dont la forme et la structure lui permettent de s’adapter à la jante et de se maintenir sur elle.</w:t>
      </w:r>
      <w:r>
        <w:rPr>
          <w:lang w:val="fr-FR"/>
        </w:rPr>
        <w:t> »</w:t>
      </w:r>
      <w:r w:rsidR="00774BCA">
        <w:rPr>
          <w:lang w:val="fr-FR"/>
        </w:rPr>
        <w:t>.</w:t>
      </w:r>
    </w:p>
    <w:p w:rsidR="00774BCA" w:rsidRPr="00D078FD" w:rsidRDefault="00774BCA" w:rsidP="003E76DD">
      <w:pPr>
        <w:pStyle w:val="SingleTxtG"/>
        <w:rPr>
          <w:rFonts w:eastAsia="HGMaruGothicMPRO"/>
        </w:rPr>
      </w:pPr>
      <w:r w:rsidRPr="003E76DD">
        <w:rPr>
          <w:i/>
          <w:lang w:val="fr-FR"/>
        </w:rPr>
        <w:t>Ancien paragraphe 2.5</w:t>
      </w:r>
      <w:r w:rsidR="003E76DD">
        <w:rPr>
          <w:lang w:val="fr-FR"/>
        </w:rPr>
        <w:t>, lire :</w:t>
      </w:r>
    </w:p>
    <w:p w:rsidR="00774BCA" w:rsidRPr="00335C0D" w:rsidRDefault="003E76DD" w:rsidP="007C047F">
      <w:pPr>
        <w:pStyle w:val="SingleTxtG"/>
        <w:ind w:left="2268" w:hanging="1134"/>
        <w:rPr>
          <w:rFonts w:eastAsia="HGMaruGothicMPRO"/>
        </w:rPr>
      </w:pPr>
      <w:r>
        <w:rPr>
          <w:lang w:val="fr-FR"/>
        </w:rPr>
        <w:t>« </w:t>
      </w:r>
      <w:r w:rsidR="00774BCA">
        <w:rPr>
          <w:lang w:val="fr-FR"/>
        </w:rPr>
        <w:t>2.10</w:t>
      </w:r>
      <w:r w:rsidR="00774BCA">
        <w:rPr>
          <w:lang w:val="fr-FR"/>
        </w:rPr>
        <w:tab/>
      </w:r>
      <w:r w:rsidR="00774BCA" w:rsidRPr="00F3424F">
        <w:rPr>
          <w:iCs/>
          <w:lang w:val="fr-FR"/>
        </w:rPr>
        <w:t>“</w:t>
      </w:r>
      <w:r w:rsidR="00774BCA">
        <w:rPr>
          <w:i/>
          <w:iCs/>
          <w:lang w:val="fr-FR"/>
        </w:rPr>
        <w:t>Câblé</w:t>
      </w:r>
      <w:r w:rsidR="00774BCA" w:rsidRPr="00F3424F">
        <w:rPr>
          <w:iCs/>
          <w:lang w:val="fr-FR"/>
        </w:rPr>
        <w:t>”</w:t>
      </w:r>
      <w:r w:rsidR="00774BCA">
        <w:rPr>
          <w:lang w:val="fr-FR"/>
        </w:rPr>
        <w:t>, les fils formant les tissus des plis dans le pneumatique.</w:t>
      </w:r>
      <w:r w:rsidR="00F3424F">
        <w:rPr>
          <w:lang w:val="fr-FR"/>
        </w:rPr>
        <w:t> »</w:t>
      </w:r>
      <w:r w:rsidR="00774BCA">
        <w:rPr>
          <w:lang w:val="fr-FR"/>
        </w:rPr>
        <w:t>.</w:t>
      </w:r>
    </w:p>
    <w:p w:rsidR="00774BCA" w:rsidRDefault="00774BCA" w:rsidP="003E76DD">
      <w:pPr>
        <w:pStyle w:val="SingleTxtG"/>
        <w:rPr>
          <w:rFonts w:eastAsia="HGMaruGothicMPRO"/>
        </w:rPr>
      </w:pPr>
      <w:r w:rsidRPr="003E76DD">
        <w:rPr>
          <w:i/>
          <w:lang w:val="fr-FR"/>
        </w:rPr>
        <w:t>Les anciens paragraphes 2.6 à 2.10</w:t>
      </w:r>
      <w:r>
        <w:rPr>
          <w:lang w:val="fr-FR"/>
        </w:rPr>
        <w:t xml:space="preserve"> deviennent </w:t>
      </w:r>
      <w:r w:rsidRPr="003E76DD">
        <w:rPr>
          <w:i/>
          <w:lang w:val="fr-FR"/>
        </w:rPr>
        <w:t>les paragraphes 2.11 à 2.15</w:t>
      </w:r>
      <w:r>
        <w:rPr>
          <w:lang w:val="fr-FR"/>
        </w:rPr>
        <w:t>.</w:t>
      </w:r>
    </w:p>
    <w:p w:rsidR="00774BCA" w:rsidRPr="00D078FD" w:rsidRDefault="00774BCA" w:rsidP="003E76DD">
      <w:pPr>
        <w:pStyle w:val="SingleTxtG"/>
        <w:keepNext/>
        <w:rPr>
          <w:rFonts w:eastAsia="HGMaruGothicMPRO"/>
        </w:rPr>
      </w:pPr>
      <w:r w:rsidRPr="003E76DD">
        <w:rPr>
          <w:i/>
          <w:lang w:val="fr-FR"/>
        </w:rPr>
        <w:t>Anciens paragraphes 2.11, 2.12 et 2.13</w:t>
      </w:r>
      <w:r>
        <w:rPr>
          <w:lang w:val="fr-FR"/>
        </w:rPr>
        <w:t>,</w:t>
      </w:r>
      <w:r w:rsidR="003E76DD">
        <w:rPr>
          <w:lang w:val="fr-FR"/>
        </w:rPr>
        <w:t xml:space="preserve"> lire :</w:t>
      </w:r>
    </w:p>
    <w:p w:rsidR="00774BCA" w:rsidRPr="00D078FD" w:rsidRDefault="003E76DD" w:rsidP="007C047F">
      <w:pPr>
        <w:pStyle w:val="SingleTxtG"/>
        <w:ind w:left="2268" w:hanging="1134"/>
        <w:rPr>
          <w:rFonts w:eastAsia="HGMaruGothicMPRO"/>
        </w:rPr>
      </w:pPr>
      <w:r>
        <w:rPr>
          <w:lang w:val="fr-FR"/>
        </w:rPr>
        <w:t>« </w:t>
      </w:r>
      <w:r w:rsidR="00774BCA">
        <w:rPr>
          <w:lang w:val="fr-FR"/>
        </w:rPr>
        <w:t>2.16</w:t>
      </w:r>
      <w:r w:rsidR="00774BCA">
        <w:rPr>
          <w:lang w:val="fr-FR"/>
        </w:rPr>
        <w:tab/>
      </w:r>
      <w:r w:rsidR="00774BCA" w:rsidRPr="00F3424F">
        <w:rPr>
          <w:iCs/>
          <w:lang w:val="fr-FR"/>
        </w:rPr>
        <w:t>“</w:t>
      </w:r>
      <w:r w:rsidR="00774BCA">
        <w:rPr>
          <w:i/>
          <w:iCs/>
          <w:lang w:val="fr-FR"/>
        </w:rPr>
        <w:t>Carcasse</w:t>
      </w:r>
      <w:r w:rsidR="00774BCA" w:rsidRPr="00F3424F">
        <w:rPr>
          <w:iCs/>
          <w:lang w:val="fr-FR"/>
        </w:rPr>
        <w:t>”</w:t>
      </w:r>
      <w:r w:rsidR="00774BCA">
        <w:rPr>
          <w:lang w:val="fr-FR"/>
        </w:rPr>
        <w:t>, la partie structurelle du pneumatique autre que la bande de roulement et les gommes de flanc extérieures qui, lorsque le pneumatique est gonflé, supporte la charge.</w:t>
      </w:r>
    </w:p>
    <w:p w:rsidR="00774BCA" w:rsidRPr="00D078FD" w:rsidRDefault="00774BCA" w:rsidP="007C047F">
      <w:pPr>
        <w:pStyle w:val="SingleTxtG"/>
        <w:ind w:left="2268" w:hanging="1134"/>
        <w:rPr>
          <w:rFonts w:eastAsia="HGMaruGothicMPRO"/>
        </w:rPr>
      </w:pPr>
      <w:r>
        <w:rPr>
          <w:lang w:val="fr-FR"/>
        </w:rPr>
        <w:t>2.17</w:t>
      </w:r>
      <w:r>
        <w:rPr>
          <w:lang w:val="fr-FR"/>
        </w:rPr>
        <w:tab/>
      </w:r>
      <w:r w:rsidRPr="00F3424F">
        <w:rPr>
          <w:iCs/>
          <w:lang w:val="fr-FR"/>
        </w:rPr>
        <w:t>“</w:t>
      </w:r>
      <w:r>
        <w:rPr>
          <w:i/>
          <w:iCs/>
          <w:lang w:val="fr-FR"/>
        </w:rPr>
        <w:t>Bande de roulement</w:t>
      </w:r>
      <w:r w:rsidRPr="00F3424F">
        <w:rPr>
          <w:iCs/>
          <w:lang w:val="fr-FR"/>
        </w:rPr>
        <w:t>”</w:t>
      </w:r>
      <w:r>
        <w:rPr>
          <w:lang w:val="fr-FR"/>
        </w:rPr>
        <w:t>, la partie du pneumatique conçue pour entrer en contact avec le sol, protéger la carcasse contre la détérioration mécanique et contribuer à assurer l’adhérence au sol.</w:t>
      </w:r>
    </w:p>
    <w:p w:rsidR="00774BCA" w:rsidRPr="00D078FD" w:rsidRDefault="00774BCA" w:rsidP="007C047F">
      <w:pPr>
        <w:pStyle w:val="SingleTxtG"/>
        <w:ind w:left="2268" w:hanging="1134"/>
        <w:rPr>
          <w:rFonts w:eastAsia="HGMaruGothicMPRO"/>
        </w:rPr>
      </w:pPr>
      <w:r>
        <w:rPr>
          <w:lang w:val="fr-FR"/>
        </w:rPr>
        <w:t>2.18</w:t>
      </w:r>
      <w:r>
        <w:rPr>
          <w:lang w:val="fr-FR"/>
        </w:rPr>
        <w:tab/>
      </w:r>
      <w:r w:rsidRPr="003E76DD">
        <w:rPr>
          <w:iCs/>
          <w:lang w:val="fr-FR"/>
        </w:rPr>
        <w:t>“</w:t>
      </w:r>
      <w:r>
        <w:rPr>
          <w:i/>
          <w:iCs/>
          <w:lang w:val="fr-FR"/>
        </w:rPr>
        <w:t>Flanc</w:t>
      </w:r>
      <w:r w:rsidRPr="003E76DD">
        <w:rPr>
          <w:iCs/>
          <w:lang w:val="fr-FR"/>
        </w:rPr>
        <w:t>”</w:t>
      </w:r>
      <w:r>
        <w:rPr>
          <w:lang w:val="fr-FR"/>
        </w:rPr>
        <w:t>, la partie du pneumatique située entre la bande de roulement et la zone qui doit être couverte par le rebord de la jante.</w:t>
      </w:r>
      <w:r w:rsidR="00E42233">
        <w:rPr>
          <w:lang w:val="fr-FR"/>
        </w:rPr>
        <w:t> »</w:t>
      </w:r>
      <w:r>
        <w:rPr>
          <w:lang w:val="fr-FR"/>
        </w:rPr>
        <w:t>.</w:t>
      </w:r>
    </w:p>
    <w:p w:rsidR="00774BCA" w:rsidRPr="00D078FD" w:rsidRDefault="00774BCA" w:rsidP="002A48F4">
      <w:pPr>
        <w:pStyle w:val="SingleTxtG"/>
        <w:rPr>
          <w:rFonts w:eastAsia="HGMaruGothicMPRO"/>
        </w:rPr>
      </w:pPr>
      <w:r w:rsidRPr="002A48F4">
        <w:rPr>
          <w:i/>
          <w:lang w:val="fr-FR"/>
        </w:rPr>
        <w:t>Les anciens paragraphes 2.14 à 2.15</w:t>
      </w:r>
      <w:r>
        <w:rPr>
          <w:lang w:val="fr-FR"/>
        </w:rPr>
        <w:t xml:space="preserve"> deviennent </w:t>
      </w:r>
      <w:r w:rsidRPr="002A48F4">
        <w:rPr>
          <w:i/>
          <w:lang w:val="fr-FR"/>
        </w:rPr>
        <w:t>les paragraphes 2.19 à 2.20</w:t>
      </w:r>
      <w:r w:rsidR="003F10F4">
        <w:rPr>
          <w:lang w:val="fr-FR"/>
        </w:rPr>
        <w:t>.</w:t>
      </w:r>
    </w:p>
    <w:p w:rsidR="00774BCA" w:rsidRPr="00D078FD" w:rsidRDefault="00774BCA" w:rsidP="002A48F4">
      <w:pPr>
        <w:pStyle w:val="SingleTxtG"/>
        <w:keepNext/>
        <w:rPr>
          <w:rFonts w:eastAsia="HGMaruGothicMPRO"/>
        </w:rPr>
      </w:pPr>
      <w:r w:rsidRPr="002A48F4">
        <w:rPr>
          <w:i/>
          <w:lang w:val="fr-FR"/>
        </w:rPr>
        <w:t>Anciens paragraphes 2.16 et 2.17</w:t>
      </w:r>
      <w:r w:rsidR="003F10F4">
        <w:rPr>
          <w:lang w:val="fr-FR"/>
        </w:rPr>
        <w:t>, lire </w:t>
      </w:r>
      <w:r>
        <w:rPr>
          <w:lang w:val="fr-FR"/>
        </w:rPr>
        <w:t>:</w:t>
      </w:r>
    </w:p>
    <w:p w:rsidR="00774BCA" w:rsidRPr="00D078FD" w:rsidRDefault="002A48F4" w:rsidP="007C047F">
      <w:pPr>
        <w:pStyle w:val="SingleTxtG"/>
        <w:ind w:left="2268" w:hanging="1134"/>
        <w:rPr>
          <w:rFonts w:eastAsia="HGMaruGothicMPRO"/>
        </w:rPr>
      </w:pPr>
      <w:r>
        <w:rPr>
          <w:lang w:val="fr-FR"/>
        </w:rPr>
        <w:t>« </w:t>
      </w:r>
      <w:r w:rsidR="00774BCA">
        <w:rPr>
          <w:lang w:val="fr-FR"/>
        </w:rPr>
        <w:t>2.21</w:t>
      </w:r>
      <w:r w:rsidR="00774BCA">
        <w:rPr>
          <w:lang w:val="fr-FR"/>
        </w:rPr>
        <w:tab/>
      </w:r>
      <w:r w:rsidR="00774BCA" w:rsidRPr="002A48F4">
        <w:rPr>
          <w:iCs/>
          <w:lang w:val="fr-FR"/>
        </w:rPr>
        <w:t>“</w:t>
      </w:r>
      <w:r w:rsidR="00774BCA">
        <w:rPr>
          <w:i/>
          <w:iCs/>
          <w:lang w:val="fr-FR"/>
        </w:rPr>
        <w:t>Grosseur du boudin</w:t>
      </w:r>
      <w:r w:rsidR="00774BCA" w:rsidRPr="002A48F4">
        <w:rPr>
          <w:iCs/>
          <w:lang w:val="fr-FR"/>
        </w:rPr>
        <w:t>”</w:t>
      </w:r>
      <w:r w:rsidR="00774BCA">
        <w:rPr>
          <w:lang w:val="fr-FR"/>
        </w:rPr>
        <w:t>, la distance linéaire entre les extérieurs des flancs d’un pneumatique gonflé, lorsqu’il est adapté sur la jante de mesure spécifiée, mais non compris le relief constitué par les inscriptions, les décorations, les cordons ou nervures de protection.</w:t>
      </w:r>
    </w:p>
    <w:p w:rsidR="00774BCA" w:rsidRPr="00984932" w:rsidRDefault="00774BCA" w:rsidP="007C047F">
      <w:pPr>
        <w:pStyle w:val="SingleTxtG"/>
        <w:ind w:left="2268" w:hanging="1134"/>
        <w:rPr>
          <w:lang w:val="fr-FR"/>
        </w:rPr>
      </w:pPr>
      <w:r>
        <w:rPr>
          <w:lang w:val="fr-FR"/>
        </w:rPr>
        <w:t>2.22</w:t>
      </w:r>
      <w:r>
        <w:rPr>
          <w:lang w:val="fr-FR"/>
        </w:rPr>
        <w:tab/>
      </w:r>
      <w:r w:rsidRPr="002A48F4">
        <w:rPr>
          <w:iCs/>
          <w:lang w:val="fr-FR"/>
        </w:rPr>
        <w:t>“</w:t>
      </w:r>
      <w:r>
        <w:rPr>
          <w:i/>
          <w:iCs/>
          <w:lang w:val="fr-FR"/>
        </w:rPr>
        <w:t>Grosseur hors tout</w:t>
      </w:r>
      <w:r w:rsidRPr="002A48F4">
        <w:rPr>
          <w:iCs/>
          <w:lang w:val="fr-FR"/>
        </w:rPr>
        <w:t>”</w:t>
      </w:r>
      <w:r>
        <w:rPr>
          <w:lang w:val="fr-FR"/>
        </w:rPr>
        <w:t>, la distance linéaire entre les extérieurs des flancs d’un pneumatique gonflé, lorsqu’il est monté sur la jante de mesure spécifiée, y</w:t>
      </w:r>
      <w:r w:rsidR="002A48F4">
        <w:rPr>
          <w:lang w:val="fr-FR"/>
        </w:rPr>
        <w:t> </w:t>
      </w:r>
      <w:r>
        <w:rPr>
          <w:lang w:val="fr-FR"/>
        </w:rPr>
        <w:t>compris les inscriptions, les décorations, les cordons ou nervures de protection. ».</w:t>
      </w:r>
    </w:p>
    <w:p w:rsidR="00774BCA" w:rsidRPr="00D078FD" w:rsidRDefault="00774BCA" w:rsidP="002A48F4">
      <w:pPr>
        <w:pStyle w:val="SingleTxtG"/>
        <w:rPr>
          <w:rFonts w:eastAsia="HGMaruGothicMPRO"/>
        </w:rPr>
      </w:pPr>
      <w:r w:rsidRPr="002A48F4">
        <w:rPr>
          <w:i/>
          <w:lang w:val="fr-FR"/>
        </w:rPr>
        <w:t>Les anciens paragraphes 2.18 à 2.20</w:t>
      </w:r>
      <w:r>
        <w:rPr>
          <w:lang w:val="fr-FR"/>
        </w:rPr>
        <w:t xml:space="preserve"> deviennent </w:t>
      </w:r>
      <w:r w:rsidRPr="002A48F4">
        <w:rPr>
          <w:i/>
          <w:lang w:val="fr-FR"/>
        </w:rPr>
        <w:t>les paragraphes 2.23 à 2.25</w:t>
      </w:r>
      <w:r w:rsidR="003F10F4">
        <w:rPr>
          <w:lang w:val="fr-FR"/>
        </w:rPr>
        <w:t>.</w:t>
      </w:r>
    </w:p>
    <w:p w:rsidR="00774BCA" w:rsidRPr="00D078FD" w:rsidRDefault="00774BCA" w:rsidP="002A48F4">
      <w:pPr>
        <w:pStyle w:val="SingleTxtG"/>
        <w:keepNext/>
        <w:rPr>
          <w:rFonts w:eastAsia="HGMaruGothicMPRO"/>
        </w:rPr>
      </w:pPr>
      <w:r w:rsidRPr="002A48F4">
        <w:rPr>
          <w:i/>
          <w:lang w:val="fr-FR"/>
        </w:rPr>
        <w:t>Ancien paragraphe 2.21</w:t>
      </w:r>
      <w:r w:rsidR="002A48F4">
        <w:rPr>
          <w:lang w:val="fr-FR"/>
        </w:rPr>
        <w:t>, lire </w:t>
      </w:r>
      <w:r>
        <w:rPr>
          <w:lang w:val="fr-FR"/>
        </w:rPr>
        <w:t>:</w:t>
      </w:r>
    </w:p>
    <w:p w:rsidR="00774BCA" w:rsidRPr="0062277A" w:rsidRDefault="002A48F4" w:rsidP="007C047F">
      <w:pPr>
        <w:pStyle w:val="SingleTxtG"/>
        <w:ind w:left="2268" w:hanging="1134"/>
        <w:rPr>
          <w:rFonts w:eastAsia="HGMaruGothicMPRO"/>
        </w:rPr>
      </w:pPr>
      <w:r>
        <w:rPr>
          <w:lang w:val="fr-FR"/>
        </w:rPr>
        <w:t>« </w:t>
      </w:r>
      <w:r w:rsidR="00774BCA">
        <w:rPr>
          <w:lang w:val="fr-FR"/>
        </w:rPr>
        <w:t>2.26</w:t>
      </w:r>
      <w:r w:rsidR="00774BCA">
        <w:rPr>
          <w:lang w:val="fr-FR"/>
        </w:rPr>
        <w:tab/>
      </w:r>
      <w:r w:rsidR="00774BCA" w:rsidRPr="002A48F4">
        <w:rPr>
          <w:iCs/>
          <w:lang w:val="fr-FR"/>
        </w:rPr>
        <w:t>“</w:t>
      </w:r>
      <w:r w:rsidR="00774BCA">
        <w:rPr>
          <w:i/>
          <w:iCs/>
          <w:lang w:val="fr-FR"/>
        </w:rPr>
        <w:t>Désignation de la dimension du pneumatique</w:t>
      </w:r>
      <w:r w:rsidR="00774BCA" w:rsidRPr="002A48F4">
        <w:rPr>
          <w:iCs/>
          <w:lang w:val="fr-FR"/>
        </w:rPr>
        <w:t>”</w:t>
      </w:r>
      <w:r w:rsidR="00774BCA">
        <w:rPr>
          <w:lang w:val="fr-FR"/>
        </w:rPr>
        <w:t>, une désignation faisant apparaître</w:t>
      </w:r>
      <w:r w:rsidR="003F10F4">
        <w:rPr>
          <w:lang w:val="fr-FR"/>
        </w:rPr>
        <w:t> </w:t>
      </w:r>
      <w:r w:rsidR="00774BCA">
        <w:rPr>
          <w:lang w:val="fr-FR"/>
        </w:rPr>
        <w:t>:</w:t>
      </w:r>
    </w:p>
    <w:p w:rsidR="00774BCA" w:rsidRPr="0062277A" w:rsidRDefault="00774BCA" w:rsidP="007C047F">
      <w:pPr>
        <w:pStyle w:val="SingleTxtG"/>
        <w:ind w:left="2268" w:hanging="1134"/>
        <w:rPr>
          <w:rFonts w:eastAsia="HGMaruGothicMPRO"/>
        </w:rPr>
      </w:pPr>
      <w:r>
        <w:rPr>
          <w:lang w:val="fr-FR"/>
        </w:rPr>
        <w:t>2.26.1</w:t>
      </w:r>
      <w:r>
        <w:rPr>
          <w:lang w:val="fr-FR"/>
        </w:rPr>
        <w:tab/>
        <w:t>La grosseur nominale du boudin. Elle doit être exprimée en millimètres, sauf pour les types de pneumatiques dont la désignation figure dans la première colonne des tableaux de l’annexe 5 du présent Règlement.</w:t>
      </w:r>
    </w:p>
    <w:p w:rsidR="00774BCA" w:rsidRPr="0012576D" w:rsidRDefault="00774BCA" w:rsidP="007C047F">
      <w:pPr>
        <w:pStyle w:val="SingleTxtG"/>
        <w:ind w:left="2268" w:hanging="1134"/>
        <w:rPr>
          <w:rFonts w:eastAsia="HGMaruGothicMPRO"/>
        </w:rPr>
      </w:pPr>
      <w:r>
        <w:rPr>
          <w:lang w:val="fr-FR"/>
        </w:rPr>
        <w:t>2.26.2</w:t>
      </w:r>
      <w:r>
        <w:rPr>
          <w:lang w:val="fr-FR"/>
        </w:rPr>
        <w:tab/>
        <w:t>Le rapport nominal d’aspect, sauf pour les pneumatiques dont la désignation figure dans la première colonne des tableaux de l’annexe 5 du présent Règlement ou selon le modèle de pneumatique, par exemple les pneumatiques ayant une configuration de montage de type “A” (voir par.</w:t>
      </w:r>
      <w:r w:rsidR="00DC037D">
        <w:rPr>
          <w:lang w:val="fr-FR"/>
        </w:rPr>
        <w:t> </w:t>
      </w:r>
      <w:r>
        <w:rPr>
          <w:lang w:val="fr-FR"/>
        </w:rPr>
        <w:t>2.26.4), le diamètre extérieur nominal exprimé en millimètres.</w:t>
      </w:r>
    </w:p>
    <w:p w:rsidR="00774BCA" w:rsidRPr="00D078FD" w:rsidRDefault="00774BCA" w:rsidP="008224D6">
      <w:pPr>
        <w:pStyle w:val="SingleTxtG"/>
        <w:ind w:left="2268"/>
        <w:rPr>
          <w:rFonts w:eastAsia="HGMaruGothicMPRO"/>
        </w:rPr>
      </w:pPr>
      <w:r>
        <w:rPr>
          <w:lang w:val="fr-FR"/>
        </w:rPr>
        <w:tab/>
        <w:t>...</w:t>
      </w:r>
      <w:r w:rsidR="008224D6">
        <w:rPr>
          <w:lang w:val="fr-FR"/>
        </w:rPr>
        <w:t> </w:t>
      </w:r>
      <w:r>
        <w:rPr>
          <w:lang w:val="fr-FR"/>
        </w:rPr>
        <w:t>».</w:t>
      </w:r>
    </w:p>
    <w:p w:rsidR="00774BCA" w:rsidRPr="00D078FD" w:rsidRDefault="00774BCA" w:rsidP="008224D6">
      <w:pPr>
        <w:pStyle w:val="SingleTxtG"/>
        <w:rPr>
          <w:rFonts w:eastAsia="HGMaruGothicMPRO"/>
        </w:rPr>
      </w:pPr>
      <w:r w:rsidRPr="008224D6">
        <w:rPr>
          <w:i/>
          <w:lang w:val="fr-FR"/>
        </w:rPr>
        <w:t>Les anciens paragraphes 2.21.3 à 2.32</w:t>
      </w:r>
      <w:r>
        <w:rPr>
          <w:lang w:val="fr-FR"/>
        </w:rPr>
        <w:t xml:space="preserve"> deviennent </w:t>
      </w:r>
      <w:r w:rsidRPr="008224D6">
        <w:rPr>
          <w:i/>
          <w:lang w:val="fr-FR"/>
        </w:rPr>
        <w:t>les paragraphes 2.26.3 à 2.37</w:t>
      </w:r>
      <w:r w:rsidR="003F10F4">
        <w:rPr>
          <w:lang w:val="fr-FR"/>
        </w:rPr>
        <w:t>.</w:t>
      </w:r>
    </w:p>
    <w:p w:rsidR="00774BCA" w:rsidRPr="00D078FD" w:rsidRDefault="00774BCA" w:rsidP="000643DE">
      <w:pPr>
        <w:pStyle w:val="SingleTxtG"/>
        <w:keepNext/>
        <w:rPr>
          <w:rFonts w:eastAsia="HGMaruGothicMPRO"/>
        </w:rPr>
      </w:pPr>
      <w:r w:rsidRPr="008224D6">
        <w:rPr>
          <w:i/>
          <w:lang w:val="fr-FR"/>
        </w:rPr>
        <w:t>Ancien paragraphe 2.32</w:t>
      </w:r>
      <w:r w:rsidR="000643DE">
        <w:rPr>
          <w:lang w:val="fr-FR"/>
        </w:rPr>
        <w:t>, lire </w:t>
      </w:r>
      <w:r>
        <w:rPr>
          <w:lang w:val="fr-FR"/>
        </w:rPr>
        <w:t>:</w:t>
      </w:r>
    </w:p>
    <w:p w:rsidR="00774BCA" w:rsidRPr="004356B5" w:rsidRDefault="000643DE" w:rsidP="007C047F">
      <w:pPr>
        <w:pStyle w:val="SingleTxtG"/>
        <w:ind w:left="2268" w:hanging="1134"/>
      </w:pPr>
      <w:r>
        <w:rPr>
          <w:lang w:val="fr-FR"/>
        </w:rPr>
        <w:t>« </w:t>
      </w:r>
      <w:r w:rsidR="00774BCA">
        <w:rPr>
          <w:lang w:val="fr-FR"/>
        </w:rPr>
        <w:t>2.37</w:t>
      </w:r>
      <w:r w:rsidR="00774BCA">
        <w:rPr>
          <w:lang w:val="fr-FR"/>
        </w:rPr>
        <w:tab/>
      </w:r>
      <w:r w:rsidR="00774BCA" w:rsidRPr="002A48F4">
        <w:rPr>
          <w:iCs/>
          <w:lang w:val="fr-FR"/>
        </w:rPr>
        <w:t>“</w:t>
      </w:r>
      <w:r w:rsidR="00774BCA">
        <w:rPr>
          <w:i/>
          <w:iCs/>
          <w:lang w:val="fr-FR"/>
        </w:rPr>
        <w:t>Indice de charge</w:t>
      </w:r>
      <w:r w:rsidR="00774BCA" w:rsidRPr="002A48F4">
        <w:rPr>
          <w:iCs/>
          <w:lang w:val="fr-FR"/>
        </w:rPr>
        <w:t>”</w:t>
      </w:r>
      <w:r w:rsidR="00774BCA">
        <w:rPr>
          <w:lang w:val="fr-FR"/>
        </w:rPr>
        <w:t>, un code numérique qui indique la charge que peut supporter le pneumatique à la vitesse caractéristique de la catégorie de vitesse dont il relève et lorsqu’il est utilisé conformément aux prescriptions d’utilisation définies par le fabricant du pneumatique d’origine ou le rechapeur. Un pneumatique peut avoir plus d’un indice de charge pour indiquer sa capacité de charge lorsqu’il est utilisé en montage simple ou en montage jumelé, ou pour indiquer une autre capacité de charge (point unique) pour laquelle une variation de charge, selon le paragraphe 2.40 et l’annexe</w:t>
      </w:r>
      <w:r w:rsidR="008224D6">
        <w:rPr>
          <w:lang w:val="fr-FR"/>
        </w:rPr>
        <w:t> </w:t>
      </w:r>
      <w:r w:rsidR="00774BCA">
        <w:rPr>
          <w:lang w:val="fr-FR"/>
        </w:rPr>
        <w:t>8 du présent Règlement, n’est pas autorisée.</w:t>
      </w:r>
    </w:p>
    <w:p w:rsidR="00774BCA" w:rsidRPr="004356B5" w:rsidRDefault="00774BCA" w:rsidP="00774BCA">
      <w:pPr>
        <w:pStyle w:val="SingleTxtG"/>
        <w:ind w:left="2268"/>
      </w:pPr>
      <w:r>
        <w:rPr>
          <w:lang w:val="fr-FR"/>
        </w:rPr>
        <w:lastRenderedPageBreak/>
        <w:t>La liste des indices de charge et des masses correspondantes figure à l’annexe</w:t>
      </w:r>
      <w:r w:rsidR="008224D6">
        <w:rPr>
          <w:lang w:val="fr-FR"/>
        </w:rPr>
        <w:t> </w:t>
      </w:r>
      <w:r>
        <w:rPr>
          <w:lang w:val="fr-FR"/>
        </w:rPr>
        <w:t>4 du présent Règlement.</w:t>
      </w:r>
      <w:r w:rsidR="008224D6">
        <w:rPr>
          <w:lang w:val="fr-FR"/>
        </w:rPr>
        <w:t> </w:t>
      </w:r>
      <w:r>
        <w:rPr>
          <w:lang w:val="fr-FR"/>
        </w:rPr>
        <w:t>».</w:t>
      </w:r>
    </w:p>
    <w:p w:rsidR="00774BCA" w:rsidRPr="00D078FD" w:rsidRDefault="00774BCA" w:rsidP="007D7BD0">
      <w:pPr>
        <w:pStyle w:val="SingleTxtG"/>
        <w:rPr>
          <w:rFonts w:eastAsia="HGMaruGothicMPRO"/>
        </w:rPr>
      </w:pPr>
      <w:r>
        <w:rPr>
          <w:i/>
          <w:iCs/>
          <w:lang w:val="fr-FR"/>
        </w:rPr>
        <w:t>Les anciens paragraphes 2.33</w:t>
      </w:r>
      <w:r>
        <w:rPr>
          <w:lang w:val="fr-FR"/>
        </w:rPr>
        <w:t xml:space="preserve"> deviennent </w:t>
      </w:r>
      <w:r>
        <w:rPr>
          <w:i/>
          <w:iCs/>
          <w:lang w:val="fr-FR"/>
        </w:rPr>
        <w:t>les paragraphes 2.38</w:t>
      </w:r>
      <w:r w:rsidR="003F10F4">
        <w:rPr>
          <w:lang w:val="fr-FR"/>
        </w:rPr>
        <w:t>.</w:t>
      </w:r>
    </w:p>
    <w:p w:rsidR="00774BCA" w:rsidRPr="00D078FD" w:rsidRDefault="00774BCA" w:rsidP="000643DE">
      <w:pPr>
        <w:pStyle w:val="SingleTxtG"/>
        <w:keepNext/>
        <w:rPr>
          <w:rFonts w:eastAsia="HGMaruGothicMPRO"/>
        </w:rPr>
      </w:pPr>
      <w:r>
        <w:rPr>
          <w:i/>
          <w:iCs/>
          <w:lang w:val="fr-FR"/>
        </w:rPr>
        <w:t>Ancien paragraphe 2.34</w:t>
      </w:r>
      <w:r w:rsidR="000643DE">
        <w:rPr>
          <w:lang w:val="fr-FR"/>
        </w:rPr>
        <w:t>, lire </w:t>
      </w:r>
      <w:r>
        <w:rPr>
          <w:lang w:val="fr-FR"/>
        </w:rPr>
        <w:t>:</w:t>
      </w:r>
    </w:p>
    <w:p w:rsidR="00774BCA" w:rsidRPr="0062277A" w:rsidRDefault="000643DE" w:rsidP="007C047F">
      <w:pPr>
        <w:pStyle w:val="SingleTxtG"/>
        <w:ind w:left="2268" w:hanging="1134"/>
      </w:pPr>
      <w:r>
        <w:rPr>
          <w:lang w:val="fr-FR"/>
        </w:rPr>
        <w:t>« </w:t>
      </w:r>
      <w:r w:rsidR="00774BCA">
        <w:rPr>
          <w:lang w:val="fr-FR"/>
        </w:rPr>
        <w:t>2.39</w:t>
      </w:r>
      <w:r w:rsidR="00774BCA">
        <w:rPr>
          <w:lang w:val="fr-FR"/>
        </w:rPr>
        <w:tab/>
      </w:r>
      <w:r w:rsidR="00774BCA" w:rsidRPr="000643DE">
        <w:rPr>
          <w:iCs/>
          <w:lang w:val="fr-FR"/>
        </w:rPr>
        <w:t>“</w:t>
      </w:r>
      <w:r w:rsidR="00774BCA">
        <w:rPr>
          <w:i/>
          <w:iCs/>
          <w:lang w:val="fr-FR"/>
        </w:rPr>
        <w:t>Point unique</w:t>
      </w:r>
      <w:r w:rsidR="00774BCA" w:rsidRPr="000643DE">
        <w:rPr>
          <w:iCs/>
          <w:lang w:val="fr-FR"/>
        </w:rPr>
        <w:t>”</w:t>
      </w:r>
      <w:r w:rsidR="00774BCA">
        <w:rPr>
          <w:lang w:val="fr-FR"/>
        </w:rPr>
        <w:t>, la description de service supplémentaire inscrite à côté de la description de service normale. Elle ne doit pas être utilisée pour calculer une variation des charges en fonction de la vitesse telle qu’elle est définie au paragraphe 2 et dans l’annexe 8 du présent Règlement.</w:t>
      </w:r>
      <w:r>
        <w:rPr>
          <w:lang w:val="fr-FR"/>
        </w:rPr>
        <w:t> »</w:t>
      </w:r>
      <w:r w:rsidR="00774BCA">
        <w:rPr>
          <w:lang w:val="fr-FR"/>
        </w:rPr>
        <w:t>.</w:t>
      </w:r>
    </w:p>
    <w:p w:rsidR="00774BCA" w:rsidRPr="00D95F7D" w:rsidRDefault="00774BCA" w:rsidP="007D7BD0">
      <w:pPr>
        <w:pStyle w:val="SingleTxtG"/>
        <w:rPr>
          <w:i/>
        </w:rPr>
      </w:pPr>
      <w:r>
        <w:rPr>
          <w:i/>
          <w:iCs/>
          <w:lang w:val="fr-FR"/>
        </w:rPr>
        <w:t>Les anciens paragraphes 2.35 à 2.52</w:t>
      </w:r>
      <w:r>
        <w:rPr>
          <w:lang w:val="fr-FR"/>
        </w:rPr>
        <w:t xml:space="preserve"> deviennent </w:t>
      </w:r>
      <w:r>
        <w:rPr>
          <w:i/>
          <w:iCs/>
          <w:lang w:val="fr-FR"/>
        </w:rPr>
        <w:t>les paragraphes 2.40 à 2.57</w:t>
      </w:r>
      <w:r w:rsidR="003F10F4">
        <w:rPr>
          <w:lang w:val="fr-FR"/>
        </w:rPr>
        <w:t>.</w:t>
      </w:r>
    </w:p>
    <w:p w:rsidR="00774BCA" w:rsidRPr="00D078FD" w:rsidRDefault="00774BCA" w:rsidP="007523B6">
      <w:pPr>
        <w:pStyle w:val="SingleTxtG"/>
        <w:keepNext/>
        <w:rPr>
          <w:rFonts w:eastAsia="HGMaruGothicMPRO"/>
        </w:rPr>
      </w:pPr>
      <w:r>
        <w:rPr>
          <w:i/>
          <w:iCs/>
          <w:lang w:val="fr-FR"/>
        </w:rPr>
        <w:t>Paragraphe 3.2.1</w:t>
      </w:r>
      <w:r w:rsidR="007523B6">
        <w:rPr>
          <w:lang w:val="fr-FR"/>
        </w:rPr>
        <w:t>, lire </w:t>
      </w:r>
      <w:r>
        <w:rPr>
          <w:lang w:val="fr-FR"/>
        </w:rPr>
        <w:t>:</w:t>
      </w:r>
    </w:p>
    <w:p w:rsidR="00774BCA" w:rsidRDefault="007523B6" w:rsidP="007C047F">
      <w:pPr>
        <w:pStyle w:val="SingleTxtG"/>
        <w:ind w:left="2268" w:hanging="1134"/>
        <w:rPr>
          <w:rFonts w:eastAsia="HGMaruGothicMPRO"/>
        </w:rPr>
      </w:pPr>
      <w:r>
        <w:rPr>
          <w:lang w:val="fr-FR"/>
        </w:rPr>
        <w:t>« </w:t>
      </w:r>
      <w:r w:rsidR="00774BCA">
        <w:rPr>
          <w:lang w:val="fr-FR"/>
        </w:rPr>
        <w:t xml:space="preserve">3.2.1 </w:t>
      </w:r>
      <w:r w:rsidR="00774BCA">
        <w:rPr>
          <w:lang w:val="fr-FR"/>
        </w:rPr>
        <w:tab/>
        <w:t>Le nom du rechapeur ou le nom de fa</w:t>
      </w:r>
      <w:r w:rsidR="003F10F4">
        <w:rPr>
          <w:lang w:val="fr-FR"/>
        </w:rPr>
        <w:t>brique ou la marque de commerce </w:t>
      </w:r>
      <w:r w:rsidR="00774BCA">
        <w:rPr>
          <w:lang w:val="fr-FR"/>
        </w:rPr>
        <w:t>;</w:t>
      </w:r>
      <w:r>
        <w:rPr>
          <w:lang w:val="fr-FR"/>
        </w:rPr>
        <w:t> »</w:t>
      </w:r>
      <w:r w:rsidR="00774BCA">
        <w:rPr>
          <w:lang w:val="fr-FR"/>
        </w:rPr>
        <w:t>.</w:t>
      </w:r>
    </w:p>
    <w:p w:rsidR="00774BCA" w:rsidRPr="00D078FD" w:rsidRDefault="00774BCA" w:rsidP="007523B6">
      <w:pPr>
        <w:pStyle w:val="SingleTxtG"/>
        <w:keepNext/>
        <w:rPr>
          <w:rFonts w:eastAsia="HGMaruGothicMPRO"/>
        </w:rPr>
      </w:pPr>
      <w:r>
        <w:rPr>
          <w:i/>
          <w:iCs/>
          <w:lang w:val="fr-FR"/>
        </w:rPr>
        <w:t>Ajouter un nouveau paragraphe 3.2.2</w:t>
      </w:r>
      <w:r w:rsidR="007523B6">
        <w:rPr>
          <w:lang w:val="fr-FR"/>
        </w:rPr>
        <w:t>, ainsi conçu :</w:t>
      </w:r>
    </w:p>
    <w:p w:rsidR="00774BCA" w:rsidRPr="00D078FD" w:rsidRDefault="003F10F4" w:rsidP="007C047F">
      <w:pPr>
        <w:pStyle w:val="SingleTxtG"/>
        <w:ind w:left="2268" w:hanging="1134"/>
        <w:rPr>
          <w:rFonts w:eastAsia="HGMaruGothicMPRO"/>
          <w:b/>
        </w:rPr>
      </w:pPr>
      <w:r>
        <w:rPr>
          <w:lang w:val="fr-FR"/>
        </w:rPr>
        <w:t>« </w:t>
      </w:r>
      <w:r w:rsidR="00774BCA">
        <w:rPr>
          <w:lang w:val="fr-FR"/>
        </w:rPr>
        <w:t xml:space="preserve">3.2.2 </w:t>
      </w:r>
      <w:r w:rsidR="00774BCA">
        <w:rPr>
          <w:lang w:val="fr-FR"/>
        </w:rPr>
        <w:tab/>
        <w:t>Le nom de fabrique ou la marque de commerce (voir le paragraphe 2 du présent Règlement). Cependant, la désignation commerciale n’est pas requise quand elle concorde avec la marque de commerce.</w:t>
      </w:r>
      <w:r>
        <w:rPr>
          <w:lang w:val="fr-FR"/>
        </w:rPr>
        <w:t> </w:t>
      </w:r>
      <w:r w:rsidR="00774BCA">
        <w:rPr>
          <w:lang w:val="fr-FR"/>
        </w:rPr>
        <w:t>».</w:t>
      </w:r>
    </w:p>
    <w:p w:rsidR="00774BCA" w:rsidRPr="0062277A" w:rsidRDefault="00774BCA" w:rsidP="007D7BD0">
      <w:pPr>
        <w:pStyle w:val="SingleTxtG"/>
        <w:rPr>
          <w:rFonts w:eastAsia="HGMaruGothicMPRO"/>
        </w:rPr>
      </w:pPr>
      <w:r>
        <w:rPr>
          <w:i/>
          <w:iCs/>
          <w:lang w:val="fr-FR"/>
        </w:rPr>
        <w:t>Les anciens paragraphes 3.2.2 à 3.2.4</w:t>
      </w:r>
      <w:r>
        <w:rPr>
          <w:lang w:val="fr-FR"/>
        </w:rPr>
        <w:t xml:space="preserve"> deviennent </w:t>
      </w:r>
      <w:r>
        <w:rPr>
          <w:i/>
          <w:iCs/>
          <w:lang w:val="fr-FR"/>
        </w:rPr>
        <w:t>les paragraphes 3.2.3 à 3.2.5</w:t>
      </w:r>
      <w:r w:rsidR="003F10F4">
        <w:rPr>
          <w:lang w:val="fr-FR"/>
        </w:rPr>
        <w:t>.</w:t>
      </w:r>
    </w:p>
    <w:p w:rsidR="00774BCA" w:rsidRPr="0062277A" w:rsidRDefault="00774BCA" w:rsidP="007D7BD0">
      <w:pPr>
        <w:pStyle w:val="SingleTxtG"/>
        <w:rPr>
          <w:rFonts w:eastAsia="HGMaruGothicMPRO"/>
        </w:rPr>
      </w:pPr>
      <w:r>
        <w:rPr>
          <w:i/>
          <w:iCs/>
          <w:lang w:val="fr-FR"/>
        </w:rPr>
        <w:t>Ancien paragraphe 3.2.2</w:t>
      </w:r>
      <w:r w:rsidR="003F10F4">
        <w:rPr>
          <w:lang w:val="fr-FR"/>
        </w:rPr>
        <w:t>, lire </w:t>
      </w:r>
      <w:r>
        <w:rPr>
          <w:lang w:val="fr-FR"/>
        </w:rPr>
        <w:t>:</w:t>
      </w:r>
    </w:p>
    <w:p w:rsidR="00774BCA" w:rsidRPr="0062277A" w:rsidRDefault="007523B6" w:rsidP="007C047F">
      <w:pPr>
        <w:pStyle w:val="SingleTxtG"/>
        <w:ind w:left="2268" w:hanging="1134"/>
        <w:rPr>
          <w:rFonts w:eastAsia="HGMaruGothicMPRO"/>
        </w:rPr>
      </w:pPr>
      <w:r>
        <w:rPr>
          <w:lang w:val="fr-FR"/>
        </w:rPr>
        <w:t>« </w:t>
      </w:r>
      <w:r w:rsidR="00774BCA">
        <w:rPr>
          <w:lang w:val="fr-FR"/>
        </w:rPr>
        <w:t>3.2.3</w:t>
      </w:r>
      <w:r w:rsidR="00774BCA">
        <w:rPr>
          <w:lang w:val="fr-FR"/>
        </w:rPr>
        <w:tab/>
        <w:t>La désignation de dimension du pneumatique telle qu</w:t>
      </w:r>
      <w:r w:rsidR="003F10F4">
        <w:rPr>
          <w:lang w:val="fr-FR"/>
        </w:rPr>
        <w:t>’elle est définie au paragraphe 2 </w:t>
      </w:r>
      <w:r w:rsidR="00774BCA">
        <w:rPr>
          <w:lang w:val="fr-FR"/>
        </w:rPr>
        <w:t>;</w:t>
      </w:r>
      <w:r>
        <w:rPr>
          <w:lang w:val="fr-FR"/>
        </w:rPr>
        <w:t> »</w:t>
      </w:r>
      <w:r w:rsidR="00774BCA">
        <w:rPr>
          <w:lang w:val="fr-FR"/>
        </w:rPr>
        <w:t>.</w:t>
      </w:r>
    </w:p>
    <w:p w:rsidR="00774BCA" w:rsidRPr="0062277A" w:rsidRDefault="00774BCA" w:rsidP="007523B6">
      <w:pPr>
        <w:pStyle w:val="SingleTxtG"/>
        <w:keepNext/>
        <w:rPr>
          <w:rFonts w:eastAsia="HGMaruGothicMPRO"/>
        </w:rPr>
      </w:pPr>
      <w:r>
        <w:rPr>
          <w:i/>
          <w:iCs/>
          <w:lang w:val="fr-FR"/>
        </w:rPr>
        <w:t>Anciens paragraphes 3.2.4.1 à 3.2.5.2</w:t>
      </w:r>
      <w:r w:rsidR="007523B6">
        <w:rPr>
          <w:lang w:val="fr-FR"/>
        </w:rPr>
        <w:t>, lire </w:t>
      </w:r>
      <w:r>
        <w:rPr>
          <w:lang w:val="fr-FR"/>
        </w:rPr>
        <w:t>:</w:t>
      </w:r>
    </w:p>
    <w:p w:rsidR="00774BCA" w:rsidRPr="0062277A" w:rsidRDefault="007523B6" w:rsidP="007C047F">
      <w:pPr>
        <w:pStyle w:val="SingleTxtG"/>
        <w:ind w:left="2268" w:hanging="1134"/>
        <w:rPr>
          <w:rFonts w:eastAsia="HGMaruGothicMPRO"/>
        </w:rPr>
      </w:pPr>
      <w:r>
        <w:rPr>
          <w:lang w:val="fr-FR"/>
        </w:rPr>
        <w:t>« </w:t>
      </w:r>
      <w:r w:rsidR="00774BCA">
        <w:rPr>
          <w:lang w:val="fr-FR"/>
        </w:rPr>
        <w:t>3.2.5.1</w:t>
      </w:r>
      <w:r w:rsidR="00774BCA">
        <w:rPr>
          <w:lang w:val="fr-FR"/>
        </w:rPr>
        <w:tab/>
        <w:t>Une indication de la (des) capacité(s) nominale(s) de charge du pneumatique sous forme de l’indice (des) indice(s) de charge prescrit(s) au paragraphe 2</w:t>
      </w:r>
      <w:r w:rsidR="00C90DCD">
        <w:rPr>
          <w:lang w:val="fr-FR"/>
        </w:rPr>
        <w:t> ;</w:t>
      </w:r>
    </w:p>
    <w:p w:rsidR="00774BCA" w:rsidRPr="0062277A" w:rsidRDefault="00774BCA" w:rsidP="007C047F">
      <w:pPr>
        <w:pStyle w:val="SingleTxtG"/>
        <w:ind w:left="2268" w:hanging="1134"/>
        <w:rPr>
          <w:rFonts w:eastAsia="HGMaruGothicMPRO"/>
        </w:rPr>
      </w:pPr>
      <w:r>
        <w:rPr>
          <w:lang w:val="fr-FR"/>
        </w:rPr>
        <w:t>3.2.5.2</w:t>
      </w:r>
      <w:r>
        <w:rPr>
          <w:lang w:val="fr-FR"/>
        </w:rPr>
        <w:tab/>
        <w:t>Une indication de la catégorie de vitesse nominale du pneumatique sous forme du code de v</w:t>
      </w:r>
      <w:r w:rsidR="007523B6">
        <w:rPr>
          <w:lang w:val="fr-FR"/>
        </w:rPr>
        <w:t>itesse prescrit au paragraphe 2 </w:t>
      </w:r>
      <w:r>
        <w:rPr>
          <w:lang w:val="fr-FR"/>
        </w:rPr>
        <w:t>;</w:t>
      </w:r>
    </w:p>
    <w:p w:rsidR="00774BCA" w:rsidRPr="0062277A" w:rsidRDefault="00774BCA" w:rsidP="007C047F">
      <w:pPr>
        <w:pStyle w:val="SingleTxtG"/>
        <w:ind w:left="2268" w:hanging="1134"/>
        <w:rPr>
          <w:rFonts w:eastAsia="HGMaruGothicMPRO"/>
        </w:rPr>
      </w:pPr>
      <w:r>
        <w:rPr>
          <w:lang w:val="fr-FR"/>
        </w:rPr>
        <w:t>3.2.6</w:t>
      </w:r>
      <w:r>
        <w:rPr>
          <w:lang w:val="fr-FR"/>
        </w:rPr>
        <w:tab/>
        <w:t>Le cas échéant, une description de service supplémentaire, le Point unique,</w:t>
      </w:r>
      <w:r w:rsidR="007523B6">
        <w:rPr>
          <w:lang w:val="fr-FR"/>
        </w:rPr>
        <w:t xml:space="preserve"> comportant </w:t>
      </w:r>
      <w:r>
        <w:rPr>
          <w:lang w:val="fr-FR"/>
        </w:rPr>
        <w:t>:</w:t>
      </w:r>
    </w:p>
    <w:p w:rsidR="00774BCA" w:rsidRPr="0062277A" w:rsidRDefault="00774BCA" w:rsidP="007C047F">
      <w:pPr>
        <w:pStyle w:val="SingleTxtG"/>
        <w:ind w:left="2268" w:hanging="1134"/>
        <w:rPr>
          <w:rFonts w:eastAsia="HGMaruGothicMPRO"/>
        </w:rPr>
      </w:pPr>
      <w:r>
        <w:rPr>
          <w:lang w:val="fr-FR"/>
        </w:rPr>
        <w:t>3.2.6.1</w:t>
      </w:r>
      <w:r>
        <w:rPr>
          <w:lang w:val="fr-FR"/>
        </w:rPr>
        <w:tab/>
        <w:t>Une indication de la (des) capacité(s) de charge du pneumatique sous forme de l’indice ou des indices de c</w:t>
      </w:r>
      <w:r w:rsidR="007523B6">
        <w:rPr>
          <w:lang w:val="fr-FR"/>
        </w:rPr>
        <w:t>harge prescrits au paragraphe 2 </w:t>
      </w:r>
      <w:r>
        <w:rPr>
          <w:lang w:val="fr-FR"/>
        </w:rPr>
        <w:t>;</w:t>
      </w:r>
    </w:p>
    <w:p w:rsidR="00774BCA" w:rsidRPr="0062277A" w:rsidRDefault="00774BCA" w:rsidP="007C047F">
      <w:pPr>
        <w:pStyle w:val="SingleTxtG"/>
        <w:ind w:left="2268" w:hanging="1134"/>
        <w:rPr>
          <w:rFonts w:eastAsia="HGMaruGothicMPRO"/>
        </w:rPr>
      </w:pPr>
      <w:r>
        <w:rPr>
          <w:lang w:val="fr-FR"/>
        </w:rPr>
        <w:t>3.2.6.2</w:t>
      </w:r>
      <w:r>
        <w:rPr>
          <w:lang w:val="fr-FR"/>
        </w:rPr>
        <w:tab/>
        <w:t>Une indication de la catégorie de vitesse sous forme du code de vitesse prescrit au pa</w:t>
      </w:r>
      <w:r w:rsidR="007523B6">
        <w:rPr>
          <w:lang w:val="fr-FR"/>
        </w:rPr>
        <w:t>ragraphe 2</w:t>
      </w:r>
      <w:r w:rsidR="00C90DCD">
        <w:rPr>
          <w:lang w:val="fr-FR"/>
        </w:rPr>
        <w:t> ;</w:t>
      </w:r>
      <w:r w:rsidR="007523B6">
        <w:rPr>
          <w:lang w:val="fr-FR"/>
        </w:rPr>
        <w:t> </w:t>
      </w:r>
      <w:r>
        <w:rPr>
          <w:lang w:val="fr-FR"/>
        </w:rPr>
        <w:t>».</w:t>
      </w:r>
    </w:p>
    <w:p w:rsidR="00774BCA" w:rsidRPr="0062277A" w:rsidRDefault="00774BCA" w:rsidP="007D7BD0">
      <w:pPr>
        <w:pStyle w:val="SingleTxtG"/>
        <w:rPr>
          <w:rFonts w:eastAsia="HGMaruGothicMPRO"/>
        </w:rPr>
      </w:pPr>
      <w:r>
        <w:rPr>
          <w:i/>
          <w:iCs/>
          <w:lang w:val="fr-FR"/>
        </w:rPr>
        <w:t>Les anciens paragraphes 3.2.6 à 3.2.7</w:t>
      </w:r>
      <w:r>
        <w:rPr>
          <w:lang w:val="fr-FR"/>
        </w:rPr>
        <w:t xml:space="preserve"> deviennent </w:t>
      </w:r>
      <w:r>
        <w:rPr>
          <w:i/>
          <w:iCs/>
          <w:lang w:val="fr-FR"/>
        </w:rPr>
        <w:t>les paragraphes 3.2.7 à 3.2.8</w:t>
      </w:r>
      <w:r w:rsidR="003F10F4">
        <w:rPr>
          <w:lang w:val="fr-FR"/>
        </w:rPr>
        <w:t>.</w:t>
      </w:r>
    </w:p>
    <w:p w:rsidR="00774BCA" w:rsidRPr="0062277A" w:rsidRDefault="00774BCA" w:rsidP="007523B6">
      <w:pPr>
        <w:pStyle w:val="SingleTxtG"/>
        <w:keepNext/>
        <w:rPr>
          <w:rFonts w:eastAsia="HGMaruGothicMPRO"/>
        </w:rPr>
      </w:pPr>
      <w:r>
        <w:rPr>
          <w:i/>
          <w:iCs/>
          <w:lang w:val="fr-FR"/>
        </w:rPr>
        <w:t>Anciens paragraphes 3.2.8 à 3.2.8.2</w:t>
      </w:r>
      <w:r w:rsidR="007523B6">
        <w:rPr>
          <w:lang w:val="fr-FR"/>
        </w:rPr>
        <w:t>, lire </w:t>
      </w:r>
      <w:r>
        <w:rPr>
          <w:lang w:val="fr-FR"/>
        </w:rPr>
        <w:t>:</w:t>
      </w:r>
    </w:p>
    <w:p w:rsidR="00774BCA" w:rsidRPr="0062277A" w:rsidRDefault="007523B6" w:rsidP="007523B6">
      <w:pPr>
        <w:pStyle w:val="SingleTxtG"/>
        <w:keepNext/>
        <w:ind w:left="2268" w:hanging="1134"/>
        <w:rPr>
          <w:rFonts w:eastAsia="HGMaruGothicMPRO"/>
        </w:rPr>
      </w:pPr>
      <w:r>
        <w:rPr>
          <w:lang w:val="fr-FR"/>
        </w:rPr>
        <w:t>« </w:t>
      </w:r>
      <w:r w:rsidR="00774BCA">
        <w:rPr>
          <w:lang w:val="fr-FR"/>
        </w:rPr>
        <w:t>3.2.9</w:t>
      </w:r>
      <w:r w:rsidR="00774BCA">
        <w:rPr>
          <w:lang w:val="fr-FR"/>
        </w:rPr>
        <w:tab/>
        <w:t>L</w:t>
      </w:r>
      <w:r>
        <w:rPr>
          <w:lang w:val="fr-FR"/>
        </w:rPr>
        <w:t>a date du rechapage, comme suit </w:t>
      </w:r>
      <w:r w:rsidR="00774BCA">
        <w:rPr>
          <w:lang w:val="fr-FR"/>
        </w:rPr>
        <w:t>:</w:t>
      </w:r>
    </w:p>
    <w:p w:rsidR="00774BCA" w:rsidRPr="0062277A" w:rsidRDefault="003F10F4" w:rsidP="007C047F">
      <w:pPr>
        <w:pStyle w:val="SingleTxtG"/>
        <w:ind w:left="2268" w:hanging="1134"/>
        <w:rPr>
          <w:rFonts w:eastAsia="HGMaruGothicMPRO"/>
        </w:rPr>
      </w:pPr>
      <w:r>
        <w:rPr>
          <w:lang w:val="fr-FR"/>
        </w:rPr>
        <w:t>3.2.9.1</w:t>
      </w:r>
      <w:r>
        <w:rPr>
          <w:lang w:val="fr-FR"/>
        </w:rPr>
        <w:tab/>
        <w:t>Jusqu’au 31 </w:t>
      </w:r>
      <w:r w:rsidR="00774BCA">
        <w:rPr>
          <w:lang w:val="fr-FR"/>
        </w:rPr>
        <w:t>décembre 1999 ; soit comm</w:t>
      </w:r>
      <w:r>
        <w:rPr>
          <w:lang w:val="fr-FR"/>
        </w:rPr>
        <w:t>e il est prescrit au paragraphe </w:t>
      </w:r>
      <w:r w:rsidR="00774BCA">
        <w:rPr>
          <w:lang w:val="fr-FR"/>
        </w:rPr>
        <w:t>3.2.9.2, soit sous forme d’un groupe de trois chiffres, les deux premiers indiquant la semaine et le dernier le millésime de la décennie de fabrication. Le code de date peut désigner la période de fabrication à partir de la semaine indiquée par son chiffre jusqu’à la troisième semaine suivante, inclusivement désignée.</w:t>
      </w:r>
      <w:r w:rsidR="00F65390">
        <w:rPr>
          <w:lang w:val="fr-FR"/>
        </w:rPr>
        <w:t xml:space="preserve"> Par exemple, l’inscription “25</w:t>
      </w:r>
      <w:r w:rsidR="00774BCA">
        <w:rPr>
          <w:lang w:val="fr-FR"/>
        </w:rPr>
        <w:t>3” peut désigner un pneumatique rechapé pendant les 25</w:t>
      </w:r>
      <w:r w:rsidR="00774BCA">
        <w:rPr>
          <w:vertAlign w:val="superscript"/>
          <w:lang w:val="fr-FR"/>
        </w:rPr>
        <w:t>e</w:t>
      </w:r>
      <w:r w:rsidR="00774BCA">
        <w:rPr>
          <w:lang w:val="fr-FR"/>
        </w:rPr>
        <w:t>, 26</w:t>
      </w:r>
      <w:r w:rsidR="00774BCA">
        <w:rPr>
          <w:vertAlign w:val="superscript"/>
          <w:lang w:val="fr-FR"/>
        </w:rPr>
        <w:t>e</w:t>
      </w:r>
      <w:r w:rsidR="00774BCA">
        <w:rPr>
          <w:lang w:val="fr-FR"/>
        </w:rPr>
        <w:t>, 27</w:t>
      </w:r>
      <w:r w:rsidR="00774BCA">
        <w:rPr>
          <w:vertAlign w:val="superscript"/>
          <w:lang w:val="fr-FR"/>
        </w:rPr>
        <w:t>e</w:t>
      </w:r>
      <w:r w:rsidR="00774BCA">
        <w:rPr>
          <w:lang w:val="fr-FR"/>
        </w:rPr>
        <w:t xml:space="preserve"> ou 28</w:t>
      </w:r>
      <w:r w:rsidR="00774BCA">
        <w:rPr>
          <w:vertAlign w:val="superscript"/>
          <w:lang w:val="fr-FR"/>
        </w:rPr>
        <w:t>e</w:t>
      </w:r>
      <w:r w:rsidR="00774BCA">
        <w:rPr>
          <w:lang w:val="fr-FR"/>
        </w:rPr>
        <w:t xml:space="preserve"> semaines de l’année 1993.</w:t>
      </w:r>
    </w:p>
    <w:p w:rsidR="00774BCA" w:rsidRPr="0062277A" w:rsidRDefault="00774BCA" w:rsidP="00CA2789">
      <w:pPr>
        <w:pStyle w:val="SingleTxtG"/>
        <w:ind w:left="2268"/>
        <w:rPr>
          <w:rFonts w:eastAsia="HGMaruGothicMPRO"/>
        </w:rPr>
      </w:pPr>
      <w:r>
        <w:rPr>
          <w:lang w:val="fr-FR"/>
        </w:rPr>
        <w:t>Le code de date peut n’être inscrit que sur un flanc.</w:t>
      </w:r>
    </w:p>
    <w:p w:rsidR="00774BCA" w:rsidRPr="0062277A" w:rsidRDefault="00774BCA" w:rsidP="007C047F">
      <w:pPr>
        <w:pStyle w:val="SingleTxtG"/>
        <w:ind w:left="2268" w:hanging="1134"/>
        <w:rPr>
          <w:rFonts w:eastAsia="HGMaruGothicMPRO"/>
        </w:rPr>
      </w:pPr>
      <w:r>
        <w:rPr>
          <w:lang w:val="fr-FR"/>
        </w:rPr>
        <w:t>3.2.9.2</w:t>
      </w:r>
      <w:r>
        <w:rPr>
          <w:lang w:val="fr-FR"/>
        </w:rPr>
        <w:tab/>
        <w:t>À compter du 1</w:t>
      </w:r>
      <w:r w:rsidRPr="00CA2789">
        <w:rPr>
          <w:vertAlign w:val="superscript"/>
          <w:lang w:val="fr-FR"/>
        </w:rPr>
        <w:t>er</w:t>
      </w:r>
      <w:r w:rsidR="00CA2789">
        <w:rPr>
          <w:lang w:val="fr-FR"/>
        </w:rPr>
        <w:t> </w:t>
      </w:r>
      <w:r>
        <w:rPr>
          <w:lang w:val="fr-FR"/>
        </w:rPr>
        <w:t>janvier 2000 ; sous forme d’un groupe de…</w:t>
      </w:r>
      <w:r w:rsidR="00CA2789">
        <w:rPr>
          <w:lang w:val="fr-FR"/>
        </w:rPr>
        <w:t> </w:t>
      </w:r>
      <w:r>
        <w:rPr>
          <w:lang w:val="fr-FR"/>
        </w:rPr>
        <w:t>».</w:t>
      </w:r>
    </w:p>
    <w:p w:rsidR="00774BCA" w:rsidRPr="0062277A" w:rsidRDefault="00774BCA" w:rsidP="007D7BD0">
      <w:pPr>
        <w:pStyle w:val="SingleTxtG"/>
        <w:rPr>
          <w:rFonts w:eastAsia="HGMaruGothicMPRO"/>
        </w:rPr>
      </w:pPr>
      <w:r>
        <w:rPr>
          <w:i/>
          <w:iCs/>
          <w:lang w:val="fr-FR"/>
        </w:rPr>
        <w:t>Les anciens paragraphes 3.2.9 à 3.2.13</w:t>
      </w:r>
      <w:r>
        <w:rPr>
          <w:lang w:val="fr-FR"/>
        </w:rPr>
        <w:t xml:space="preserve"> deviennent </w:t>
      </w:r>
      <w:r>
        <w:rPr>
          <w:i/>
          <w:iCs/>
          <w:lang w:val="fr-FR"/>
        </w:rPr>
        <w:t>les paragraphes 3.2.10 à 3.2.14</w:t>
      </w:r>
      <w:r w:rsidR="003F10F4">
        <w:rPr>
          <w:lang w:val="fr-FR"/>
        </w:rPr>
        <w:t>.</w:t>
      </w:r>
    </w:p>
    <w:p w:rsidR="00774BCA" w:rsidRPr="0062277A" w:rsidRDefault="00774BCA" w:rsidP="00CA2789">
      <w:pPr>
        <w:pStyle w:val="SingleTxtG"/>
        <w:keepNext/>
        <w:rPr>
          <w:rFonts w:eastAsia="HGMaruGothicMPRO"/>
        </w:rPr>
      </w:pPr>
      <w:r>
        <w:rPr>
          <w:i/>
          <w:iCs/>
          <w:lang w:val="fr-FR"/>
        </w:rPr>
        <w:lastRenderedPageBreak/>
        <w:t>Anciens paragraphes 3.2.13 et 3.2.14</w:t>
      </w:r>
      <w:r w:rsidR="00CA2789">
        <w:rPr>
          <w:lang w:val="fr-FR"/>
        </w:rPr>
        <w:t>, lire</w:t>
      </w:r>
      <w:r w:rsidR="00CA2789">
        <w:t> </w:t>
      </w:r>
      <w:r>
        <w:rPr>
          <w:lang w:val="fr-FR"/>
        </w:rPr>
        <w:t>:</w:t>
      </w:r>
    </w:p>
    <w:p w:rsidR="00774BCA" w:rsidRPr="0062277A" w:rsidRDefault="00CA2789" w:rsidP="00CA2789">
      <w:pPr>
        <w:pStyle w:val="SingleTxtG"/>
        <w:keepLines/>
        <w:ind w:left="2268" w:hanging="1134"/>
        <w:rPr>
          <w:rFonts w:eastAsia="HGMaruGothicMPRO"/>
        </w:rPr>
      </w:pPr>
      <w:r>
        <w:rPr>
          <w:lang w:val="fr-FR"/>
        </w:rPr>
        <w:t>« </w:t>
      </w:r>
      <w:r w:rsidR="00774BCA">
        <w:rPr>
          <w:lang w:val="fr-FR"/>
        </w:rPr>
        <w:t>3.2.14</w:t>
      </w:r>
      <w:r w:rsidR="00774BCA">
        <w:rPr>
          <w:lang w:val="fr-FR"/>
        </w:rPr>
        <w:tab/>
        <w:t>Les pneumatiques rechapés par le procédé “talon à talon” défini au paragraphe 2.42.3 ou par tout procédé dans lequel le matériau de la paroi est</w:t>
      </w:r>
      <w:r w:rsidR="004E64F0">
        <w:rPr>
          <w:lang w:val="fr-FR"/>
        </w:rPr>
        <w:t> </w:t>
      </w:r>
      <w:r w:rsidR="00774BCA">
        <w:rPr>
          <w:lang w:val="fr-FR"/>
        </w:rPr>
        <w:t>renouvelé doivent porter le symbole d’identification visé au paragraphe</w:t>
      </w:r>
      <w:r w:rsidR="004E64F0">
        <w:rPr>
          <w:lang w:val="fr-FR"/>
        </w:rPr>
        <w:t> </w:t>
      </w:r>
      <w:r w:rsidR="00774BCA">
        <w:rPr>
          <w:lang w:val="fr-FR"/>
        </w:rPr>
        <w:t>2.26.4, immédiatement après l’indication du diamètre de la jante telle que définie au paragraphe 2.26.3.</w:t>
      </w:r>
    </w:p>
    <w:p w:rsidR="00774BCA" w:rsidRPr="0062277A" w:rsidRDefault="00774BCA" w:rsidP="007C047F">
      <w:pPr>
        <w:pStyle w:val="SingleTxtG"/>
        <w:ind w:left="2268" w:hanging="1134"/>
        <w:rPr>
          <w:rFonts w:eastAsia="HGMaruGothicMPRO"/>
        </w:rPr>
      </w:pPr>
      <w:r>
        <w:rPr>
          <w:lang w:val="fr-FR"/>
        </w:rPr>
        <w:t>3.2.15</w:t>
      </w:r>
      <w:r>
        <w:rPr>
          <w:lang w:val="fr-FR"/>
        </w:rPr>
        <w:tab/>
        <w:t>La mention “LT” avant ou “C” ou “LT” après la marque du diamètre de la jante visée au paragraphe 2.26.3 et, le cas échéant, après le symbole de la configuration de montage pneumatique/jante visé au paragraphe 2.26.4, ou la mention “LT” après la description de service.</w:t>
      </w:r>
      <w:r w:rsidR="004E64F0">
        <w:rPr>
          <w:lang w:val="fr-FR"/>
        </w:rPr>
        <w:t> </w:t>
      </w:r>
      <w:r>
        <w:rPr>
          <w:lang w:val="fr-FR"/>
        </w:rPr>
        <w:t>».</w:t>
      </w:r>
    </w:p>
    <w:p w:rsidR="00774BCA" w:rsidRPr="0062277A" w:rsidRDefault="00774BCA" w:rsidP="007D7BD0">
      <w:pPr>
        <w:pStyle w:val="SingleTxtG"/>
        <w:rPr>
          <w:rFonts w:eastAsia="HGMaruGothicMPRO"/>
        </w:rPr>
      </w:pPr>
      <w:r>
        <w:rPr>
          <w:i/>
          <w:iCs/>
          <w:lang w:val="fr-FR"/>
        </w:rPr>
        <w:t>Les anciens paragraphes 3.2.14.1 et 3.2.14.2</w:t>
      </w:r>
      <w:r>
        <w:rPr>
          <w:lang w:val="fr-FR"/>
        </w:rPr>
        <w:t xml:space="preserve"> deviennent </w:t>
      </w:r>
      <w:r>
        <w:rPr>
          <w:i/>
          <w:iCs/>
          <w:lang w:val="fr-FR"/>
        </w:rPr>
        <w:t>les paragraphes</w:t>
      </w:r>
      <w:r w:rsidR="004E64F0">
        <w:rPr>
          <w:i/>
          <w:iCs/>
          <w:lang w:val="fr-FR"/>
        </w:rPr>
        <w:t> </w:t>
      </w:r>
      <w:r>
        <w:rPr>
          <w:i/>
          <w:iCs/>
          <w:lang w:val="fr-FR"/>
        </w:rPr>
        <w:t>3.2.15.1 à</w:t>
      </w:r>
      <w:r w:rsidR="004E64F0">
        <w:rPr>
          <w:i/>
          <w:iCs/>
          <w:lang w:val="fr-FR"/>
        </w:rPr>
        <w:t> </w:t>
      </w:r>
      <w:r>
        <w:rPr>
          <w:i/>
          <w:iCs/>
          <w:lang w:val="fr-FR"/>
        </w:rPr>
        <w:t>3.2.15.2</w:t>
      </w:r>
      <w:r>
        <w:rPr>
          <w:lang w:val="fr-FR"/>
        </w:rPr>
        <w:t>.</w:t>
      </w:r>
    </w:p>
    <w:p w:rsidR="00774BCA" w:rsidRPr="0062277A" w:rsidRDefault="00774BCA" w:rsidP="004E64F0">
      <w:pPr>
        <w:pStyle w:val="SingleTxtG"/>
        <w:keepNext/>
        <w:rPr>
          <w:rFonts w:eastAsia="HGMaruGothicMPRO"/>
        </w:rPr>
      </w:pPr>
      <w:r>
        <w:rPr>
          <w:i/>
          <w:iCs/>
          <w:lang w:val="fr-FR"/>
        </w:rPr>
        <w:t>Ancien paragraphe 3.2.15</w:t>
      </w:r>
      <w:r w:rsidR="004E64F0">
        <w:rPr>
          <w:lang w:val="fr-FR"/>
        </w:rPr>
        <w:t>, lire </w:t>
      </w:r>
      <w:r>
        <w:rPr>
          <w:lang w:val="fr-FR"/>
        </w:rPr>
        <w:t>:</w:t>
      </w:r>
    </w:p>
    <w:p w:rsidR="00774BCA" w:rsidRPr="0062277A" w:rsidRDefault="004E64F0" w:rsidP="007C047F">
      <w:pPr>
        <w:pStyle w:val="SingleTxtG"/>
        <w:ind w:left="2268" w:hanging="1134"/>
        <w:rPr>
          <w:rFonts w:eastAsia="HGMaruGothicMPRO"/>
        </w:rPr>
      </w:pPr>
      <w:r>
        <w:rPr>
          <w:lang w:val="fr-FR"/>
        </w:rPr>
        <w:t>« </w:t>
      </w:r>
      <w:r w:rsidR="00774BCA">
        <w:rPr>
          <w:lang w:val="fr-FR"/>
        </w:rPr>
        <w:t>3.2.16</w:t>
      </w:r>
      <w:r w:rsidR="00774BCA">
        <w:rPr>
          <w:lang w:val="fr-FR"/>
        </w:rPr>
        <w:tab/>
        <w:t>La mention “CP” après la marque du diamètre de la jante visée au paragraphe 2.26.3 et, le cas échéant, après le symbole de la configuration du montage du pneumatique sur la jante visée au paragraphe 2.26.4. Cette indication est obligatoire pour les pneumatiques montés sur jantes à base creuse à épaulement de 5°, dont l’indice de capacité de charge en montage simple est au maximum de 121 et qui sont conçus spécifi</w:t>
      </w:r>
      <w:r>
        <w:rPr>
          <w:lang w:val="fr-FR"/>
        </w:rPr>
        <w:t>quement pour les autocaravanes. </w:t>
      </w:r>
      <w:r w:rsidR="00774BCA">
        <w:rPr>
          <w:lang w:val="fr-FR"/>
        </w:rPr>
        <w:t>».</w:t>
      </w:r>
    </w:p>
    <w:p w:rsidR="00774BCA" w:rsidRPr="00EA615C" w:rsidRDefault="00774BCA" w:rsidP="007D7BD0">
      <w:pPr>
        <w:pStyle w:val="SingleTxtG"/>
        <w:rPr>
          <w:rFonts w:eastAsia="HGMaruGothicMPRO"/>
        </w:rPr>
      </w:pPr>
      <w:r>
        <w:rPr>
          <w:i/>
          <w:iCs/>
          <w:lang w:val="fr-FR"/>
        </w:rPr>
        <w:t>Les anciens paragraphes 3.2.16</w:t>
      </w:r>
      <w:r>
        <w:rPr>
          <w:lang w:val="fr-FR"/>
        </w:rPr>
        <w:t xml:space="preserve"> deviennent </w:t>
      </w:r>
      <w:r>
        <w:rPr>
          <w:i/>
          <w:iCs/>
          <w:lang w:val="fr-FR"/>
        </w:rPr>
        <w:t>les paragraphes 3.2.17</w:t>
      </w:r>
      <w:r>
        <w:rPr>
          <w:lang w:val="fr-FR"/>
        </w:rPr>
        <w:t>.</w:t>
      </w:r>
    </w:p>
    <w:p w:rsidR="00774BCA" w:rsidRPr="0062277A" w:rsidRDefault="00774BCA" w:rsidP="004E64F0">
      <w:pPr>
        <w:pStyle w:val="SingleTxtG"/>
        <w:keepNext/>
        <w:rPr>
          <w:rFonts w:eastAsia="HGMaruGothicMPRO"/>
        </w:rPr>
      </w:pPr>
      <w:r>
        <w:rPr>
          <w:i/>
          <w:iCs/>
          <w:lang w:val="fr-FR"/>
        </w:rPr>
        <w:t>Paragraphe 4.1</w:t>
      </w:r>
      <w:r w:rsidR="004E64F0">
        <w:rPr>
          <w:lang w:val="fr-FR"/>
        </w:rPr>
        <w:t>, lire :</w:t>
      </w:r>
    </w:p>
    <w:p w:rsidR="00774BCA" w:rsidRPr="0062277A" w:rsidRDefault="004E64F0" w:rsidP="007C047F">
      <w:pPr>
        <w:pStyle w:val="SingleTxtG"/>
        <w:ind w:left="2268" w:hanging="1134"/>
        <w:rPr>
          <w:rFonts w:eastAsia="HGMaruGothicMPRO"/>
        </w:rPr>
      </w:pPr>
      <w:bookmarkStart w:id="3" w:name="A0_S4_1_"/>
      <w:r>
        <w:rPr>
          <w:lang w:val="fr-FR"/>
        </w:rPr>
        <w:t>« </w:t>
      </w:r>
      <w:r w:rsidR="003F10F4">
        <w:rPr>
          <w:lang w:val="fr-FR"/>
        </w:rPr>
        <w:t>4.1</w:t>
      </w:r>
      <w:r w:rsidR="00774BCA">
        <w:rPr>
          <w:lang w:val="fr-FR"/>
        </w:rPr>
        <w:tab/>
        <w:t>La demande d’homologation d’une entreprise de rechapage doit être présentée soit par le rechapeur, soit par son représentant dûmen</w:t>
      </w:r>
      <w:r>
        <w:rPr>
          <w:lang w:val="fr-FR"/>
        </w:rPr>
        <w:t>t accrédité. Elle doit préciser </w:t>
      </w:r>
      <w:r w:rsidR="00774BCA">
        <w:rPr>
          <w:lang w:val="fr-FR"/>
        </w:rPr>
        <w:t>:</w:t>
      </w:r>
      <w:bookmarkEnd w:id="3"/>
    </w:p>
    <w:p w:rsidR="00774BCA" w:rsidRPr="0062277A" w:rsidRDefault="004E64F0" w:rsidP="004E64F0">
      <w:pPr>
        <w:spacing w:after="120"/>
        <w:ind w:left="2268" w:right="1134"/>
        <w:mirrorIndents/>
        <w:jc w:val="both"/>
        <w:rPr>
          <w:rFonts w:eastAsia="HGMaruGothicMPRO"/>
        </w:rPr>
      </w:pPr>
      <w:r>
        <w:rPr>
          <w:lang w:val="fr-FR"/>
        </w:rPr>
        <w:t>… »</w:t>
      </w:r>
      <w:r w:rsidR="00774BCA">
        <w:rPr>
          <w:lang w:val="fr-FR"/>
        </w:rPr>
        <w:t>.</w:t>
      </w:r>
    </w:p>
    <w:p w:rsidR="00774BCA" w:rsidRPr="0062277A" w:rsidRDefault="00774BCA" w:rsidP="007D7BD0">
      <w:pPr>
        <w:pStyle w:val="SingleTxtG"/>
        <w:rPr>
          <w:rFonts w:eastAsia="HGMaruGothicMPRO"/>
        </w:rPr>
      </w:pPr>
      <w:r w:rsidRPr="00EF71D7">
        <w:rPr>
          <w:i/>
          <w:iCs/>
          <w:lang w:val="fr-FR"/>
        </w:rPr>
        <w:t>Paragraphe 4.1.3</w:t>
      </w:r>
      <w:r w:rsidR="003F10F4">
        <w:rPr>
          <w:lang w:val="fr-FR"/>
        </w:rPr>
        <w:t>, lire </w:t>
      </w:r>
      <w:r w:rsidRPr="00EF71D7">
        <w:rPr>
          <w:lang w:val="fr-FR"/>
        </w:rPr>
        <w:t>:</w:t>
      </w:r>
    </w:p>
    <w:p w:rsidR="00774BCA" w:rsidRPr="0062277A" w:rsidRDefault="00EF71D7" w:rsidP="007C047F">
      <w:pPr>
        <w:pStyle w:val="SingleTxtG"/>
        <w:ind w:left="2268" w:hanging="1134"/>
        <w:rPr>
          <w:rFonts w:eastAsia="HGMaruGothicMPRO"/>
        </w:rPr>
      </w:pPr>
      <w:r>
        <w:rPr>
          <w:lang w:val="fr-FR"/>
        </w:rPr>
        <w:t>« </w:t>
      </w:r>
      <w:r w:rsidR="003F10F4">
        <w:rPr>
          <w:lang w:val="fr-FR"/>
        </w:rPr>
        <w:t>4.1.3</w:t>
      </w:r>
      <w:r w:rsidR="00774BCA">
        <w:rPr>
          <w:lang w:val="fr-FR"/>
        </w:rPr>
        <w:tab/>
        <w:t>Le(s) nom(s) de marque/la ou les marque(s) de fabrique à appliquer</w:t>
      </w:r>
      <w:r>
        <w:rPr>
          <w:lang w:val="fr-FR"/>
        </w:rPr>
        <w:t xml:space="preserve"> sur les pneumatiques rechapés. »</w:t>
      </w:r>
      <w:r w:rsidR="00774BCA">
        <w:rPr>
          <w:lang w:val="fr-FR"/>
        </w:rPr>
        <w:t>.</w:t>
      </w:r>
    </w:p>
    <w:p w:rsidR="00774BCA" w:rsidRPr="0062277A" w:rsidRDefault="00774BCA" w:rsidP="00EF71D7">
      <w:pPr>
        <w:pStyle w:val="SingleTxtG"/>
        <w:keepNext/>
        <w:rPr>
          <w:rFonts w:eastAsia="HGMaruGothicMPRO"/>
        </w:rPr>
      </w:pPr>
      <w:r>
        <w:rPr>
          <w:i/>
          <w:iCs/>
          <w:lang w:val="fr-FR"/>
        </w:rPr>
        <w:t>Ajouter un nouveau paragraphe 4.1.4</w:t>
      </w:r>
      <w:r w:rsidR="00EF71D7">
        <w:rPr>
          <w:lang w:val="fr-FR"/>
        </w:rPr>
        <w:t>, ainsi conçu :</w:t>
      </w:r>
    </w:p>
    <w:p w:rsidR="00774BCA" w:rsidRPr="0062277A" w:rsidRDefault="00EF71D7" w:rsidP="007C047F">
      <w:pPr>
        <w:pStyle w:val="SingleTxtG"/>
        <w:ind w:left="2268" w:hanging="1134"/>
        <w:rPr>
          <w:rFonts w:eastAsia="HGMaruGothicMPRO"/>
        </w:rPr>
      </w:pPr>
      <w:r>
        <w:rPr>
          <w:lang w:val="fr-FR"/>
        </w:rPr>
        <w:t>« </w:t>
      </w:r>
      <w:r w:rsidR="003F10F4">
        <w:rPr>
          <w:lang w:val="fr-FR"/>
        </w:rPr>
        <w:t>4.1.4</w:t>
      </w:r>
      <w:r w:rsidR="00774BCA">
        <w:rPr>
          <w:lang w:val="fr-FR"/>
        </w:rPr>
        <w:tab/>
        <w:t>La ou les désignations commerciales/le ou les noms commerciaux (voir par.</w:t>
      </w:r>
      <w:r>
        <w:rPr>
          <w:lang w:val="fr-FR"/>
        </w:rPr>
        <w:t> </w:t>
      </w:r>
      <w:r w:rsidR="00774BCA">
        <w:rPr>
          <w:lang w:val="fr-FR"/>
        </w:rPr>
        <w:t>2) qui pourraient être appliqués sur les pneumatiques rechapés.</w:t>
      </w:r>
      <w:r>
        <w:rPr>
          <w:lang w:val="fr-FR"/>
        </w:rPr>
        <w:t> »</w:t>
      </w:r>
      <w:r w:rsidR="00774BCA">
        <w:rPr>
          <w:lang w:val="fr-FR"/>
        </w:rPr>
        <w:t>.</w:t>
      </w:r>
    </w:p>
    <w:p w:rsidR="00774BCA" w:rsidRPr="0062277A" w:rsidRDefault="00774BCA" w:rsidP="00EF71D7">
      <w:pPr>
        <w:pStyle w:val="SingleTxtG"/>
        <w:keepNext/>
        <w:ind w:left="2268" w:hanging="1134"/>
        <w:rPr>
          <w:rFonts w:eastAsia="HGMaruGothicMPRO"/>
        </w:rPr>
      </w:pPr>
      <w:r>
        <w:rPr>
          <w:lang w:val="fr-FR"/>
        </w:rPr>
        <w:t>4.1.5</w:t>
      </w:r>
      <w:r>
        <w:rPr>
          <w:lang w:val="fr-FR"/>
        </w:rPr>
        <w:tab/>
        <w:t>Les renseignements ci-après relatifs à la gamme des pneumatiques à rechaper</w:t>
      </w:r>
      <w:r w:rsidR="00EF71D7">
        <w:rPr>
          <w:lang w:val="fr-FR"/>
        </w:rPr>
        <w:t> </w:t>
      </w:r>
      <w:r>
        <w:rPr>
          <w:lang w:val="fr-FR"/>
        </w:rPr>
        <w:t>:</w:t>
      </w:r>
    </w:p>
    <w:p w:rsidR="00774BCA" w:rsidRPr="0062277A" w:rsidRDefault="00774BCA" w:rsidP="007C047F">
      <w:pPr>
        <w:pStyle w:val="SingleTxtG"/>
        <w:ind w:left="2268" w:hanging="1134"/>
        <w:rPr>
          <w:rFonts w:eastAsia="HGMaruGothicMPRO"/>
        </w:rPr>
      </w:pPr>
      <w:r>
        <w:rPr>
          <w:lang w:val="fr-FR"/>
        </w:rPr>
        <w:t>4.1.5.1</w:t>
      </w:r>
      <w:r>
        <w:rPr>
          <w:lang w:val="fr-FR"/>
        </w:rPr>
        <w:tab/>
        <w:t xml:space="preserve">La gamme </w:t>
      </w:r>
      <w:r w:rsidR="00EF71D7">
        <w:rPr>
          <w:lang w:val="fr-FR"/>
        </w:rPr>
        <w:t>des dimensions des pneumatiques ;</w:t>
      </w:r>
    </w:p>
    <w:p w:rsidR="00774BCA" w:rsidRPr="0062277A" w:rsidRDefault="00774BCA" w:rsidP="007C047F">
      <w:pPr>
        <w:pStyle w:val="SingleTxtG"/>
        <w:ind w:left="2268" w:hanging="1134"/>
        <w:rPr>
          <w:rFonts w:eastAsia="HGMaruGothicMPRO"/>
        </w:rPr>
      </w:pPr>
      <w:r>
        <w:rPr>
          <w:lang w:val="fr-FR"/>
        </w:rPr>
        <w:t>4.1.5.2</w:t>
      </w:r>
      <w:r>
        <w:rPr>
          <w:lang w:val="fr-FR"/>
        </w:rPr>
        <w:tab/>
        <w:t>La structure des pneumatiques (diagonale</w:t>
      </w:r>
      <w:r w:rsidR="00EF71D7">
        <w:rPr>
          <w:lang w:val="fr-FR"/>
        </w:rPr>
        <w:t>, ceinturée croisée ou radiale) </w:t>
      </w:r>
      <w:r>
        <w:rPr>
          <w:lang w:val="fr-FR"/>
        </w:rPr>
        <w:t>;</w:t>
      </w:r>
    </w:p>
    <w:p w:rsidR="00774BCA" w:rsidRPr="0062277A" w:rsidRDefault="00774BCA" w:rsidP="007C047F">
      <w:pPr>
        <w:pStyle w:val="SingleTxtG"/>
        <w:ind w:left="2268" w:hanging="1134"/>
        <w:rPr>
          <w:rFonts w:eastAsia="HGMaruGothicMPRO"/>
        </w:rPr>
      </w:pPr>
      <w:r>
        <w:rPr>
          <w:lang w:val="fr-FR"/>
        </w:rPr>
        <w:t>4.1.5.3</w:t>
      </w:r>
      <w:r>
        <w:rPr>
          <w:lang w:val="fr-FR"/>
        </w:rPr>
        <w:tab/>
        <w:t>La catégorie d’utilisation des pneuma</w:t>
      </w:r>
      <w:r w:rsidR="00EF71D7">
        <w:rPr>
          <w:lang w:val="fr-FR"/>
        </w:rPr>
        <w:t>tiques (normaux ou neige, etc.) </w:t>
      </w:r>
      <w:r>
        <w:rPr>
          <w:lang w:val="fr-FR"/>
        </w:rPr>
        <w:t>;</w:t>
      </w:r>
    </w:p>
    <w:p w:rsidR="00774BCA" w:rsidRPr="0062277A" w:rsidRDefault="00774BCA" w:rsidP="007C047F">
      <w:pPr>
        <w:pStyle w:val="SingleTxtG"/>
        <w:ind w:left="2268" w:hanging="1134"/>
        <w:rPr>
          <w:rFonts w:eastAsia="HGMaruGothicMPRO"/>
        </w:rPr>
      </w:pPr>
      <w:r>
        <w:rPr>
          <w:lang w:val="fr-FR"/>
        </w:rPr>
        <w:t>4.1.5.3.1</w:t>
      </w:r>
      <w:r>
        <w:rPr>
          <w:lang w:val="fr-FR"/>
        </w:rPr>
        <w:tab/>
        <w:t>Pour les pneumatiques neige, la liste des pneumatiques devant être conformes aux prescriptions du paragraphe 7.2.</w:t>
      </w:r>
      <w:r w:rsidR="005E11FD">
        <w:rPr>
          <w:lang w:val="fr-FR"/>
        </w:rPr>
        <w:t> »</w:t>
      </w:r>
      <w:r>
        <w:rPr>
          <w:lang w:val="fr-FR"/>
        </w:rPr>
        <w:t>.</w:t>
      </w:r>
    </w:p>
    <w:p w:rsidR="00774BCA" w:rsidRPr="005E11FD" w:rsidRDefault="00774BCA" w:rsidP="005E11FD">
      <w:pPr>
        <w:pStyle w:val="SingleTxtG"/>
        <w:keepNext/>
        <w:rPr>
          <w:rFonts w:eastAsia="HGMaruGothicMPRO"/>
        </w:rPr>
      </w:pPr>
      <w:r>
        <w:rPr>
          <w:i/>
          <w:iCs/>
          <w:lang w:val="fr-FR"/>
        </w:rPr>
        <w:t>Ajouter les nouveaux sous-paragraphes 4.1.5.3.1.1 et 4.1.5.3.1.2 </w:t>
      </w:r>
      <w:r w:rsidRPr="005E11FD">
        <w:rPr>
          <w:iCs/>
          <w:lang w:val="fr-FR"/>
        </w:rPr>
        <w:t>:</w:t>
      </w:r>
    </w:p>
    <w:p w:rsidR="00774BCA" w:rsidRPr="0062277A" w:rsidRDefault="005E11FD" w:rsidP="007C047F">
      <w:pPr>
        <w:pStyle w:val="SingleTxtG"/>
        <w:ind w:left="2268" w:hanging="1134"/>
        <w:rPr>
          <w:rFonts w:eastAsia="HGMaruGothicMPRO"/>
        </w:rPr>
      </w:pPr>
      <w:r>
        <w:rPr>
          <w:lang w:val="fr-FR"/>
        </w:rPr>
        <w:t>« </w:t>
      </w:r>
      <w:r w:rsidR="00774BCA">
        <w:rPr>
          <w:lang w:val="fr-FR"/>
        </w:rPr>
        <w:t>4.1.5.3.1.1</w:t>
      </w:r>
      <w:r w:rsidR="00774BCA">
        <w:rPr>
          <w:lang w:val="fr-FR"/>
        </w:rPr>
        <w:tab/>
        <w:t>Pour les pneumatiques rechapés à l’aide d’une bande de roulement prévulcanisée dont les sculptures sont conformes au paragraphe 6.4.4.1, la liste doit les identifier clairement de manière à établir le lien qui s’impose avec la ou les listes citée(s) au paragraphe 6.4.4.1 b). Le tableau ci-dessous en donne un exemple</w:t>
      </w:r>
      <w:r w:rsidR="003F10F4">
        <w:rPr>
          <w:lang w:val="fr-FR"/>
        </w:rPr>
        <w:t> </w:t>
      </w:r>
      <w:r w:rsidR="00774BCA">
        <w:rPr>
          <w:lang w:val="fr-FR"/>
        </w:rPr>
        <w:t>:</w:t>
      </w:r>
    </w:p>
    <w:tbl>
      <w:tblPr>
        <w:tblStyle w:val="TableGrid"/>
        <w:tblW w:w="8504" w:type="dxa"/>
        <w:tblInd w:w="1134" w:type="dxa"/>
        <w:tblLayout w:type="fixed"/>
        <w:tblLook w:val="04A0" w:firstRow="1" w:lastRow="0" w:firstColumn="1" w:lastColumn="0" w:noHBand="0" w:noVBand="1"/>
      </w:tblPr>
      <w:tblGrid>
        <w:gridCol w:w="2123"/>
        <w:gridCol w:w="2127"/>
        <w:gridCol w:w="2127"/>
        <w:gridCol w:w="2127"/>
      </w:tblGrid>
      <w:tr w:rsidR="00774BCA" w:rsidRPr="004A1A02" w:rsidTr="00FF17D6">
        <w:trPr>
          <w:tblHeader/>
        </w:trPr>
        <w:tc>
          <w:tcPr>
            <w:tcW w:w="1841" w:type="dxa"/>
            <w:shd w:val="clear" w:color="auto" w:fill="auto"/>
            <w:vAlign w:val="center"/>
          </w:tcPr>
          <w:p w:rsidR="00774BCA" w:rsidRPr="004A1A02" w:rsidRDefault="00774BCA" w:rsidP="00FF17D6">
            <w:pPr>
              <w:keepNext/>
              <w:keepLines/>
              <w:spacing w:before="60" w:after="60" w:line="240" w:lineRule="auto"/>
              <w:ind w:left="57" w:right="57"/>
              <w:jc w:val="center"/>
              <w:rPr>
                <w:rFonts w:eastAsia="HGMaruGothicMPRO"/>
                <w:i/>
                <w:sz w:val="18"/>
                <w:szCs w:val="18"/>
              </w:rPr>
            </w:pPr>
            <w:r w:rsidRPr="004A1A02">
              <w:rPr>
                <w:i/>
                <w:sz w:val="18"/>
                <w:szCs w:val="18"/>
                <w:lang w:val="fr-FR"/>
              </w:rPr>
              <w:lastRenderedPageBreak/>
              <w:t>Dimensions des</w:t>
            </w:r>
            <w:r w:rsidR="00FF17D6">
              <w:rPr>
                <w:i/>
                <w:sz w:val="18"/>
                <w:szCs w:val="18"/>
                <w:lang w:val="fr-FR"/>
              </w:rPr>
              <w:t> </w:t>
            </w:r>
            <w:r w:rsidRPr="004A1A02">
              <w:rPr>
                <w:i/>
                <w:sz w:val="18"/>
                <w:szCs w:val="18"/>
                <w:lang w:val="fr-FR"/>
              </w:rPr>
              <w:t>pneumatiques, indice de capacité de charge, code de vitesse</w:t>
            </w:r>
          </w:p>
        </w:tc>
        <w:tc>
          <w:tcPr>
            <w:tcW w:w="1843" w:type="dxa"/>
            <w:shd w:val="clear" w:color="auto" w:fill="auto"/>
            <w:vAlign w:val="center"/>
          </w:tcPr>
          <w:p w:rsidR="00774BCA" w:rsidRPr="004A1A02" w:rsidRDefault="00774BCA" w:rsidP="00FF17D6">
            <w:pPr>
              <w:keepNext/>
              <w:keepLines/>
              <w:spacing w:before="60" w:after="60" w:line="240" w:lineRule="auto"/>
              <w:ind w:left="57" w:right="57"/>
              <w:jc w:val="center"/>
              <w:rPr>
                <w:rFonts w:eastAsia="HGMaruGothicMPRO"/>
                <w:i/>
                <w:sz w:val="18"/>
                <w:szCs w:val="18"/>
              </w:rPr>
            </w:pPr>
            <w:r w:rsidRPr="004A1A02">
              <w:rPr>
                <w:i/>
                <w:iCs/>
                <w:sz w:val="18"/>
                <w:szCs w:val="18"/>
                <w:lang w:val="fr-FR"/>
              </w:rPr>
              <w:t>TM1</w:t>
            </w:r>
          </w:p>
        </w:tc>
        <w:tc>
          <w:tcPr>
            <w:tcW w:w="1843" w:type="dxa"/>
            <w:shd w:val="clear" w:color="auto" w:fill="auto"/>
            <w:vAlign w:val="center"/>
          </w:tcPr>
          <w:p w:rsidR="00774BCA" w:rsidRPr="004A1A02" w:rsidRDefault="00774BCA" w:rsidP="00FF17D6">
            <w:pPr>
              <w:keepNext/>
              <w:keepLines/>
              <w:spacing w:before="60" w:after="60" w:line="240" w:lineRule="auto"/>
              <w:ind w:left="57" w:right="57"/>
              <w:jc w:val="center"/>
              <w:rPr>
                <w:rFonts w:eastAsia="HGMaruGothicMPRO"/>
                <w:i/>
                <w:sz w:val="18"/>
                <w:szCs w:val="18"/>
              </w:rPr>
            </w:pPr>
            <w:r w:rsidRPr="004A1A02">
              <w:rPr>
                <w:i/>
                <w:iCs/>
                <w:sz w:val="18"/>
                <w:szCs w:val="18"/>
                <w:lang w:val="fr-FR"/>
              </w:rPr>
              <w:t>TM2</w:t>
            </w:r>
          </w:p>
        </w:tc>
        <w:tc>
          <w:tcPr>
            <w:tcW w:w="1843" w:type="dxa"/>
            <w:shd w:val="clear" w:color="auto" w:fill="auto"/>
            <w:vAlign w:val="center"/>
          </w:tcPr>
          <w:p w:rsidR="00774BCA" w:rsidRPr="004A1A02" w:rsidRDefault="00774BCA" w:rsidP="00FF17D6">
            <w:pPr>
              <w:keepNext/>
              <w:keepLines/>
              <w:spacing w:before="60" w:after="60" w:line="240" w:lineRule="auto"/>
              <w:ind w:left="57" w:right="57"/>
              <w:jc w:val="center"/>
              <w:rPr>
                <w:rFonts w:eastAsia="HGMaruGothicMPRO"/>
                <w:i/>
                <w:sz w:val="18"/>
                <w:szCs w:val="18"/>
              </w:rPr>
            </w:pPr>
            <w:r w:rsidRPr="004A1A02">
              <w:rPr>
                <w:i/>
                <w:iCs/>
                <w:sz w:val="18"/>
                <w:szCs w:val="18"/>
                <w:lang w:val="fr-FR"/>
              </w:rPr>
              <w:t>TM3</w:t>
            </w:r>
          </w:p>
        </w:tc>
      </w:tr>
      <w:tr w:rsidR="00774BCA" w:rsidRPr="004A1A02" w:rsidTr="00FF17D6">
        <w:tc>
          <w:tcPr>
            <w:tcW w:w="1841"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215/75 R 17.5 126/124 M</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TPM1/TPR1, TR1/TL1</w:t>
            </w:r>
          </w:p>
        </w:tc>
        <w:tc>
          <w:tcPr>
            <w:tcW w:w="1843" w:type="dxa"/>
            <w:shd w:val="clear" w:color="auto" w:fill="auto"/>
          </w:tcPr>
          <w:p w:rsidR="00774BCA" w:rsidRPr="004A1A02" w:rsidRDefault="00FF17D6" w:rsidP="004A1A02">
            <w:pPr>
              <w:spacing w:before="60" w:after="60" w:line="240" w:lineRule="auto"/>
              <w:ind w:left="57" w:right="57"/>
              <w:jc w:val="center"/>
              <w:rPr>
                <w:rFonts w:eastAsia="HGMaruGothicMPRO"/>
                <w:sz w:val="18"/>
                <w:szCs w:val="18"/>
              </w:rPr>
            </w:pPr>
            <w:r>
              <w:rPr>
                <w:sz w:val="18"/>
                <w:szCs w:val="18"/>
                <w:lang w:val="fr-FR"/>
              </w:rPr>
              <w:t>-</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TPM2/TPR2, TR2/L2</w:t>
            </w:r>
          </w:p>
        </w:tc>
      </w:tr>
      <w:tr w:rsidR="00774BCA" w:rsidRPr="004A1A02" w:rsidTr="00FF17D6">
        <w:tc>
          <w:tcPr>
            <w:tcW w:w="1841"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235/75 R 17.5 132/130 M</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TPM1/TPR1, TR1/TL1</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r>
      <w:tr w:rsidR="00774BCA" w:rsidRPr="004A1A02" w:rsidTr="00FF17D6">
        <w:tc>
          <w:tcPr>
            <w:tcW w:w="1841"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265/70 R 17.5 138/136 M</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TPM3/TPR3, TR3/TL3</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TPM4/TPR4, TR4/TL4</w:t>
            </w:r>
          </w:p>
        </w:tc>
      </w:tr>
      <w:tr w:rsidR="00774BCA" w:rsidRPr="004A1A02" w:rsidTr="00FF17D6">
        <w:tc>
          <w:tcPr>
            <w:tcW w:w="1841"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245/70 R 19.5 136/134 M</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r>
      <w:tr w:rsidR="00774BCA" w:rsidRPr="004A1A02" w:rsidTr="00FF17D6">
        <w:tc>
          <w:tcPr>
            <w:tcW w:w="1841"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12 R 22.5 152/148 K</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TPM5/TPR5, TR5/TL5</w:t>
            </w:r>
          </w:p>
        </w:tc>
        <w:tc>
          <w:tcPr>
            <w:tcW w:w="1843" w:type="dxa"/>
            <w:shd w:val="clear" w:color="auto" w:fill="auto"/>
          </w:tcPr>
          <w:p w:rsidR="00774BCA" w:rsidRPr="004A1A02" w:rsidRDefault="00774BCA" w:rsidP="004A1A02">
            <w:pPr>
              <w:spacing w:before="60" w:after="60" w:line="240" w:lineRule="auto"/>
              <w:ind w:left="57" w:right="57"/>
              <w:jc w:val="center"/>
              <w:rPr>
                <w:rFonts w:eastAsia="HGMaruGothicMPRO"/>
                <w:sz w:val="18"/>
                <w:szCs w:val="18"/>
              </w:rPr>
            </w:pPr>
            <w:r w:rsidRPr="004A1A02">
              <w:rPr>
                <w:sz w:val="18"/>
                <w:szCs w:val="18"/>
                <w:lang w:val="fr-FR"/>
              </w:rPr>
              <w:t>-</w:t>
            </w:r>
          </w:p>
        </w:tc>
      </w:tr>
    </w:tbl>
    <w:p w:rsidR="00774BCA" w:rsidRPr="0083248C" w:rsidRDefault="00774BCA" w:rsidP="00E828B6">
      <w:pPr>
        <w:pStyle w:val="SingleTxtG"/>
        <w:spacing w:before="120" w:after="0"/>
        <w:ind w:right="0" w:firstLine="170"/>
        <w:jc w:val="left"/>
        <w:rPr>
          <w:rFonts w:eastAsia="HGMaruGothicMPRO"/>
          <w:sz w:val="18"/>
          <w:szCs w:val="18"/>
        </w:rPr>
      </w:pPr>
      <w:r w:rsidRPr="0083248C">
        <w:rPr>
          <w:i/>
          <w:sz w:val="18"/>
          <w:szCs w:val="18"/>
          <w:lang w:val="fr-FR"/>
        </w:rPr>
        <w:t>Note</w:t>
      </w:r>
      <w:r w:rsidR="003F10F4">
        <w:rPr>
          <w:sz w:val="18"/>
          <w:szCs w:val="18"/>
          <w:lang w:val="fr-FR"/>
        </w:rPr>
        <w:t> </w:t>
      </w:r>
      <w:r w:rsidRPr="0083248C">
        <w:rPr>
          <w:sz w:val="18"/>
          <w:szCs w:val="18"/>
          <w:lang w:val="fr-FR"/>
        </w:rPr>
        <w:t>:</w:t>
      </w:r>
    </w:p>
    <w:p w:rsidR="00774BCA" w:rsidRPr="0083248C" w:rsidRDefault="003F10F4" w:rsidP="00E828B6">
      <w:pPr>
        <w:pStyle w:val="SingleTxtG"/>
        <w:spacing w:after="0"/>
        <w:ind w:right="0" w:firstLine="170"/>
        <w:jc w:val="left"/>
        <w:rPr>
          <w:rFonts w:eastAsia="HGMaruGothicMPRO"/>
          <w:sz w:val="18"/>
          <w:szCs w:val="18"/>
        </w:rPr>
      </w:pPr>
      <w:r>
        <w:rPr>
          <w:sz w:val="18"/>
          <w:szCs w:val="18"/>
          <w:lang w:val="fr-FR"/>
        </w:rPr>
        <w:t>TM </w:t>
      </w:r>
      <w:r w:rsidR="00774BCA" w:rsidRPr="0083248C">
        <w:rPr>
          <w:sz w:val="18"/>
          <w:szCs w:val="18"/>
          <w:lang w:val="fr-FR"/>
        </w:rPr>
        <w:t>: Identification du fabricant de la bande de roulement.</w:t>
      </w:r>
    </w:p>
    <w:p w:rsidR="00774BCA" w:rsidRPr="0083248C" w:rsidRDefault="00774BCA" w:rsidP="00E828B6">
      <w:pPr>
        <w:pStyle w:val="SingleTxtG"/>
        <w:spacing w:after="0"/>
        <w:ind w:right="0" w:firstLine="170"/>
        <w:jc w:val="left"/>
        <w:rPr>
          <w:rFonts w:eastAsia="HGMaruGothicMPRO"/>
          <w:sz w:val="18"/>
          <w:szCs w:val="18"/>
        </w:rPr>
      </w:pPr>
      <w:r w:rsidRPr="0083248C">
        <w:rPr>
          <w:sz w:val="18"/>
          <w:szCs w:val="18"/>
          <w:lang w:val="fr-FR"/>
        </w:rPr>
        <w:t>TPM</w:t>
      </w:r>
      <w:r w:rsidR="003F10F4">
        <w:rPr>
          <w:sz w:val="18"/>
          <w:szCs w:val="18"/>
          <w:lang w:val="fr-FR"/>
        </w:rPr>
        <w:t> </w:t>
      </w:r>
      <w:r w:rsidRPr="0083248C">
        <w:rPr>
          <w:sz w:val="18"/>
          <w:szCs w:val="18"/>
          <w:lang w:val="fr-FR"/>
        </w:rPr>
        <w:t>: Identification du dessin de la bande de roulement par le fabricant.</w:t>
      </w:r>
    </w:p>
    <w:p w:rsidR="00774BCA" w:rsidRPr="0083248C" w:rsidRDefault="003F10F4" w:rsidP="00E828B6">
      <w:pPr>
        <w:pStyle w:val="SingleTxtG"/>
        <w:spacing w:after="0"/>
        <w:ind w:right="0" w:firstLine="170"/>
        <w:jc w:val="left"/>
        <w:rPr>
          <w:rFonts w:eastAsia="HGMaruGothicMPRO"/>
          <w:sz w:val="18"/>
          <w:szCs w:val="18"/>
        </w:rPr>
      </w:pPr>
      <w:r>
        <w:rPr>
          <w:sz w:val="18"/>
          <w:szCs w:val="18"/>
          <w:lang w:val="fr-FR"/>
        </w:rPr>
        <w:t>TPR </w:t>
      </w:r>
      <w:r w:rsidR="00774BCA" w:rsidRPr="0083248C">
        <w:rPr>
          <w:sz w:val="18"/>
          <w:szCs w:val="18"/>
          <w:lang w:val="fr-FR"/>
        </w:rPr>
        <w:t>: Identification du dessin de la bande de roulement par le rechapeur si elle diffère de TPM.</w:t>
      </w:r>
    </w:p>
    <w:p w:rsidR="00774BCA" w:rsidRPr="0083248C" w:rsidRDefault="003F10F4" w:rsidP="00E828B6">
      <w:pPr>
        <w:pStyle w:val="SingleTxtG"/>
        <w:spacing w:after="0"/>
        <w:ind w:right="0" w:firstLine="170"/>
        <w:jc w:val="left"/>
        <w:rPr>
          <w:rFonts w:eastAsia="HGMaruGothicMPRO"/>
          <w:sz w:val="18"/>
          <w:szCs w:val="18"/>
        </w:rPr>
      </w:pPr>
      <w:r>
        <w:rPr>
          <w:sz w:val="18"/>
          <w:szCs w:val="18"/>
          <w:lang w:val="fr-FR"/>
        </w:rPr>
        <w:t>TR </w:t>
      </w:r>
      <w:r w:rsidR="00774BCA" w:rsidRPr="0083248C">
        <w:rPr>
          <w:sz w:val="18"/>
          <w:szCs w:val="18"/>
          <w:lang w:val="fr-FR"/>
        </w:rPr>
        <w:t>: N</w:t>
      </w:r>
      <w:r>
        <w:rPr>
          <w:sz w:val="18"/>
          <w:szCs w:val="18"/>
          <w:lang w:val="fr-FR"/>
        </w:rPr>
        <w:t>uméro du procès-verbal d’essai.</w:t>
      </w:r>
    </w:p>
    <w:p w:rsidR="00774BCA" w:rsidRPr="0083248C" w:rsidRDefault="003F10F4" w:rsidP="00E828B6">
      <w:pPr>
        <w:pStyle w:val="SingleTxtG"/>
        <w:spacing w:after="240"/>
        <w:ind w:right="0" w:firstLine="170"/>
        <w:jc w:val="left"/>
        <w:rPr>
          <w:rFonts w:eastAsia="HGMaruGothicMPRO"/>
          <w:sz w:val="18"/>
          <w:szCs w:val="18"/>
        </w:rPr>
      </w:pPr>
      <w:r>
        <w:rPr>
          <w:sz w:val="18"/>
          <w:szCs w:val="18"/>
          <w:lang w:val="fr-FR"/>
        </w:rPr>
        <w:t>TL </w:t>
      </w:r>
      <w:r w:rsidR="00774BCA" w:rsidRPr="0083248C">
        <w:rPr>
          <w:sz w:val="18"/>
          <w:szCs w:val="18"/>
          <w:lang w:val="fr-FR"/>
        </w:rPr>
        <w:t>: R</w:t>
      </w:r>
      <w:r w:rsidR="00F65390">
        <w:rPr>
          <w:sz w:val="18"/>
          <w:szCs w:val="18"/>
          <w:lang w:val="fr-FR"/>
        </w:rPr>
        <w:t>é</w:t>
      </w:r>
      <w:r w:rsidR="00774BCA" w:rsidRPr="0083248C">
        <w:rPr>
          <w:sz w:val="18"/>
          <w:szCs w:val="18"/>
          <w:lang w:val="fr-FR"/>
        </w:rPr>
        <w:t>f</w:t>
      </w:r>
      <w:r w:rsidR="00F65390">
        <w:rPr>
          <w:sz w:val="18"/>
          <w:szCs w:val="18"/>
          <w:lang w:val="fr-FR"/>
        </w:rPr>
        <w:t>é</w:t>
      </w:r>
      <w:r w:rsidR="00774BCA" w:rsidRPr="0083248C">
        <w:rPr>
          <w:sz w:val="18"/>
          <w:szCs w:val="18"/>
          <w:lang w:val="fr-FR"/>
        </w:rPr>
        <w:t>rence de la liste liée au procès-verbal d’e</w:t>
      </w:r>
      <w:r>
        <w:rPr>
          <w:sz w:val="18"/>
          <w:szCs w:val="18"/>
          <w:lang w:val="fr-FR"/>
        </w:rPr>
        <w:t>ssai.</w:t>
      </w:r>
    </w:p>
    <w:p w:rsidR="00774BCA" w:rsidRPr="00F7761E" w:rsidRDefault="00774BCA" w:rsidP="00CF117F">
      <w:pPr>
        <w:pStyle w:val="SingleTxtG"/>
        <w:ind w:left="2268" w:hanging="1134"/>
        <w:rPr>
          <w:rFonts w:eastAsia="HGMaruGothicMPRO"/>
        </w:rPr>
      </w:pPr>
      <w:r>
        <w:rPr>
          <w:lang w:val="fr-FR"/>
        </w:rPr>
        <w:t>4.1.5.3.1.2</w:t>
      </w:r>
      <w:r>
        <w:rPr>
          <w:lang w:val="fr-FR"/>
        </w:rPr>
        <w:tab/>
        <w:t>Pour les pneumatiques rechapés par un procédé de rechapage à chaud ou à l’aide d’un matériau de rechapage prévulcanisé présentant les mêmes caractéristiques principales y compris la (les) même(s) sculpture(s) qu’un nouveau type de pneumatique conformément au paragraphe 6.4.4.2, la liste doit les identifier clairement de manière à établir le lien qui s’impose avec la ou les listes citée(s) au paragraphe 6.4.4.2 a)</w:t>
      </w:r>
      <w:r w:rsidR="00F65390">
        <w:rPr>
          <w:lang w:val="fr-FR"/>
        </w:rPr>
        <w:t>.</w:t>
      </w:r>
      <w:r w:rsidR="006E090D">
        <w:rPr>
          <w:lang w:val="fr-FR"/>
        </w:rPr>
        <w:t> »</w:t>
      </w:r>
      <w:r>
        <w:rPr>
          <w:lang w:val="fr-FR"/>
        </w:rPr>
        <w:t>.</w:t>
      </w:r>
    </w:p>
    <w:p w:rsidR="00774BCA" w:rsidRPr="00F7761E" w:rsidRDefault="00774BCA" w:rsidP="006E090D">
      <w:pPr>
        <w:pStyle w:val="SingleTxtG"/>
        <w:keepNext/>
        <w:rPr>
          <w:rFonts w:eastAsia="HGMaruGothicMPRO"/>
        </w:rPr>
      </w:pPr>
      <w:r w:rsidRPr="006E090D">
        <w:rPr>
          <w:i/>
          <w:lang w:val="fr-FR"/>
        </w:rPr>
        <w:t>(Ancien) paragraphe 4.1.4.4</w:t>
      </w:r>
      <w:r w:rsidR="006E090D">
        <w:rPr>
          <w:lang w:val="fr-FR"/>
        </w:rPr>
        <w:t>, lire </w:t>
      </w:r>
      <w:r>
        <w:rPr>
          <w:lang w:val="fr-FR"/>
        </w:rPr>
        <w:t>:</w:t>
      </w:r>
    </w:p>
    <w:p w:rsidR="00774BCA" w:rsidRPr="00F7761E" w:rsidRDefault="003F10F4" w:rsidP="00CF117F">
      <w:pPr>
        <w:pStyle w:val="SingleTxtG"/>
        <w:ind w:left="2268" w:hanging="1134"/>
        <w:rPr>
          <w:rFonts w:eastAsia="HGMaruGothicMPRO"/>
        </w:rPr>
      </w:pPr>
      <w:r>
        <w:rPr>
          <w:lang w:val="fr-FR"/>
        </w:rPr>
        <w:t>« </w:t>
      </w:r>
      <w:r w:rsidR="00774BCA">
        <w:rPr>
          <w:lang w:val="fr-FR"/>
        </w:rPr>
        <w:t>4.1.5.4</w:t>
      </w:r>
      <w:r w:rsidR="00774BCA">
        <w:rPr>
          <w:lang w:val="fr-FR"/>
        </w:rPr>
        <w:tab/>
        <w:t>Le système de rechapage et la méthode d’application des matériaux neufs, selon les paragraphes 2.42 et 2.46</w:t>
      </w:r>
      <w:r w:rsidR="00F65390">
        <w:rPr>
          <w:lang w:val="fr-FR"/>
        </w:rPr>
        <w:t> ;</w:t>
      </w:r>
      <w:r w:rsidR="00774BCA">
        <w:rPr>
          <w:lang w:val="fr-FR"/>
        </w:rPr>
        <w:t> ».</w:t>
      </w:r>
    </w:p>
    <w:p w:rsidR="00774BCA" w:rsidRPr="00F7761E" w:rsidRDefault="00774BCA" w:rsidP="00E620CD">
      <w:pPr>
        <w:pStyle w:val="SingleTxtG"/>
        <w:rPr>
          <w:rFonts w:eastAsia="HGMaruGothicMPRO"/>
          <w:i/>
        </w:rPr>
      </w:pPr>
      <w:r>
        <w:rPr>
          <w:i/>
          <w:iCs/>
          <w:lang w:val="fr-FR"/>
        </w:rPr>
        <w:t>Les paragraphes 4.1.4.5</w:t>
      </w:r>
      <w:r w:rsidR="00982BBE">
        <w:rPr>
          <w:i/>
          <w:iCs/>
          <w:lang w:val="fr-FR"/>
        </w:rPr>
        <w:t>,</w:t>
      </w:r>
      <w:r>
        <w:rPr>
          <w:lang w:val="fr-FR"/>
        </w:rPr>
        <w:t xml:space="preserve"> </w:t>
      </w:r>
      <w:r>
        <w:rPr>
          <w:i/>
          <w:iCs/>
          <w:lang w:val="fr-FR"/>
        </w:rPr>
        <w:t>4.1.4.6</w:t>
      </w:r>
      <w:r>
        <w:rPr>
          <w:lang w:val="fr-FR"/>
        </w:rPr>
        <w:t xml:space="preserve"> </w:t>
      </w:r>
      <w:r>
        <w:rPr>
          <w:i/>
          <w:iCs/>
          <w:lang w:val="fr-FR"/>
        </w:rPr>
        <w:t>et 4.1.4.7</w:t>
      </w:r>
      <w:r>
        <w:rPr>
          <w:lang w:val="fr-FR"/>
        </w:rPr>
        <w:t xml:space="preserve"> deviennent </w:t>
      </w:r>
      <w:r>
        <w:rPr>
          <w:i/>
          <w:iCs/>
          <w:lang w:val="fr-FR"/>
        </w:rPr>
        <w:t>les paragraphes 4.1.5.5, 4.1.5.6 et 4.1.5.7.</w:t>
      </w:r>
    </w:p>
    <w:p w:rsidR="00774BCA" w:rsidRPr="00F7761E" w:rsidRDefault="00774BCA" w:rsidP="00E620CD">
      <w:pPr>
        <w:pStyle w:val="SingleTxtG"/>
        <w:keepNext/>
        <w:rPr>
          <w:rFonts w:eastAsia="HGMaruGothicMPRO"/>
        </w:rPr>
      </w:pPr>
      <w:r>
        <w:rPr>
          <w:i/>
          <w:iCs/>
          <w:lang w:val="fr-FR"/>
        </w:rPr>
        <w:t>Paragraphe 4.2.1</w:t>
      </w:r>
      <w:r w:rsidR="003F10F4">
        <w:rPr>
          <w:lang w:val="fr-FR"/>
        </w:rPr>
        <w:t>, lire </w:t>
      </w:r>
      <w:r>
        <w:rPr>
          <w:lang w:val="fr-FR"/>
        </w:rPr>
        <w:t>:</w:t>
      </w:r>
    </w:p>
    <w:p w:rsidR="00774BCA" w:rsidRPr="00F7761E" w:rsidRDefault="00774BCA" w:rsidP="00CF117F">
      <w:pPr>
        <w:pStyle w:val="SingleTxtG"/>
        <w:ind w:left="2268" w:hanging="1134"/>
        <w:rPr>
          <w:rFonts w:eastAsia="HGMaruGothicMPRO"/>
        </w:rPr>
      </w:pPr>
      <w:r>
        <w:rPr>
          <w:lang w:val="fr-FR"/>
        </w:rPr>
        <w:t>«</w:t>
      </w:r>
      <w:r w:rsidR="00E620CD">
        <w:t> </w:t>
      </w:r>
      <w:r>
        <w:rPr>
          <w:lang w:val="fr-FR"/>
        </w:rPr>
        <w:t>4.2.1</w:t>
      </w:r>
      <w:r>
        <w:rPr>
          <w:lang w:val="fr-FR"/>
        </w:rPr>
        <w:tab/>
        <w:t>D’informations détaillées sur les principales caractéristiques, y compris celles de la bande de roulement, en ce qui concerne leurs incidences sur les capacités d’adhérence sur neige des pneumatiques de différentes dimensions répertoriées comme requ</w:t>
      </w:r>
      <w:r w:rsidR="00E620CD">
        <w:rPr>
          <w:lang w:val="fr-FR"/>
        </w:rPr>
        <w:t>is au paragraphe 4.1.5.3.1… </w:t>
      </w:r>
      <w:r>
        <w:rPr>
          <w:lang w:val="fr-FR"/>
        </w:rPr>
        <w:t>».</w:t>
      </w:r>
    </w:p>
    <w:p w:rsidR="00774BCA" w:rsidRPr="00F7761E" w:rsidRDefault="00774BCA" w:rsidP="00E620CD">
      <w:pPr>
        <w:pStyle w:val="SingleTxtG"/>
        <w:keepNext/>
        <w:rPr>
          <w:rFonts w:eastAsia="HGMaruGothicMPRO"/>
          <w:i/>
        </w:rPr>
      </w:pPr>
      <w:r>
        <w:rPr>
          <w:i/>
          <w:iCs/>
          <w:lang w:val="fr-FR"/>
        </w:rPr>
        <w:t>Paragraphe 5.5</w:t>
      </w:r>
      <w:r w:rsidR="003F10F4">
        <w:rPr>
          <w:lang w:val="fr-FR"/>
        </w:rPr>
        <w:t>, lire </w:t>
      </w:r>
      <w:r>
        <w:rPr>
          <w:lang w:val="fr-FR"/>
        </w:rPr>
        <w:t>:</w:t>
      </w:r>
    </w:p>
    <w:p w:rsidR="00774BCA" w:rsidRPr="00F7761E" w:rsidRDefault="00774BCA" w:rsidP="00CF117F">
      <w:pPr>
        <w:pStyle w:val="SingleTxtG"/>
        <w:ind w:left="2268" w:hanging="1134"/>
        <w:rPr>
          <w:rFonts w:eastAsia="HGMaruGothicMPRO"/>
        </w:rPr>
      </w:pPr>
      <w:r>
        <w:rPr>
          <w:lang w:val="fr-FR"/>
        </w:rPr>
        <w:t>«</w:t>
      </w:r>
      <w:r w:rsidR="00E620CD">
        <w:rPr>
          <w:lang w:val="fr-FR"/>
        </w:rPr>
        <w:t> </w:t>
      </w:r>
      <w:r>
        <w:rPr>
          <w:lang w:val="fr-FR"/>
        </w:rPr>
        <w:t>5.5</w:t>
      </w:r>
      <w:r>
        <w:rPr>
          <w:lang w:val="fr-FR"/>
        </w:rPr>
        <w:tab/>
        <w:t>Pour chaque défaillance constatée pendant l’essai, deux échantillons supplémentaires d’un pneumatique ayant les mêmes spécifications doivent être soumis à l’essai. Si l’un ou l’autre de ces deux autres échantillons connaît une défaillance, un dernier prélèvement de deux échantillons doit être soumis à l’essai. En cas de défaillance de l’un ou l’autre de ces deux derniers échantillons, la demande d’homologation de l’entreprise de rechapage doit être refusée.</w:t>
      </w:r>
      <w:r w:rsidR="00E620CD">
        <w:rPr>
          <w:lang w:val="fr-FR"/>
        </w:rPr>
        <w:t> </w:t>
      </w:r>
      <w:r>
        <w:rPr>
          <w:lang w:val="fr-FR"/>
        </w:rPr>
        <w:t>».</w:t>
      </w:r>
    </w:p>
    <w:p w:rsidR="00774BCA" w:rsidRPr="00F7761E" w:rsidRDefault="00774BCA" w:rsidP="00E620CD">
      <w:pPr>
        <w:pStyle w:val="SingleTxtG"/>
        <w:keepNext/>
        <w:rPr>
          <w:rFonts w:eastAsia="HGMaruGothicMPRO"/>
        </w:rPr>
      </w:pPr>
      <w:r>
        <w:rPr>
          <w:i/>
          <w:iCs/>
          <w:lang w:val="fr-FR"/>
        </w:rPr>
        <w:t>Paragraphe 6.3.7</w:t>
      </w:r>
      <w:r w:rsidR="003F10F4">
        <w:rPr>
          <w:lang w:val="fr-FR"/>
        </w:rPr>
        <w:t>, lire </w:t>
      </w:r>
      <w:r>
        <w:rPr>
          <w:lang w:val="fr-FR"/>
        </w:rPr>
        <w:t>:</w:t>
      </w:r>
    </w:p>
    <w:p w:rsidR="00774BCA" w:rsidRPr="00F7761E" w:rsidRDefault="00774BCA" w:rsidP="00CF117F">
      <w:pPr>
        <w:pStyle w:val="SingleTxtG"/>
        <w:ind w:left="2268" w:hanging="1134"/>
        <w:rPr>
          <w:rFonts w:eastAsia="HGMaruGothicMPRO"/>
        </w:rPr>
      </w:pPr>
      <w:r>
        <w:rPr>
          <w:lang w:val="fr-FR"/>
        </w:rPr>
        <w:t>«</w:t>
      </w:r>
      <w:r w:rsidR="00E620CD">
        <w:rPr>
          <w:lang w:val="fr-FR"/>
        </w:rPr>
        <w:t> </w:t>
      </w:r>
      <w:r>
        <w:rPr>
          <w:lang w:val="fr-FR"/>
        </w:rPr>
        <w:t>6.3</w:t>
      </w:r>
      <w:r w:rsidR="003F10F4">
        <w:rPr>
          <w:lang w:val="fr-FR"/>
        </w:rPr>
        <w:t>.7</w:t>
      </w:r>
      <w:r>
        <w:rPr>
          <w:lang w:val="fr-FR"/>
        </w:rPr>
        <w:tab/>
        <w:t>Les parties en acier dénudées doivent être traitées dès que possible avec un matériau approprié conformément aux instructions du fabricant dudit de ce matériau.</w:t>
      </w:r>
      <w:r w:rsidR="00E620CD">
        <w:rPr>
          <w:lang w:val="fr-FR"/>
        </w:rPr>
        <w:t> </w:t>
      </w:r>
      <w:r>
        <w:rPr>
          <w:lang w:val="fr-FR"/>
        </w:rPr>
        <w:t>».</w:t>
      </w:r>
    </w:p>
    <w:p w:rsidR="00774BCA" w:rsidRPr="00F7761E" w:rsidRDefault="00774BCA" w:rsidP="00E620CD">
      <w:pPr>
        <w:pStyle w:val="SingleTxtG"/>
        <w:keepNext/>
        <w:rPr>
          <w:rFonts w:eastAsia="HGMaruGothicMPRO"/>
        </w:rPr>
      </w:pPr>
      <w:r>
        <w:rPr>
          <w:i/>
          <w:iCs/>
          <w:lang w:val="fr-FR"/>
        </w:rPr>
        <w:t>Paragraphe 6.4.1</w:t>
      </w:r>
      <w:r>
        <w:rPr>
          <w:lang w:val="fr-FR"/>
        </w:rPr>
        <w:t>, lire</w:t>
      </w:r>
      <w:r w:rsidR="00E620CD">
        <w:rPr>
          <w:lang w:val="fr-FR"/>
        </w:rPr>
        <w:t> </w:t>
      </w:r>
      <w:r>
        <w:rPr>
          <w:lang w:val="fr-FR"/>
        </w:rPr>
        <w:t>:</w:t>
      </w:r>
    </w:p>
    <w:p w:rsidR="00774BCA" w:rsidRPr="00F7761E" w:rsidRDefault="003F10F4" w:rsidP="00CF117F">
      <w:pPr>
        <w:pStyle w:val="SingleTxtG"/>
        <w:ind w:left="2268" w:hanging="1134"/>
        <w:rPr>
          <w:rFonts w:eastAsia="HGMaruGothicMPRO"/>
        </w:rPr>
      </w:pPr>
      <w:r>
        <w:rPr>
          <w:lang w:val="fr-FR"/>
        </w:rPr>
        <w:t>« 6 4.1</w:t>
      </w:r>
      <w:r w:rsidR="00774BCA">
        <w:rPr>
          <w:lang w:val="fr-FR"/>
        </w:rPr>
        <w:tab/>
        <w:t>Le rechapeur doit veiller à ce que le fabricant ou le fournisseur</w:t>
      </w:r>
      <w:r>
        <w:rPr>
          <w:lang w:val="fr-FR"/>
        </w:rPr>
        <w:t xml:space="preserve"> des matériaux de réparation, y </w:t>
      </w:r>
      <w:r w:rsidR="00774BCA">
        <w:rPr>
          <w:lang w:val="fr-FR"/>
        </w:rPr>
        <w:t>compris les emplâtres,</w:t>
      </w:r>
      <w:r>
        <w:rPr>
          <w:lang w:val="fr-FR"/>
        </w:rPr>
        <w:t xml:space="preserve"> se charge des tâches suivantes </w:t>
      </w:r>
      <w:r w:rsidR="00774BCA">
        <w:rPr>
          <w:lang w:val="fr-FR"/>
        </w:rPr>
        <w:t>:</w:t>
      </w:r>
    </w:p>
    <w:p w:rsidR="00774BCA" w:rsidRPr="00F7761E" w:rsidRDefault="00E507B8" w:rsidP="00E507B8">
      <w:pPr>
        <w:pStyle w:val="SingleTxtG"/>
        <w:ind w:left="2268"/>
        <w:rPr>
          <w:rFonts w:eastAsia="HGMaruGothicMPRO"/>
        </w:rPr>
      </w:pPr>
      <w:r>
        <w:rPr>
          <w:lang w:val="fr-FR"/>
        </w:rPr>
        <w:t>…</w:t>
      </w:r>
    </w:p>
    <w:p w:rsidR="00774BCA" w:rsidRPr="00F7761E" w:rsidRDefault="00774BCA" w:rsidP="00E507B8">
      <w:pPr>
        <w:pStyle w:val="SingleTxtG"/>
        <w:ind w:left="2835" w:hanging="567"/>
        <w:rPr>
          <w:rFonts w:eastAsia="HGMaruGothicMPRO"/>
        </w:rPr>
      </w:pPr>
      <w:r>
        <w:rPr>
          <w:lang w:val="fr-FR"/>
        </w:rPr>
        <w:lastRenderedPageBreak/>
        <w:t>d)</w:t>
      </w:r>
      <w:r>
        <w:rPr>
          <w:lang w:val="fr-FR"/>
        </w:rPr>
        <w:tab/>
        <w:t>S’assurer que les emplâtres sont capables de supporter le double de la pression de gonflage maximum préconisée par le fab</w:t>
      </w:r>
      <w:r w:rsidR="00E507B8">
        <w:rPr>
          <w:lang w:val="fr-FR"/>
        </w:rPr>
        <w:t>ricant du pneumatique d’origine ; </w:t>
      </w:r>
      <w:r>
        <w:rPr>
          <w:lang w:val="fr-FR"/>
        </w:rPr>
        <w:t>».</w:t>
      </w:r>
    </w:p>
    <w:p w:rsidR="00774BCA" w:rsidRPr="00F7761E" w:rsidRDefault="00774BCA" w:rsidP="00E507B8">
      <w:pPr>
        <w:pStyle w:val="SingleTxtG"/>
        <w:keepNext/>
        <w:rPr>
          <w:rFonts w:eastAsia="HGMaruGothicMPRO"/>
        </w:rPr>
      </w:pPr>
      <w:r>
        <w:rPr>
          <w:i/>
          <w:iCs/>
          <w:lang w:val="fr-FR"/>
        </w:rPr>
        <w:t>Paragraphe 6.4.4</w:t>
      </w:r>
      <w:r>
        <w:rPr>
          <w:lang w:val="fr-FR"/>
        </w:rPr>
        <w:t>, lire</w:t>
      </w:r>
      <w:r w:rsidR="003F10F4">
        <w:rPr>
          <w:lang w:val="fr-FR"/>
        </w:rPr>
        <w:t> </w:t>
      </w:r>
      <w:r>
        <w:rPr>
          <w:lang w:val="fr-FR"/>
        </w:rPr>
        <w:t>:</w:t>
      </w:r>
    </w:p>
    <w:p w:rsidR="00774BCA" w:rsidRPr="008C069D" w:rsidRDefault="00E507B8" w:rsidP="00CF117F">
      <w:pPr>
        <w:pStyle w:val="SingleTxtG"/>
        <w:ind w:left="2268" w:hanging="1134"/>
        <w:rPr>
          <w:rFonts w:eastAsia="HGMaruGothicMPRO"/>
        </w:rPr>
      </w:pPr>
      <w:r>
        <w:rPr>
          <w:lang w:val="fr-FR"/>
        </w:rPr>
        <w:t>« </w:t>
      </w:r>
      <w:r w:rsidR="003F10F4">
        <w:rPr>
          <w:lang w:val="fr-FR"/>
        </w:rPr>
        <w:t>6.4.4</w:t>
      </w:r>
      <w:r w:rsidR="00774BCA">
        <w:rPr>
          <w:lang w:val="fr-FR"/>
        </w:rPr>
        <w:tab/>
        <w:t>Le rechapeur doit s’assurer que le fabricant du matériau ou le fournisseur du matériau utilisé pour la bande de roulement et les flancs définit les conditions d’entreposage et d’utilisation de ce matériau afin d’en préserver les qualités. Sur demande de l’entreprise de rechapage, cette information doit être fournie dans la langue officielle du pays où le matériau doit être utilisé.</w:t>
      </w:r>
    </w:p>
    <w:p w:rsidR="00774BCA" w:rsidRPr="00F7761E" w:rsidRDefault="003F10F4" w:rsidP="00CF117F">
      <w:pPr>
        <w:pStyle w:val="SingleTxtG"/>
        <w:ind w:left="2268" w:hanging="1134"/>
        <w:rPr>
          <w:rFonts w:eastAsia="HGMaruGothicMPRO"/>
        </w:rPr>
      </w:pPr>
      <w:r>
        <w:rPr>
          <w:lang w:val="fr-FR"/>
        </w:rPr>
        <w:t>6.4.4.1</w:t>
      </w:r>
      <w:r w:rsidR="00774BCA">
        <w:rPr>
          <w:lang w:val="fr-FR"/>
        </w:rPr>
        <w:tab/>
        <w:t>Pour les pneumatiques rechapés en utilisant du(des) matériau(x) de rechapage prévulcanisé(s), présentant une sculpture non visée au paragraphe 6.4.4.2 et devant répondre aux prescriptions du paragraphe 7.2*, le rechapeur doit veiller à ce que le(s) fabricant(s) du matériau ou le(s) fournisseur(s) du matériel de rechapage prévulcanisé fournisse(nt)</w:t>
      </w:r>
      <w:r>
        <w:rPr>
          <w:lang w:val="fr-FR"/>
        </w:rPr>
        <w:t> :</w:t>
      </w:r>
    </w:p>
    <w:p w:rsidR="00774BCA" w:rsidRPr="00F7761E" w:rsidRDefault="00774BCA" w:rsidP="0054513C">
      <w:pPr>
        <w:pStyle w:val="SingleTxtG"/>
        <w:ind w:left="2835" w:hanging="567"/>
        <w:rPr>
          <w:rFonts w:eastAsia="HGMaruGothicMPRO"/>
        </w:rPr>
      </w:pPr>
      <w:r>
        <w:rPr>
          <w:lang w:val="fr-FR"/>
        </w:rPr>
        <w:t>a)</w:t>
      </w:r>
      <w:r>
        <w:rPr>
          <w:lang w:val="fr-FR"/>
        </w:rPr>
        <w:tab/>
        <w:t>À l’autorité d’homologation de type et au service technique qui délivrent l’homologation conformément au présent Règlement</w:t>
      </w:r>
      <w:r w:rsidR="003F10F4">
        <w:rPr>
          <w:lang w:val="fr-FR"/>
        </w:rPr>
        <w:t xml:space="preserve"> et éventuellement au rechapeur </w:t>
      </w:r>
      <w:r>
        <w:rPr>
          <w:lang w:val="fr-FR"/>
        </w:rPr>
        <w:t>:</w:t>
      </w:r>
    </w:p>
    <w:p w:rsidR="00774BCA" w:rsidRPr="00F7761E" w:rsidRDefault="00774BCA" w:rsidP="00D6563F">
      <w:pPr>
        <w:pStyle w:val="SingleTxtG"/>
        <w:ind w:left="3402" w:hanging="567"/>
        <w:rPr>
          <w:rFonts w:eastAsia="HGMaruGothicMPRO"/>
          <w:strike/>
        </w:rPr>
      </w:pPr>
      <w:r>
        <w:rPr>
          <w:lang w:val="fr-FR"/>
        </w:rPr>
        <w:t>i)</w:t>
      </w:r>
      <w:r>
        <w:rPr>
          <w:lang w:val="fr-FR"/>
        </w:rPr>
        <w:tab/>
        <w:t>Un exemplaire du (des) procès-verbal(aux) d’essai sur la (les) dimension(s) de pneumatique représentative(s) (voir la définition au paragraphe 2), comme indiqué dans l’appendice</w:t>
      </w:r>
      <w:r w:rsidR="00D6563F">
        <w:rPr>
          <w:lang w:val="fr-FR"/>
        </w:rPr>
        <w:t> </w:t>
      </w:r>
      <w:r>
        <w:rPr>
          <w:lang w:val="fr-FR"/>
        </w:rPr>
        <w:t>3 de l’annexe 10, prouvant la conformité de la/des bandes de</w:t>
      </w:r>
      <w:r w:rsidR="00D6563F">
        <w:rPr>
          <w:lang w:val="fr-FR"/>
        </w:rPr>
        <w:t> </w:t>
      </w:r>
      <w:r>
        <w:rPr>
          <w:lang w:val="fr-FR"/>
        </w:rPr>
        <w:t>roulement prévulcanisée(s) aux prescriptions du paragraphe</w:t>
      </w:r>
      <w:r w:rsidR="00D6563F">
        <w:rPr>
          <w:lang w:val="fr-FR"/>
        </w:rPr>
        <w:t> </w:t>
      </w:r>
      <w:r>
        <w:rPr>
          <w:lang w:val="fr-FR"/>
        </w:rPr>
        <w:t>7.2</w:t>
      </w:r>
      <w:r w:rsidR="00D6563F">
        <w:rPr>
          <w:lang w:val="fr-FR"/>
        </w:rPr>
        <w:t> </w:t>
      </w:r>
      <w:r w:rsidR="003F10F4">
        <w:rPr>
          <w:lang w:val="fr-FR"/>
        </w:rPr>
        <w:t>;</w:t>
      </w:r>
    </w:p>
    <w:p w:rsidR="00774BCA" w:rsidRPr="00F7761E" w:rsidRDefault="003F10F4" w:rsidP="0054513C">
      <w:pPr>
        <w:pStyle w:val="SingleTxtG"/>
        <w:ind w:left="2835" w:hanging="567"/>
        <w:rPr>
          <w:rFonts w:eastAsia="HGMaruGothicMPRO"/>
        </w:rPr>
      </w:pPr>
      <w:r>
        <w:rPr>
          <w:lang w:val="fr-FR"/>
        </w:rPr>
        <w:t>b)</w:t>
      </w:r>
      <w:r>
        <w:rPr>
          <w:lang w:val="fr-FR"/>
        </w:rPr>
        <w:tab/>
        <w:t>Au rechapeur :</w:t>
      </w:r>
    </w:p>
    <w:p w:rsidR="00774BCA" w:rsidRPr="00F7761E" w:rsidRDefault="00774BCA" w:rsidP="00D6563F">
      <w:pPr>
        <w:pStyle w:val="SingleTxtG"/>
        <w:ind w:left="3402" w:hanging="567"/>
        <w:rPr>
          <w:rFonts w:eastAsia="HGMaruGothicMPRO"/>
        </w:rPr>
      </w:pPr>
      <w:r>
        <w:rPr>
          <w:lang w:val="fr-FR"/>
        </w:rPr>
        <w:t>i)</w:t>
      </w:r>
      <w:r>
        <w:rPr>
          <w:lang w:val="fr-FR"/>
        </w:rPr>
        <w:tab/>
      </w:r>
      <w:r w:rsidRPr="00982BBE">
        <w:rPr>
          <w:spacing w:val="-1"/>
          <w:lang w:val="fr-FR"/>
        </w:rPr>
        <w:t>La ou les liste(s) des dimensions de pneumatiques visées aux fins de rechapage, validée par le même service technique et/ou la même autorité d’homologation de type</w:t>
      </w:r>
      <w:r w:rsidR="00982BBE">
        <w:rPr>
          <w:spacing w:val="-1"/>
          <w:lang w:val="fr-FR"/>
        </w:rPr>
        <w:t xml:space="preserve"> ayant établi le procès</w:t>
      </w:r>
      <w:r w:rsidR="00982BBE">
        <w:rPr>
          <w:spacing w:val="-1"/>
          <w:lang w:val="fr-FR"/>
        </w:rPr>
        <w:noBreakHyphen/>
        <w:t>verbal/</w:t>
      </w:r>
      <w:r w:rsidRPr="00982BBE">
        <w:rPr>
          <w:spacing w:val="-1"/>
          <w:lang w:val="fr-FR"/>
        </w:rPr>
        <w:t>les procès-verbaux d’essai mentionné à l’alinéa</w:t>
      </w:r>
      <w:r w:rsidR="00982BBE">
        <w:rPr>
          <w:spacing w:val="-1"/>
          <w:lang w:val="fr-FR"/>
        </w:rPr>
        <w:t> </w:t>
      </w:r>
      <w:r w:rsidRPr="00982BBE">
        <w:rPr>
          <w:spacing w:val="-1"/>
          <w:lang w:val="fr-FR"/>
        </w:rPr>
        <w:t>a) du paragraphe 6.4.4.1 a). Cette liste doit comporter au moins les pneumatiques définis au paragraphe 4.1.5.3.1.1</w:t>
      </w:r>
      <w:r w:rsidR="003F10F4">
        <w:rPr>
          <w:spacing w:val="-1"/>
          <w:lang w:val="fr-FR"/>
        </w:rPr>
        <w:t> </w:t>
      </w:r>
      <w:r w:rsidRPr="00982BBE">
        <w:rPr>
          <w:spacing w:val="-1"/>
          <w:lang w:val="fr-FR"/>
        </w:rPr>
        <w:t>;</w:t>
      </w:r>
    </w:p>
    <w:p w:rsidR="00774BCA" w:rsidRDefault="00774BCA" w:rsidP="00D6563F">
      <w:pPr>
        <w:pStyle w:val="SingleTxtG"/>
        <w:ind w:left="3402" w:hanging="567"/>
        <w:rPr>
          <w:lang w:val="fr-FR"/>
        </w:rPr>
      </w:pPr>
      <w:r>
        <w:rPr>
          <w:lang w:val="fr-FR"/>
        </w:rPr>
        <w:t>ii)</w:t>
      </w:r>
      <w:r>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p>
    <w:p w:rsidR="00EB29DF" w:rsidRPr="00AC3823" w:rsidRDefault="00EB29DF" w:rsidP="00EB29DF">
      <w:pPr>
        <w:pStyle w:val="Footer"/>
        <w:tabs>
          <w:tab w:val="right" w:pos="2155"/>
        </w:tabs>
        <w:spacing w:after="80" w:line="240" w:lineRule="atLeast"/>
        <w:ind w:left="680"/>
        <w:rPr>
          <w:u w:val="single"/>
        </w:rPr>
      </w:pPr>
      <w:r>
        <w:rPr>
          <w:u w:val="single"/>
        </w:rPr>
        <w:tab/>
      </w:r>
    </w:p>
    <w:p w:rsidR="00774BCA" w:rsidRPr="00FC4F74" w:rsidRDefault="00774BCA" w:rsidP="00774BCA">
      <w:pPr>
        <w:pStyle w:val="para"/>
        <w:spacing w:line="240" w:lineRule="auto"/>
        <w:ind w:left="1418" w:hanging="293"/>
        <w:jc w:val="left"/>
        <w:rPr>
          <w:sz w:val="18"/>
          <w:szCs w:val="18"/>
          <w:lang w:val="fr-CH"/>
        </w:rPr>
      </w:pPr>
      <w:r>
        <w:rPr>
          <w:lang w:val="fr-FR"/>
        </w:rPr>
        <w:t xml:space="preserve">* </w:t>
      </w:r>
      <w:r>
        <w:rPr>
          <w:lang w:val="fr-FR"/>
        </w:rPr>
        <w:tab/>
      </w:r>
      <w:r w:rsidRPr="00FC4F74">
        <w:rPr>
          <w:sz w:val="18"/>
          <w:szCs w:val="18"/>
          <w:lang w:val="fr-FR"/>
        </w:rPr>
        <w:t>Lorsque le procédé de rechapage à chaud et la fabrication de la bande de roulement prévulcanisée produisent la même sculpture, l’essai sur la neige peut être effectué avec un pneumatique d’une dimension représentative rechapé au moyen de l’un seulement des deux procédés possibles et le procès-verbal d’essai sur neige peut être utilisé pour les deux cas, sous réserve que les principales caractéristiques techniques de la bande de roulement soient identiques. Le détenteur du procès</w:t>
      </w:r>
      <w:r w:rsidR="00982BBE">
        <w:rPr>
          <w:sz w:val="18"/>
          <w:szCs w:val="18"/>
          <w:lang w:val="fr-FR"/>
        </w:rPr>
        <w:noBreakHyphen/>
      </w:r>
      <w:r w:rsidRPr="00FC4F74">
        <w:rPr>
          <w:sz w:val="18"/>
          <w:szCs w:val="18"/>
          <w:lang w:val="fr-FR"/>
        </w:rPr>
        <w:t>verbal d’essai de la bande de roulement du pneumatique neige devra le démontrer en présentant une autorisation officielle écrite.</w:t>
      </w:r>
    </w:p>
    <w:p w:rsidR="00774BCA" w:rsidRPr="00F7761E" w:rsidRDefault="00774BCA" w:rsidP="00FC4F74">
      <w:pPr>
        <w:pStyle w:val="SingleTxtG"/>
        <w:spacing w:before="240"/>
        <w:ind w:left="2268" w:hanging="1134"/>
        <w:rPr>
          <w:rFonts w:eastAsia="HGMaruGothicMPRO"/>
        </w:rPr>
      </w:pPr>
      <w:r>
        <w:rPr>
          <w:lang w:val="fr-FR"/>
        </w:rPr>
        <w:t xml:space="preserve">6.4.4.2 </w:t>
      </w:r>
      <w:r>
        <w:rPr>
          <w:lang w:val="fr-FR"/>
        </w:rPr>
        <w:tab/>
        <w:t xml:space="preserve">Pour les pneumatiques rechapés au moyen d’un procédé de rechapage à chaud ou en utilisant du (des) matériau(x) de rechapage prévulcanisé(s) présentant les mêmes caractéristiques principales y compris la (les) même(s) sculpture(s) qu’un nouveau type de pneumatique homologué conformément au Règlement </w:t>
      </w:r>
      <w:r w:rsidR="003F10F4">
        <w:rPr>
          <w:lang w:val="fr-FR"/>
        </w:rPr>
        <w:t xml:space="preserve">ONU </w:t>
      </w:r>
      <w:r w:rsidR="00FC4F74" w:rsidRPr="00FC4F74">
        <w:rPr>
          <w:rFonts w:eastAsia="MS Mincho"/>
          <w:lang w:val="fr-FR"/>
        </w:rPr>
        <w:t>n</w:t>
      </w:r>
      <w:r w:rsidR="00FC4F74" w:rsidRPr="00FC4F74">
        <w:rPr>
          <w:rFonts w:eastAsia="MS Mincho"/>
          <w:vertAlign w:val="superscript"/>
          <w:lang w:val="fr-FR"/>
        </w:rPr>
        <w:t>o</w:t>
      </w:r>
      <w:r w:rsidR="00FC4F74">
        <w:t> </w:t>
      </w:r>
      <w:r>
        <w:rPr>
          <w:lang w:val="fr-FR"/>
        </w:rPr>
        <w:t>117 et satisfaisant aux prescriptions minimum de performance sur la neige dans des conditions d’enneigement extrêmes, le rechapeur doit s’assurer que le fabricant du nouveau type de pneumatique fournit</w:t>
      </w:r>
      <w:r w:rsidR="003F10F4">
        <w:rPr>
          <w:lang w:val="fr-FR"/>
        </w:rPr>
        <w:t> </w:t>
      </w:r>
      <w:r>
        <w:rPr>
          <w:lang w:val="fr-FR"/>
        </w:rPr>
        <w:t>:</w:t>
      </w:r>
    </w:p>
    <w:p w:rsidR="00774BCA" w:rsidRPr="00F7761E" w:rsidRDefault="00774BCA" w:rsidP="00FC4F74">
      <w:pPr>
        <w:pStyle w:val="SingleTxtG"/>
        <w:keepLines/>
        <w:ind w:left="2835" w:hanging="567"/>
        <w:rPr>
          <w:rFonts w:eastAsia="HGMaruGothicMPRO"/>
        </w:rPr>
      </w:pPr>
      <w:r>
        <w:rPr>
          <w:lang w:val="fr-FR"/>
        </w:rPr>
        <w:lastRenderedPageBreak/>
        <w:t>a)</w:t>
      </w:r>
      <w:r>
        <w:rPr>
          <w:lang w:val="fr-FR"/>
        </w:rPr>
        <w:tab/>
        <w:t>À l’autorité d’homologation de type (et au service technique) qui délivre l’homologation conformément au présent Règlement</w:t>
      </w:r>
      <w:r w:rsidR="00FC4F74">
        <w:rPr>
          <w:lang w:val="fr-FR"/>
        </w:rPr>
        <w:t xml:space="preserve"> et éventuellement au rechapeur </w:t>
      </w:r>
      <w:r>
        <w:rPr>
          <w:lang w:val="fr-FR"/>
        </w:rPr>
        <w:t xml:space="preserve">: un exemplaire du (des) certificat(s) établi(s) au titre du Règlement </w:t>
      </w:r>
      <w:r w:rsidR="003F10F4">
        <w:rPr>
          <w:lang w:val="fr-FR"/>
        </w:rPr>
        <w:t xml:space="preserve">ONU </w:t>
      </w:r>
      <w:r>
        <w:rPr>
          <w:lang w:val="fr-FR"/>
        </w:rPr>
        <w:t>n</w:t>
      </w:r>
      <w:r w:rsidRPr="00327B88">
        <w:rPr>
          <w:vertAlign w:val="superscript"/>
          <w:lang w:val="fr-FR"/>
        </w:rPr>
        <w:t>o</w:t>
      </w:r>
      <w:r w:rsidR="003F10F4" w:rsidRPr="003F10F4">
        <w:rPr>
          <w:lang w:val="fr-FR"/>
        </w:rPr>
        <w:t> </w:t>
      </w:r>
      <w:r>
        <w:rPr>
          <w:lang w:val="fr-FR"/>
        </w:rPr>
        <w:t>117 ainsi qu’un exemplaire du (des) procès-verbal(aux) d’essai établi(s) par un service technique désigné** démontrant la conformité du nouveau pneumatique aux performances minimum sur la neige dans des conditions d’e</w:t>
      </w:r>
      <w:r w:rsidR="003F10F4">
        <w:rPr>
          <w:lang w:val="fr-FR"/>
        </w:rPr>
        <w:t>nneigement extrêmes </w:t>
      </w:r>
      <w:r>
        <w:rPr>
          <w:lang w:val="fr-FR"/>
        </w:rPr>
        <w:t>;</w:t>
      </w:r>
    </w:p>
    <w:p w:rsidR="00774BCA" w:rsidRPr="00F7761E" w:rsidRDefault="003F10F4" w:rsidP="001D1932">
      <w:pPr>
        <w:pStyle w:val="SingleTxtG"/>
        <w:keepNext/>
        <w:ind w:left="2835" w:hanging="567"/>
        <w:rPr>
          <w:rFonts w:eastAsia="HGMaruGothicMPRO"/>
        </w:rPr>
      </w:pPr>
      <w:r>
        <w:rPr>
          <w:lang w:val="fr-FR"/>
        </w:rPr>
        <w:t>b)</w:t>
      </w:r>
      <w:r>
        <w:rPr>
          <w:lang w:val="fr-FR"/>
        </w:rPr>
        <w:tab/>
        <w:t>Au rechapeur </w:t>
      </w:r>
      <w:r w:rsidR="00774BCA">
        <w:rPr>
          <w:lang w:val="fr-FR"/>
        </w:rPr>
        <w:t>:</w:t>
      </w:r>
    </w:p>
    <w:p w:rsidR="00774BCA" w:rsidRPr="00F7761E" w:rsidRDefault="00774BCA" w:rsidP="00EA1214">
      <w:pPr>
        <w:pStyle w:val="SingleTxtG"/>
        <w:ind w:left="3402" w:hanging="567"/>
        <w:rPr>
          <w:rFonts w:eastAsia="HGMaruGothicMPRO"/>
        </w:rPr>
      </w:pPr>
      <w:r>
        <w:rPr>
          <w:lang w:val="fr-FR"/>
        </w:rPr>
        <w:t>i)</w:t>
      </w:r>
      <w:r>
        <w:rPr>
          <w:lang w:val="fr-FR"/>
        </w:rPr>
        <w:tab/>
        <w:t xml:space="preserve">La (Les) liste(s) des dimensions de pneumatiques visées aux fins de rechapage, validée(s) par le même service technique** et/ou la même autorité d’homologation de type ayant établi le(s) certificat(s) au titre du Règlement </w:t>
      </w:r>
      <w:r w:rsidR="003F10F4">
        <w:rPr>
          <w:lang w:val="fr-FR"/>
        </w:rPr>
        <w:t xml:space="preserve">ONU </w:t>
      </w:r>
      <w:r>
        <w:rPr>
          <w:lang w:val="fr-FR"/>
        </w:rPr>
        <w:t>n</w:t>
      </w:r>
      <w:r w:rsidRPr="00327B88">
        <w:rPr>
          <w:vertAlign w:val="superscript"/>
          <w:lang w:val="fr-FR"/>
        </w:rPr>
        <w:t>o</w:t>
      </w:r>
      <w:r w:rsidR="001D1932">
        <w:rPr>
          <w:lang w:val="fr-FR"/>
        </w:rPr>
        <w:t> </w:t>
      </w:r>
      <w:r w:rsidR="003F10F4">
        <w:rPr>
          <w:lang w:val="fr-FR"/>
        </w:rPr>
        <w:t>117.</w:t>
      </w:r>
      <w:r>
        <w:rPr>
          <w:lang w:val="fr-FR"/>
        </w:rPr>
        <w:t xml:space="preserve"> Cette liste doit comporter au moins les pneumatiques dé</w:t>
      </w:r>
      <w:r w:rsidR="003F10F4">
        <w:rPr>
          <w:lang w:val="fr-FR"/>
        </w:rPr>
        <w:t>finis au paragraphe 4.1.5.3.1.2 </w:t>
      </w:r>
      <w:r>
        <w:rPr>
          <w:lang w:val="fr-FR"/>
        </w:rPr>
        <w:t>;</w:t>
      </w:r>
    </w:p>
    <w:p w:rsidR="00774BCA" w:rsidRPr="00F7761E" w:rsidRDefault="00774BCA" w:rsidP="00EA1214">
      <w:pPr>
        <w:pStyle w:val="SingleTxtG"/>
        <w:ind w:left="3402" w:hanging="567"/>
        <w:rPr>
          <w:rFonts w:eastAsia="HGMaruGothicMPRO"/>
        </w:rPr>
      </w:pPr>
      <w:r>
        <w:rPr>
          <w:lang w:val="fr-FR"/>
        </w:rPr>
        <w:t>ii)</w:t>
      </w:r>
      <w:r>
        <w:rPr>
          <w:lang w:val="fr-FR"/>
        </w:rPr>
        <w:tab/>
        <w:t xml:space="preserve">Le(s) dessin(s) de la (des) sculpture(s) visée(s) par le(s) certificat(s) établi(s) au titre du Règlement </w:t>
      </w:r>
      <w:r w:rsidR="003F10F4">
        <w:rPr>
          <w:lang w:val="fr-FR"/>
        </w:rPr>
        <w:t xml:space="preserve">ONU </w:t>
      </w:r>
      <w:r>
        <w:rPr>
          <w:lang w:val="fr-FR"/>
        </w:rPr>
        <w:t>n</w:t>
      </w:r>
      <w:r>
        <w:rPr>
          <w:vertAlign w:val="superscript"/>
          <w:lang w:val="fr-FR"/>
        </w:rPr>
        <w:t>o</w:t>
      </w:r>
      <w:r w:rsidR="001D1932">
        <w:rPr>
          <w:lang w:val="fr-FR"/>
        </w:rPr>
        <w:t> </w:t>
      </w:r>
      <w:r>
        <w:rPr>
          <w:lang w:val="fr-FR"/>
        </w:rPr>
        <w:t>117</w:t>
      </w:r>
      <w:r w:rsidR="003F10F4">
        <w:rPr>
          <w:lang w:val="fr-FR"/>
        </w:rPr>
        <w:t> </w:t>
      </w:r>
      <w:r>
        <w:rPr>
          <w:lang w:val="fr-FR"/>
        </w:rPr>
        <w:t>;</w:t>
      </w:r>
    </w:p>
    <w:p w:rsidR="00774BCA" w:rsidRPr="00F7761E" w:rsidRDefault="00774BCA" w:rsidP="00EA1214">
      <w:pPr>
        <w:pStyle w:val="SingleTxtG"/>
        <w:ind w:left="3402" w:hanging="567"/>
        <w:rPr>
          <w:rFonts w:eastAsia="HGMaruGothicMPRO"/>
        </w:rPr>
      </w:pPr>
      <w:r>
        <w:rPr>
          <w:lang w:val="fr-FR"/>
        </w:rPr>
        <w:t>iii)</w:t>
      </w:r>
      <w:r>
        <w:rPr>
          <w:lang w:val="fr-FR"/>
        </w:rPr>
        <w:tab/>
        <w:t xml:space="preserve">Un exemplaire du dernier rapport de conformité de la production, comme prescrit dans le Règlement </w:t>
      </w:r>
      <w:r w:rsidR="003F10F4">
        <w:rPr>
          <w:lang w:val="fr-FR"/>
        </w:rPr>
        <w:t xml:space="preserve">ONU </w:t>
      </w:r>
      <w:r>
        <w:rPr>
          <w:lang w:val="fr-FR"/>
        </w:rPr>
        <w:t>n</w:t>
      </w:r>
      <w:r w:rsidRPr="00327B88">
        <w:rPr>
          <w:vertAlign w:val="superscript"/>
          <w:lang w:val="fr-FR"/>
        </w:rPr>
        <w:t>o</w:t>
      </w:r>
      <w:r w:rsidR="009D3706">
        <w:rPr>
          <w:lang w:val="fr-FR"/>
        </w:rPr>
        <w:t> </w:t>
      </w:r>
      <w:r w:rsidR="003F10F4">
        <w:rPr>
          <w:lang w:val="fr-FR"/>
        </w:rPr>
        <w:t>117</w:t>
      </w:r>
      <w:r>
        <w:rPr>
          <w:lang w:val="fr-FR"/>
        </w:rPr>
        <w:t>, qui démontre périodiquement que les prescriptions du paragraphe</w:t>
      </w:r>
      <w:r w:rsidR="003F10F4">
        <w:rPr>
          <w:lang w:val="fr-FR"/>
        </w:rPr>
        <w:t> </w:t>
      </w:r>
      <w:r>
        <w:rPr>
          <w:lang w:val="fr-FR"/>
        </w:rPr>
        <w:t>9.2.4 ou 9.4.4 sont respectées.</w:t>
      </w:r>
      <w:r w:rsidR="0054513C">
        <w:rPr>
          <w:lang w:val="fr-FR"/>
        </w:rPr>
        <w:t> »</w:t>
      </w:r>
      <w:r>
        <w:rPr>
          <w:lang w:val="fr-FR"/>
        </w:rPr>
        <w:t>.</w:t>
      </w:r>
    </w:p>
    <w:p w:rsidR="00774BCA" w:rsidRPr="00F7761E" w:rsidRDefault="00774BCA" w:rsidP="00774BCA">
      <w:pPr>
        <w:keepNext/>
        <w:spacing w:after="120"/>
        <w:ind w:left="2268" w:right="1134" w:hanging="1134"/>
        <w:mirrorIndents/>
        <w:jc w:val="both"/>
        <w:rPr>
          <w:rFonts w:eastAsia="HGMaruGothicMPRO"/>
        </w:rPr>
      </w:pPr>
      <w:r>
        <w:rPr>
          <w:i/>
          <w:iCs/>
          <w:lang w:val="fr-FR"/>
        </w:rPr>
        <w:t>Paragraphe 7.1.1.1</w:t>
      </w:r>
      <w:r w:rsidR="003F10F4">
        <w:rPr>
          <w:lang w:val="fr-FR"/>
        </w:rPr>
        <w:t>, lire </w:t>
      </w:r>
      <w:r>
        <w:rPr>
          <w:lang w:val="fr-FR"/>
        </w:rPr>
        <w:t>:</w:t>
      </w:r>
    </w:p>
    <w:p w:rsidR="00774BCA" w:rsidRPr="00F7761E" w:rsidRDefault="001D1932" w:rsidP="00CF117F">
      <w:pPr>
        <w:pStyle w:val="SingleTxtG"/>
        <w:ind w:left="2268" w:hanging="1134"/>
        <w:rPr>
          <w:rFonts w:eastAsia="HGMaruGothicMPRO"/>
        </w:rPr>
      </w:pPr>
      <w:r>
        <w:rPr>
          <w:lang w:val="fr-FR"/>
        </w:rPr>
        <w:t>« </w:t>
      </w:r>
      <w:r w:rsidR="00774BCA">
        <w:rPr>
          <w:lang w:val="fr-FR"/>
        </w:rPr>
        <w:t>7.1.1.1</w:t>
      </w:r>
      <w:r w:rsidR="00774BCA">
        <w:rPr>
          <w:lang w:val="fr-FR"/>
        </w:rPr>
        <w:tab/>
        <w:t>La grosseur du boudin est obtenue e</w:t>
      </w:r>
      <w:r w:rsidR="003F10F4">
        <w:rPr>
          <w:lang w:val="fr-FR"/>
        </w:rPr>
        <w:t>n utilisant la formule suivante </w:t>
      </w:r>
      <w:r w:rsidR="00774BCA">
        <w:rPr>
          <w:lang w:val="fr-FR"/>
        </w:rPr>
        <w:t>:</w:t>
      </w:r>
    </w:p>
    <w:p w:rsidR="00774BCA" w:rsidRPr="00F7761E" w:rsidRDefault="00774BCA" w:rsidP="001D1932">
      <w:pPr>
        <w:pStyle w:val="SingleTxtG"/>
        <w:ind w:left="2268"/>
        <w:rPr>
          <w:rFonts w:eastAsia="HGMaruGothicMPRO"/>
        </w:rPr>
      </w:pPr>
      <w:r>
        <w:rPr>
          <w:lang w:val="fr-FR"/>
        </w:rPr>
        <w:t>S = S</w:t>
      </w:r>
      <w:r>
        <w:rPr>
          <w:vertAlign w:val="subscript"/>
          <w:lang w:val="fr-FR"/>
        </w:rPr>
        <w:t>1</w:t>
      </w:r>
      <w:r>
        <w:rPr>
          <w:lang w:val="fr-FR"/>
        </w:rPr>
        <w:t xml:space="preserve"> + K (A - A</w:t>
      </w:r>
      <w:r w:rsidRPr="009D3706">
        <w:rPr>
          <w:vertAlign w:val="subscript"/>
          <w:lang w:val="fr-FR"/>
        </w:rPr>
        <w:t>1</w:t>
      </w:r>
      <w:r>
        <w:rPr>
          <w:lang w:val="fr-FR"/>
        </w:rPr>
        <w:t>)</w:t>
      </w:r>
    </w:p>
    <w:p w:rsidR="00774BCA" w:rsidRPr="00F7761E" w:rsidRDefault="003F10F4" w:rsidP="00295805">
      <w:pPr>
        <w:pStyle w:val="SingleTxtG"/>
        <w:ind w:left="2835" w:hanging="567"/>
        <w:rPr>
          <w:rFonts w:eastAsia="HGMaruGothicMPRO"/>
        </w:rPr>
      </w:pPr>
      <w:r>
        <w:rPr>
          <w:lang w:val="fr-FR"/>
        </w:rPr>
        <w:t>où </w:t>
      </w:r>
      <w:r w:rsidR="00774BCA">
        <w:rPr>
          <w:lang w:val="fr-FR"/>
        </w:rPr>
        <w:t>:</w:t>
      </w:r>
    </w:p>
    <w:p w:rsidR="00774BCA" w:rsidRPr="00F7761E" w:rsidRDefault="003F10F4" w:rsidP="00295805">
      <w:pPr>
        <w:pStyle w:val="SingleTxtG"/>
        <w:ind w:left="2835" w:hanging="567"/>
        <w:rPr>
          <w:rFonts w:eastAsia="HGMaruGothicMPRO"/>
        </w:rPr>
      </w:pPr>
      <w:r>
        <w:rPr>
          <w:lang w:val="fr-FR"/>
        </w:rPr>
        <w:t>S </w:t>
      </w:r>
      <w:r w:rsidR="00774BCA">
        <w:rPr>
          <w:lang w:val="fr-FR"/>
        </w:rPr>
        <w:t>:</w:t>
      </w:r>
      <w:r w:rsidR="00774BCA">
        <w:rPr>
          <w:lang w:val="fr-FR"/>
        </w:rPr>
        <w:tab/>
        <w:t>est la grosseur réelle du boudin arrondie au millimètre le plus proche et mesurée sur la jante d’essai</w:t>
      </w:r>
      <w:r>
        <w:rPr>
          <w:lang w:val="fr-FR"/>
        </w:rPr>
        <w:t> </w:t>
      </w:r>
      <w:r w:rsidR="00774BCA">
        <w:rPr>
          <w:lang w:val="fr-FR"/>
        </w:rPr>
        <w:t>;</w:t>
      </w:r>
    </w:p>
    <w:p w:rsidR="00774BCA" w:rsidRPr="00F7761E" w:rsidRDefault="00774BCA" w:rsidP="00295805">
      <w:pPr>
        <w:pStyle w:val="SingleTxtG"/>
        <w:ind w:left="2835" w:hanging="567"/>
        <w:rPr>
          <w:rFonts w:eastAsia="HGMaruGothicMPRO"/>
        </w:rPr>
      </w:pPr>
      <w:r>
        <w:rPr>
          <w:lang w:val="fr-FR"/>
        </w:rPr>
        <w:t>S</w:t>
      </w:r>
      <w:r>
        <w:rPr>
          <w:vertAlign w:val="subscript"/>
          <w:lang w:val="fr-FR"/>
        </w:rPr>
        <w:t>1</w:t>
      </w:r>
      <w:r w:rsidR="003F10F4">
        <w:rPr>
          <w:lang w:val="fr-FR"/>
        </w:rPr>
        <w:t> </w:t>
      </w:r>
      <w:r>
        <w:rPr>
          <w:lang w:val="fr-FR"/>
        </w:rPr>
        <w:t>:</w:t>
      </w:r>
      <w:r>
        <w:rPr>
          <w:lang w:val="fr-FR"/>
        </w:rPr>
        <w:tab/>
        <w:t>est la valeur de la “grosseur de boudin théorique” par rapport à la jante de mesure, selon la Norme internationale sur les pneumatiques spécifiée par l’entreprise de rechapage pour la ta</w:t>
      </w:r>
      <w:r w:rsidR="003F10F4">
        <w:rPr>
          <w:lang w:val="fr-FR"/>
        </w:rPr>
        <w:t>ille de pneumatique en question </w:t>
      </w:r>
      <w:r>
        <w:rPr>
          <w:lang w:val="fr-FR"/>
        </w:rPr>
        <w:t>;</w:t>
      </w:r>
    </w:p>
    <w:p w:rsidR="00774BCA" w:rsidRPr="00F7761E" w:rsidRDefault="00774BCA" w:rsidP="00295805">
      <w:pPr>
        <w:pStyle w:val="SingleTxtG"/>
        <w:ind w:left="2835" w:hanging="567"/>
        <w:rPr>
          <w:rFonts w:eastAsia="HGMaruGothicMPRO"/>
        </w:rPr>
      </w:pPr>
      <w:r>
        <w:rPr>
          <w:lang w:val="fr-FR"/>
        </w:rPr>
        <w:t>A</w:t>
      </w:r>
      <w:r w:rsidR="003F10F4">
        <w:rPr>
          <w:lang w:val="fr-FR"/>
        </w:rPr>
        <w:t> </w:t>
      </w:r>
      <w:r>
        <w:rPr>
          <w:lang w:val="fr-FR"/>
        </w:rPr>
        <w:t>:</w:t>
      </w:r>
      <w:r>
        <w:rPr>
          <w:lang w:val="fr-FR"/>
        </w:rPr>
        <w:tab/>
        <w:t>est la largeur de la jante d</w:t>
      </w:r>
      <w:r w:rsidR="003F10F4">
        <w:rPr>
          <w:lang w:val="fr-FR"/>
        </w:rPr>
        <w:t>’essai, exprimée en millimètres </w:t>
      </w:r>
      <w:r>
        <w:rPr>
          <w:lang w:val="fr-FR"/>
        </w:rPr>
        <w:t>;</w:t>
      </w:r>
    </w:p>
    <w:p w:rsidR="00774BCA" w:rsidRPr="00F7761E" w:rsidRDefault="00774BCA" w:rsidP="00295805">
      <w:pPr>
        <w:pStyle w:val="SingleTxtG"/>
        <w:ind w:left="2835" w:hanging="567"/>
        <w:rPr>
          <w:rFonts w:eastAsia="HGMaruGothicMPRO"/>
        </w:rPr>
      </w:pPr>
      <w:r>
        <w:rPr>
          <w:lang w:val="fr-FR"/>
        </w:rPr>
        <w:t>A</w:t>
      </w:r>
      <w:r>
        <w:rPr>
          <w:vertAlign w:val="subscript"/>
          <w:lang w:val="fr-FR"/>
        </w:rPr>
        <w:t>1</w:t>
      </w:r>
      <w:r w:rsidR="003F10F4">
        <w:rPr>
          <w:lang w:val="fr-FR"/>
        </w:rPr>
        <w:t> </w:t>
      </w:r>
      <w:r>
        <w:rPr>
          <w:lang w:val="fr-FR"/>
        </w:rPr>
        <w:t>:</w:t>
      </w:r>
      <w:r>
        <w:rPr>
          <w:lang w:val="fr-FR"/>
        </w:rPr>
        <w:tab/>
        <w:t>est la largeur exprimée en millimètres de la jante de mesure selon la Norme internationale sur les pneumatiques spécifiée par l’entreprise de rechapage pour la ta</w:t>
      </w:r>
      <w:r w:rsidR="003F10F4">
        <w:rPr>
          <w:lang w:val="fr-FR"/>
        </w:rPr>
        <w:t>ille de pneumatique en question </w:t>
      </w:r>
      <w:r>
        <w:rPr>
          <w:lang w:val="fr-FR"/>
        </w:rPr>
        <w:t>;</w:t>
      </w:r>
    </w:p>
    <w:p w:rsidR="00774BCA" w:rsidRPr="00F7761E" w:rsidRDefault="00774BCA" w:rsidP="00295805">
      <w:pPr>
        <w:pStyle w:val="SingleTxtG"/>
        <w:ind w:left="2835" w:hanging="567"/>
        <w:rPr>
          <w:rFonts w:eastAsia="HGMaruGothicMPRO"/>
        </w:rPr>
      </w:pPr>
      <w:r>
        <w:rPr>
          <w:lang w:val="fr-FR"/>
        </w:rPr>
        <w:t>K</w:t>
      </w:r>
      <w:r w:rsidR="003F10F4">
        <w:rPr>
          <w:lang w:val="fr-FR"/>
        </w:rPr>
        <w:t> </w:t>
      </w:r>
      <w:r>
        <w:rPr>
          <w:lang w:val="fr-FR"/>
        </w:rPr>
        <w:t>:</w:t>
      </w:r>
      <w:r>
        <w:rPr>
          <w:lang w:val="fr-FR"/>
        </w:rPr>
        <w:tab/>
        <w:t>est un facteur qui doit être considéré comme égal à 0,4.</w:t>
      </w:r>
    </w:p>
    <w:p w:rsidR="00774BCA" w:rsidRPr="00F7761E" w:rsidRDefault="00774BCA" w:rsidP="00CF117F">
      <w:pPr>
        <w:pStyle w:val="SingleTxtG"/>
        <w:ind w:left="2268" w:hanging="1134"/>
        <w:rPr>
          <w:rFonts w:eastAsia="HGMaruGothicMPRO"/>
        </w:rPr>
      </w:pPr>
      <w:r>
        <w:rPr>
          <w:lang w:val="fr-FR"/>
        </w:rPr>
        <w:t>7.1.1.1.1</w:t>
      </w:r>
      <w:r>
        <w:rPr>
          <w:lang w:val="fr-FR"/>
        </w:rPr>
        <w:tab/>
        <w:t>Sur les pneumatiques ayant une configuration de montage de type “A” (voir par.</w:t>
      </w:r>
      <w:r w:rsidR="00BC7963">
        <w:rPr>
          <w:lang w:val="fr-FR"/>
        </w:rPr>
        <w:t> </w:t>
      </w:r>
      <w:r>
        <w:rPr>
          <w:lang w:val="fr-FR"/>
        </w:rPr>
        <w:t>2.26.4.1), le facteur “K” doit être égal à 0,6. ».</w:t>
      </w:r>
    </w:p>
    <w:p w:rsidR="00774BCA" w:rsidRPr="00F7761E" w:rsidRDefault="00774BCA" w:rsidP="00BC7963">
      <w:pPr>
        <w:pStyle w:val="SingleTxtG"/>
        <w:keepNext/>
        <w:rPr>
          <w:rFonts w:eastAsia="HGMaruGothicMPRO"/>
        </w:rPr>
      </w:pPr>
      <w:r w:rsidRPr="00BC7963">
        <w:rPr>
          <w:i/>
          <w:lang w:val="fr-FR"/>
        </w:rPr>
        <w:t>Paragraphe 7.1.2.1</w:t>
      </w:r>
      <w:r w:rsidR="003F10F4">
        <w:rPr>
          <w:lang w:val="fr-FR"/>
        </w:rPr>
        <w:t>, lire </w:t>
      </w:r>
      <w:r>
        <w:rPr>
          <w:lang w:val="fr-FR"/>
        </w:rPr>
        <w:t>:</w:t>
      </w:r>
    </w:p>
    <w:p w:rsidR="00774BCA" w:rsidRPr="00F7761E" w:rsidRDefault="00BC7963" w:rsidP="00CF117F">
      <w:pPr>
        <w:pStyle w:val="SingleTxtG"/>
        <w:ind w:left="2268" w:hanging="1134"/>
        <w:rPr>
          <w:rFonts w:eastAsia="HGMaruGothicMPRO"/>
        </w:rPr>
      </w:pPr>
      <w:r>
        <w:rPr>
          <w:lang w:val="fr-FR"/>
        </w:rPr>
        <w:t>« </w:t>
      </w:r>
      <w:r w:rsidR="00774BCA">
        <w:rPr>
          <w:lang w:val="fr-FR"/>
        </w:rPr>
        <w:t>7.1.2.1</w:t>
      </w:r>
      <w:r w:rsidR="00774BCA">
        <w:rPr>
          <w:lang w:val="fr-FR"/>
        </w:rPr>
        <w:tab/>
        <w:t>Le diamètre extérieur théorique d’un pneumatique rechapé est obtenu en utilisant la formule suivan</w:t>
      </w:r>
      <w:r w:rsidR="003F10F4">
        <w:rPr>
          <w:lang w:val="fr-FR"/>
        </w:rPr>
        <w:t>te </w:t>
      </w:r>
      <w:r w:rsidR="00774BCA">
        <w:rPr>
          <w:lang w:val="fr-FR"/>
        </w:rPr>
        <w:t>:</w:t>
      </w:r>
    </w:p>
    <w:p w:rsidR="00774BCA" w:rsidRPr="00F7761E" w:rsidRDefault="00774BCA" w:rsidP="00BC7963">
      <w:pPr>
        <w:pStyle w:val="SingleTxtG"/>
        <w:ind w:left="2268"/>
        <w:rPr>
          <w:rFonts w:eastAsia="HGMaruGothicMPRO"/>
        </w:rPr>
      </w:pPr>
      <w:r>
        <w:rPr>
          <w:lang w:val="fr-FR"/>
        </w:rPr>
        <w:t>D = d + 2H</w:t>
      </w:r>
    </w:p>
    <w:p w:rsidR="00774BCA" w:rsidRPr="00F7761E" w:rsidRDefault="00774BCA" w:rsidP="00BC7963">
      <w:pPr>
        <w:pStyle w:val="SingleTxtG"/>
        <w:ind w:left="2835" w:hanging="567"/>
        <w:rPr>
          <w:rFonts w:eastAsia="HGMaruGothicMPRO"/>
        </w:rPr>
      </w:pPr>
      <w:r>
        <w:rPr>
          <w:lang w:val="fr-FR"/>
        </w:rPr>
        <w:t>où</w:t>
      </w:r>
      <w:r w:rsidR="003F10F4">
        <w:rPr>
          <w:lang w:val="fr-FR"/>
        </w:rPr>
        <w:t> </w:t>
      </w:r>
      <w:r>
        <w:rPr>
          <w:lang w:val="fr-FR"/>
        </w:rPr>
        <w:t>:</w:t>
      </w:r>
    </w:p>
    <w:p w:rsidR="00774BCA" w:rsidRPr="00F7761E" w:rsidRDefault="00774BCA" w:rsidP="00945817">
      <w:pPr>
        <w:pStyle w:val="SingleTxtG"/>
        <w:ind w:left="2835" w:hanging="567"/>
        <w:rPr>
          <w:rFonts w:eastAsia="HGMaruGothicMPRO"/>
        </w:rPr>
      </w:pPr>
      <w:r>
        <w:rPr>
          <w:lang w:val="fr-FR"/>
        </w:rPr>
        <w:t>D</w:t>
      </w:r>
      <w:r w:rsidR="003F10F4">
        <w:rPr>
          <w:lang w:val="fr-FR"/>
        </w:rPr>
        <w:t> </w:t>
      </w:r>
      <w:r>
        <w:rPr>
          <w:lang w:val="fr-FR"/>
        </w:rPr>
        <w:t>:</w:t>
      </w:r>
      <w:r>
        <w:rPr>
          <w:lang w:val="fr-FR"/>
        </w:rPr>
        <w:tab/>
        <w:t>est le diamètre extérieur t</w:t>
      </w:r>
      <w:r w:rsidR="003F10F4">
        <w:rPr>
          <w:lang w:val="fr-FR"/>
        </w:rPr>
        <w:t>héorique exprimé en millimètres </w:t>
      </w:r>
      <w:r>
        <w:rPr>
          <w:lang w:val="fr-FR"/>
        </w:rPr>
        <w:t>;</w:t>
      </w:r>
    </w:p>
    <w:p w:rsidR="00774BCA" w:rsidRPr="00F7761E" w:rsidRDefault="003F10F4" w:rsidP="00945817">
      <w:pPr>
        <w:pStyle w:val="SingleTxtG"/>
        <w:ind w:left="2835" w:hanging="567"/>
        <w:rPr>
          <w:rFonts w:eastAsia="HGMaruGothicMPRO"/>
        </w:rPr>
      </w:pPr>
      <w:r>
        <w:rPr>
          <w:lang w:val="fr-FR"/>
        </w:rPr>
        <w:t>d </w:t>
      </w:r>
      <w:r w:rsidR="00774BCA">
        <w:rPr>
          <w:lang w:val="fr-FR"/>
        </w:rPr>
        <w:t>:</w:t>
      </w:r>
      <w:r w:rsidR="00774BCA">
        <w:rPr>
          <w:lang w:val="fr-FR"/>
        </w:rPr>
        <w:tab/>
        <w:t>est le nombre conventionnel défini au paragra</w:t>
      </w:r>
      <w:r>
        <w:rPr>
          <w:lang w:val="fr-FR"/>
        </w:rPr>
        <w:t>phe 2.26 exprimé en millimètres </w:t>
      </w:r>
      <w:r w:rsidR="00774BCA">
        <w:rPr>
          <w:lang w:val="fr-FR"/>
        </w:rPr>
        <w:t>;</w:t>
      </w:r>
    </w:p>
    <w:p w:rsidR="00774BCA" w:rsidRPr="00F7761E" w:rsidRDefault="00774BCA" w:rsidP="00945817">
      <w:pPr>
        <w:pStyle w:val="SingleTxtG"/>
        <w:ind w:left="2835" w:hanging="567"/>
        <w:rPr>
          <w:rFonts w:eastAsia="HGMaruGothicMPRO"/>
        </w:rPr>
      </w:pPr>
      <w:r>
        <w:rPr>
          <w:lang w:val="fr-FR"/>
        </w:rPr>
        <w:t>H</w:t>
      </w:r>
      <w:r w:rsidR="003F10F4">
        <w:rPr>
          <w:lang w:val="fr-FR"/>
        </w:rPr>
        <w:t> </w:t>
      </w:r>
      <w:r>
        <w:rPr>
          <w:lang w:val="fr-FR"/>
        </w:rPr>
        <w:t>:</w:t>
      </w:r>
      <w:r>
        <w:rPr>
          <w:lang w:val="fr-FR"/>
        </w:rPr>
        <w:tab/>
        <w:t>est la hauteur nominale du boudin arrondie au millimètre le plus proche et égale à S</w:t>
      </w:r>
      <w:r>
        <w:rPr>
          <w:vertAlign w:val="subscript"/>
          <w:lang w:val="fr-FR"/>
        </w:rPr>
        <w:t>n</w:t>
      </w:r>
      <w:r>
        <w:rPr>
          <w:lang w:val="fr-FR"/>
        </w:rPr>
        <w:t xml:space="preserve"> multiplié par 0,01 Ra</w:t>
      </w:r>
      <w:r w:rsidR="00A53F8E">
        <w:rPr>
          <w:lang w:val="fr-FR"/>
        </w:rPr>
        <w:t> ;</w:t>
      </w:r>
    </w:p>
    <w:p w:rsidR="00774BCA" w:rsidRPr="00F7761E" w:rsidRDefault="003F10F4" w:rsidP="000571AE">
      <w:pPr>
        <w:keepNext/>
        <w:spacing w:after="120"/>
        <w:ind w:left="2268" w:right="1134"/>
        <w:mirrorIndents/>
        <w:jc w:val="both"/>
        <w:rPr>
          <w:rFonts w:eastAsia="HGMaruGothicMPRO"/>
        </w:rPr>
      </w:pPr>
      <w:r>
        <w:rPr>
          <w:lang w:val="fr-FR"/>
        </w:rPr>
        <w:lastRenderedPageBreak/>
        <w:t>où </w:t>
      </w:r>
      <w:r w:rsidR="00774BCA">
        <w:rPr>
          <w:lang w:val="fr-FR"/>
        </w:rPr>
        <w:t>:</w:t>
      </w:r>
    </w:p>
    <w:p w:rsidR="00774BCA" w:rsidRPr="00F7761E" w:rsidRDefault="00774BCA" w:rsidP="000571AE">
      <w:pPr>
        <w:pStyle w:val="SingleTxtG"/>
        <w:ind w:left="3402" w:hanging="567"/>
      </w:pPr>
      <w:r>
        <w:rPr>
          <w:lang w:val="fr-FR"/>
        </w:rPr>
        <w:t>S</w:t>
      </w:r>
      <w:r>
        <w:rPr>
          <w:vertAlign w:val="subscript"/>
          <w:lang w:val="fr-FR"/>
        </w:rPr>
        <w:t>n</w:t>
      </w:r>
      <w:r w:rsidR="003F10F4">
        <w:rPr>
          <w:lang w:val="fr-FR"/>
        </w:rPr>
        <w:t> </w:t>
      </w:r>
      <w:r>
        <w:rPr>
          <w:lang w:val="fr-FR"/>
        </w:rPr>
        <w:t>:</w:t>
      </w:r>
      <w:r>
        <w:rPr>
          <w:lang w:val="fr-FR"/>
        </w:rPr>
        <w:tab/>
        <w:t>est la grosseur nominale du</w:t>
      </w:r>
      <w:r w:rsidR="003F10F4">
        <w:rPr>
          <w:lang w:val="fr-FR"/>
        </w:rPr>
        <w:t xml:space="preserve"> boudin exprimée en millimètres </w:t>
      </w:r>
      <w:r>
        <w:rPr>
          <w:lang w:val="fr-FR"/>
        </w:rPr>
        <w:t>;</w:t>
      </w:r>
    </w:p>
    <w:p w:rsidR="00774BCA" w:rsidRPr="00F7761E" w:rsidRDefault="003F10F4" w:rsidP="000571AE">
      <w:pPr>
        <w:pStyle w:val="SingleTxtG"/>
        <w:ind w:left="3402" w:hanging="567"/>
      </w:pPr>
      <w:r>
        <w:rPr>
          <w:lang w:val="fr-FR"/>
        </w:rPr>
        <w:t>Ra </w:t>
      </w:r>
      <w:r w:rsidR="00774BCA">
        <w:rPr>
          <w:lang w:val="fr-FR"/>
        </w:rPr>
        <w:t>:</w:t>
      </w:r>
      <w:r w:rsidR="00774BCA">
        <w:rPr>
          <w:lang w:val="fr-FR"/>
        </w:rPr>
        <w:tab/>
        <w:t>est le rapport nominal d’aspect.</w:t>
      </w:r>
    </w:p>
    <w:p w:rsidR="00774BCA" w:rsidRPr="00F7761E" w:rsidRDefault="00774BCA" w:rsidP="000571AE">
      <w:pPr>
        <w:spacing w:after="120"/>
        <w:ind w:left="2268" w:right="1134"/>
        <w:mirrorIndents/>
        <w:jc w:val="both"/>
      </w:pPr>
      <w:r>
        <w:rPr>
          <w:lang w:val="fr-FR"/>
        </w:rPr>
        <w:t>La totalité des symboles ci-dessus sont tels qu’ils figurent sur le flanc du pneumatique dans sa désignation conformément aux prescriptions du paragraphe 3.2.3 et selon le pa</w:t>
      </w:r>
      <w:r w:rsidR="003B0ED7">
        <w:rPr>
          <w:lang w:val="fr-FR"/>
        </w:rPr>
        <w:t>ragraphe 2.26. </w:t>
      </w:r>
      <w:r>
        <w:rPr>
          <w:lang w:val="fr-FR"/>
        </w:rPr>
        <w:t>».</w:t>
      </w:r>
    </w:p>
    <w:p w:rsidR="00774BCA" w:rsidRPr="00F7761E" w:rsidRDefault="00774BCA" w:rsidP="003B0ED7">
      <w:pPr>
        <w:pStyle w:val="SingleTxtG"/>
        <w:keepNext/>
        <w:rPr>
          <w:rFonts w:eastAsia="HGMaruGothicMPRO"/>
        </w:rPr>
      </w:pPr>
      <w:r w:rsidRPr="003B0ED7">
        <w:rPr>
          <w:i/>
          <w:lang w:val="fr-FR"/>
        </w:rPr>
        <w:t>Paragraphe 7.1.2.3</w:t>
      </w:r>
      <w:r>
        <w:rPr>
          <w:lang w:val="fr-FR"/>
        </w:rPr>
        <w:t>, lire</w:t>
      </w:r>
      <w:r w:rsidR="003F10F4">
        <w:rPr>
          <w:lang w:val="fr-FR"/>
        </w:rPr>
        <w:t> </w:t>
      </w:r>
      <w:r>
        <w:rPr>
          <w:lang w:val="fr-FR"/>
        </w:rPr>
        <w:t>:</w:t>
      </w:r>
    </w:p>
    <w:p w:rsidR="00774BCA" w:rsidRPr="00F7761E" w:rsidRDefault="003B0ED7" w:rsidP="00CF117F">
      <w:pPr>
        <w:pStyle w:val="SingleTxtG"/>
        <w:ind w:left="2268" w:hanging="1134"/>
        <w:rPr>
          <w:rFonts w:eastAsia="HGMaruGothicMPRO"/>
        </w:rPr>
      </w:pPr>
      <w:r>
        <w:rPr>
          <w:lang w:val="fr-FR"/>
        </w:rPr>
        <w:t>« </w:t>
      </w:r>
      <w:r w:rsidR="00774BCA">
        <w:rPr>
          <w:lang w:val="fr-FR"/>
        </w:rPr>
        <w:t xml:space="preserve">7.1.2.3 </w:t>
      </w:r>
      <w:r w:rsidR="00774BCA">
        <w:rPr>
          <w:lang w:val="fr-FR"/>
        </w:rPr>
        <w:tab/>
        <w:t>Sur les pneumatiques ayant une configuration de montage de type “A” (voir par. 2.26.4), le diamètre extérieur est celui qui est indiqué dans la désignation de dimension du pneumatique qui figure sur son flan.</w:t>
      </w:r>
      <w:r>
        <w:rPr>
          <w:lang w:val="fr-FR"/>
        </w:rPr>
        <w:t> »</w:t>
      </w:r>
      <w:r w:rsidR="00774BCA">
        <w:rPr>
          <w:lang w:val="fr-FR"/>
        </w:rPr>
        <w:t>.</w:t>
      </w:r>
    </w:p>
    <w:p w:rsidR="00774BCA" w:rsidRPr="00F7761E" w:rsidRDefault="00774BCA" w:rsidP="003B0ED7">
      <w:pPr>
        <w:pStyle w:val="SingleTxtG"/>
        <w:keepNext/>
        <w:rPr>
          <w:rFonts w:eastAsia="HGMaruGothicMPRO"/>
        </w:rPr>
      </w:pPr>
      <w:r w:rsidRPr="003B0ED7">
        <w:rPr>
          <w:i/>
          <w:lang w:val="fr-FR"/>
        </w:rPr>
        <w:t>Paragraphe 7.1.4.2</w:t>
      </w:r>
      <w:r w:rsidR="00AD1936">
        <w:rPr>
          <w:lang w:val="fr-FR"/>
        </w:rPr>
        <w:t>, lire </w:t>
      </w:r>
      <w:r>
        <w:rPr>
          <w:lang w:val="fr-FR"/>
        </w:rPr>
        <w:t>:</w:t>
      </w:r>
    </w:p>
    <w:p w:rsidR="00774BCA" w:rsidRPr="00F7761E" w:rsidRDefault="003B0ED7" w:rsidP="00CF117F">
      <w:pPr>
        <w:pStyle w:val="SingleTxtG"/>
        <w:ind w:left="2268" w:hanging="1134"/>
        <w:rPr>
          <w:rFonts w:eastAsia="HGMaruGothicMPRO"/>
        </w:rPr>
      </w:pPr>
      <w:r>
        <w:rPr>
          <w:lang w:val="fr-FR"/>
        </w:rPr>
        <w:t>« </w:t>
      </w:r>
      <w:r w:rsidR="00774BCA">
        <w:rPr>
          <w:lang w:val="fr-FR"/>
        </w:rPr>
        <w:t>7.1.4.2</w:t>
      </w:r>
      <w:r w:rsidR="00774BCA">
        <w:rPr>
          <w:lang w:val="fr-FR"/>
        </w:rPr>
        <w:tab/>
        <w:t>Elle peut dépasser cette valeur de 5,5</w:t>
      </w:r>
      <w:r w:rsidR="00CD4E0D">
        <w:rPr>
          <w:lang w:val="fr-FR"/>
        </w:rPr>
        <w:t> </w:t>
      </w:r>
      <w:r w:rsidR="00774BCA">
        <w:rPr>
          <w:lang w:val="fr-FR"/>
        </w:rPr>
        <w:t>% dans le cas des pneumatiques à structure radiale et de 8</w:t>
      </w:r>
      <w:r w:rsidR="00CD4E0D">
        <w:rPr>
          <w:lang w:val="fr-FR"/>
        </w:rPr>
        <w:t> </w:t>
      </w:r>
      <w:r w:rsidR="00774BCA">
        <w:rPr>
          <w:lang w:val="fr-FR"/>
        </w:rPr>
        <w:t>% dans le cas des pneumatiques à structure diagonale. Toutefois, pour les pneumatiques destinés à un montage jumelé qui sont énumérés dans la colonne A du tableau ci-après, la largeur hors-tout du pneumatique peut dépasser la valeur déterminée conformément au paragraphe</w:t>
      </w:r>
      <w:r w:rsidR="00CD4E0D">
        <w:rPr>
          <w:lang w:val="fr-FR"/>
        </w:rPr>
        <w:t> </w:t>
      </w:r>
      <w:r w:rsidR="00774BCA">
        <w:rPr>
          <w:lang w:val="fr-FR"/>
        </w:rPr>
        <w:t>7.1.1 ci-dessus en tenant compte des tolérances indiquées dans la colonne B. D’autres tolérances spécifiques figurent dans la deuxième partie de l’annexe 5, dans les notes de bas de page des tableaux correspondants. Les valeurs limites respectives doivent être arrondies au millimètre le plus proche.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6"/>
        <w:gridCol w:w="661"/>
      </w:tblGrid>
      <w:tr w:rsidR="00774BCA" w:rsidRPr="001C1A1C" w:rsidTr="00D45CD2">
        <w:trPr>
          <w:tblHeader/>
        </w:trPr>
        <w:tc>
          <w:tcPr>
            <w:tcW w:w="5576" w:type="dxa"/>
            <w:shd w:val="clear" w:color="auto" w:fill="auto"/>
            <w:vAlign w:val="bottom"/>
          </w:tcPr>
          <w:p w:rsidR="00774BCA" w:rsidRPr="001C1A1C" w:rsidRDefault="00774BCA" w:rsidP="00CD4E0D">
            <w:pPr>
              <w:spacing w:before="60" w:after="60" w:line="240" w:lineRule="auto"/>
              <w:ind w:left="57" w:right="57"/>
              <w:rPr>
                <w:i/>
              </w:rPr>
            </w:pPr>
            <w:r w:rsidRPr="001C1A1C">
              <w:rPr>
                <w:i/>
                <w:lang w:val="fr-FR"/>
              </w:rPr>
              <w:t>A</w:t>
            </w:r>
          </w:p>
        </w:tc>
        <w:tc>
          <w:tcPr>
            <w:tcW w:w="661" w:type="dxa"/>
            <w:shd w:val="clear" w:color="auto" w:fill="auto"/>
            <w:vAlign w:val="bottom"/>
          </w:tcPr>
          <w:p w:rsidR="00774BCA" w:rsidRPr="001C1A1C" w:rsidRDefault="00774BCA" w:rsidP="001C1A1C">
            <w:pPr>
              <w:spacing w:before="60" w:after="60" w:line="240" w:lineRule="auto"/>
              <w:ind w:left="57" w:right="57"/>
              <w:jc w:val="center"/>
              <w:rPr>
                <w:i/>
              </w:rPr>
            </w:pPr>
            <w:r w:rsidRPr="001C1A1C">
              <w:rPr>
                <w:i/>
                <w:lang w:val="fr-FR"/>
              </w:rPr>
              <w:t>B</w:t>
            </w:r>
          </w:p>
        </w:tc>
      </w:tr>
      <w:tr w:rsidR="00774BCA" w:rsidRPr="00CD4E0D" w:rsidTr="00D45CD2">
        <w:tc>
          <w:tcPr>
            <w:tcW w:w="5576" w:type="dxa"/>
            <w:shd w:val="clear" w:color="auto" w:fill="auto"/>
          </w:tcPr>
          <w:p w:rsidR="00774BCA" w:rsidRPr="00CD4E0D" w:rsidRDefault="00774BCA" w:rsidP="00CD4E0D">
            <w:pPr>
              <w:spacing w:before="60" w:after="60" w:line="240" w:lineRule="auto"/>
              <w:ind w:left="57" w:right="57"/>
              <w:rPr>
                <w:rFonts w:eastAsia="HGMaruGothicMPRO"/>
              </w:rPr>
            </w:pPr>
            <w:r w:rsidRPr="00CD4E0D">
              <w:rPr>
                <w:lang w:val="fr-FR"/>
              </w:rPr>
              <w:t>Pneumatiques à structure radiale d’une largeur de section nominale supérieure à 305 mm et ayant un rapport nominal hauteur/grosseur du boudin supérieur à 60</w:t>
            </w:r>
          </w:p>
        </w:tc>
        <w:tc>
          <w:tcPr>
            <w:tcW w:w="661" w:type="dxa"/>
            <w:shd w:val="clear" w:color="auto" w:fill="auto"/>
          </w:tcPr>
          <w:p w:rsidR="00774BCA" w:rsidRPr="00CD4E0D" w:rsidRDefault="001C1A1C" w:rsidP="001C1A1C">
            <w:pPr>
              <w:spacing w:before="60" w:after="60" w:line="240" w:lineRule="auto"/>
              <w:ind w:left="57" w:right="57"/>
              <w:jc w:val="center"/>
              <w:rPr>
                <w:rFonts w:eastAsia="HGMaruGothicMPRO"/>
              </w:rPr>
            </w:pPr>
            <w:r>
              <w:rPr>
                <w:lang w:val="fr-FR"/>
              </w:rPr>
              <w:t>3,5 </w:t>
            </w:r>
            <w:r w:rsidR="00774BCA" w:rsidRPr="00CD4E0D">
              <w:rPr>
                <w:lang w:val="fr-FR"/>
              </w:rPr>
              <w:t>%</w:t>
            </w:r>
          </w:p>
        </w:tc>
      </w:tr>
      <w:tr w:rsidR="00774BCA" w:rsidRPr="00CD4E0D" w:rsidTr="00D45CD2">
        <w:tc>
          <w:tcPr>
            <w:tcW w:w="5576" w:type="dxa"/>
            <w:shd w:val="clear" w:color="auto" w:fill="auto"/>
          </w:tcPr>
          <w:p w:rsidR="00774BCA" w:rsidRPr="00CD4E0D" w:rsidRDefault="00774BCA" w:rsidP="001C1A1C">
            <w:pPr>
              <w:spacing w:before="60" w:after="60" w:line="240" w:lineRule="auto"/>
              <w:ind w:left="57" w:right="57"/>
              <w:rPr>
                <w:rFonts w:eastAsia="HGMaruGothicMPRO"/>
              </w:rPr>
            </w:pPr>
            <w:r w:rsidRPr="00CD4E0D">
              <w:rPr>
                <w:lang w:val="fr-FR"/>
              </w:rPr>
              <w:t>Pneumatiques à structure radiale énumérés à l’annexe 5, première partie, dont la grosseur de boudin est supérieure à</w:t>
            </w:r>
            <w:r w:rsidR="001C1A1C">
              <w:rPr>
                <w:lang w:val="fr-FR"/>
              </w:rPr>
              <w:t> </w:t>
            </w:r>
            <w:r w:rsidRPr="00CD4E0D">
              <w:rPr>
                <w:lang w:val="fr-FR"/>
              </w:rPr>
              <w:t>305 mm</w:t>
            </w:r>
          </w:p>
        </w:tc>
        <w:tc>
          <w:tcPr>
            <w:tcW w:w="661" w:type="dxa"/>
            <w:shd w:val="clear" w:color="auto" w:fill="auto"/>
          </w:tcPr>
          <w:p w:rsidR="00774BCA" w:rsidRPr="00CD4E0D" w:rsidRDefault="001C1A1C" w:rsidP="001C1A1C">
            <w:pPr>
              <w:spacing w:before="60" w:after="60" w:line="240" w:lineRule="auto"/>
              <w:ind w:left="57" w:right="57"/>
              <w:jc w:val="center"/>
              <w:rPr>
                <w:rFonts w:eastAsia="HGMaruGothicMPRO"/>
              </w:rPr>
            </w:pPr>
            <w:r>
              <w:rPr>
                <w:lang w:val="fr-FR"/>
              </w:rPr>
              <w:t>3,5 </w:t>
            </w:r>
            <w:r w:rsidR="00774BCA" w:rsidRPr="00CD4E0D">
              <w:rPr>
                <w:lang w:val="fr-FR"/>
              </w:rPr>
              <w:t>%</w:t>
            </w:r>
          </w:p>
        </w:tc>
      </w:tr>
      <w:tr w:rsidR="00774BCA" w:rsidRPr="00CD4E0D" w:rsidTr="00D45CD2">
        <w:tc>
          <w:tcPr>
            <w:tcW w:w="5576" w:type="dxa"/>
            <w:shd w:val="clear" w:color="auto" w:fill="auto"/>
          </w:tcPr>
          <w:p w:rsidR="00774BCA" w:rsidRPr="00CD4E0D" w:rsidRDefault="00774BCA" w:rsidP="00CD4E0D">
            <w:pPr>
              <w:spacing w:before="60" w:after="60" w:line="240" w:lineRule="auto"/>
              <w:ind w:left="57" w:right="57"/>
              <w:rPr>
                <w:rFonts w:eastAsia="HGMaruGothicMPRO"/>
              </w:rPr>
            </w:pPr>
            <w:r w:rsidRPr="00CD4E0D">
              <w:rPr>
                <w:lang w:val="fr-FR"/>
              </w:rPr>
              <w:t>Pneumatiques à structure diagonale dont la grosseur de boudin nominale est supérieure à 305 mm</w:t>
            </w:r>
          </w:p>
        </w:tc>
        <w:tc>
          <w:tcPr>
            <w:tcW w:w="661" w:type="dxa"/>
            <w:shd w:val="clear" w:color="auto" w:fill="auto"/>
          </w:tcPr>
          <w:p w:rsidR="00774BCA" w:rsidRPr="00CD4E0D" w:rsidRDefault="001C1A1C" w:rsidP="001C1A1C">
            <w:pPr>
              <w:spacing w:before="60" w:after="60" w:line="240" w:lineRule="auto"/>
              <w:ind w:left="57" w:right="57"/>
              <w:jc w:val="center"/>
              <w:rPr>
                <w:rFonts w:eastAsia="HGMaruGothicMPRO"/>
              </w:rPr>
            </w:pPr>
            <w:r>
              <w:rPr>
                <w:lang w:val="fr-FR"/>
              </w:rPr>
              <w:t>4 </w:t>
            </w:r>
            <w:r w:rsidR="00774BCA" w:rsidRPr="00CD4E0D">
              <w:rPr>
                <w:lang w:val="fr-FR"/>
              </w:rPr>
              <w:t>%</w:t>
            </w:r>
          </w:p>
        </w:tc>
      </w:tr>
      <w:tr w:rsidR="00774BCA" w:rsidRPr="00CD4E0D" w:rsidTr="00D45CD2">
        <w:tc>
          <w:tcPr>
            <w:tcW w:w="5576" w:type="dxa"/>
            <w:shd w:val="clear" w:color="auto" w:fill="auto"/>
          </w:tcPr>
          <w:p w:rsidR="00774BCA" w:rsidRPr="00CD4E0D" w:rsidRDefault="00774BCA" w:rsidP="00CD4E0D">
            <w:pPr>
              <w:spacing w:before="60" w:after="60" w:line="240" w:lineRule="auto"/>
              <w:ind w:left="57" w:right="57"/>
              <w:rPr>
                <w:rFonts w:eastAsia="HGMaruGothicMPRO"/>
              </w:rPr>
            </w:pPr>
            <w:r w:rsidRPr="00CD4E0D">
              <w:rPr>
                <w:lang w:val="fr-FR"/>
              </w:rPr>
              <w:t>Pneumatiques à structure diagonale énumérés à l’annexe 5, première partie, dont la grosseur de boudin est supérieure à 305 mm</w:t>
            </w:r>
          </w:p>
        </w:tc>
        <w:tc>
          <w:tcPr>
            <w:tcW w:w="661" w:type="dxa"/>
            <w:shd w:val="clear" w:color="auto" w:fill="auto"/>
          </w:tcPr>
          <w:p w:rsidR="00774BCA" w:rsidRPr="00CD4E0D" w:rsidRDefault="001C1A1C" w:rsidP="001C1A1C">
            <w:pPr>
              <w:spacing w:before="60" w:after="60" w:line="240" w:lineRule="auto"/>
              <w:ind w:left="57" w:right="57"/>
              <w:jc w:val="center"/>
              <w:rPr>
                <w:rFonts w:eastAsia="HGMaruGothicMPRO"/>
              </w:rPr>
            </w:pPr>
            <w:r>
              <w:rPr>
                <w:lang w:val="fr-FR"/>
              </w:rPr>
              <w:t>4 </w:t>
            </w:r>
            <w:r w:rsidR="00774BCA" w:rsidRPr="00CD4E0D">
              <w:rPr>
                <w:lang w:val="fr-FR"/>
              </w:rPr>
              <w:t>%</w:t>
            </w:r>
          </w:p>
        </w:tc>
      </w:tr>
    </w:tbl>
    <w:p w:rsidR="00774BCA" w:rsidRPr="00F7761E" w:rsidRDefault="00774BCA" w:rsidP="00D45CD2">
      <w:pPr>
        <w:spacing w:before="120" w:after="240"/>
        <w:ind w:left="2268" w:right="1134" w:hanging="1134"/>
        <w:mirrorIndents/>
        <w:jc w:val="right"/>
        <w:rPr>
          <w:rFonts w:eastAsia="HGMaruGothicMPRO"/>
        </w:rPr>
      </w:pPr>
      <w:r>
        <w:rPr>
          <w:rFonts w:eastAsia="HGMaruGothicMPRO"/>
        </w:rPr>
        <w:t> ».</w:t>
      </w:r>
    </w:p>
    <w:p w:rsidR="00774BCA" w:rsidRPr="00835E64" w:rsidRDefault="00774BCA" w:rsidP="00D45CD2">
      <w:pPr>
        <w:pStyle w:val="SingleTxtG"/>
        <w:keepNext/>
        <w:rPr>
          <w:rFonts w:eastAsia="HGMaruGothicMPRO"/>
        </w:rPr>
      </w:pPr>
      <w:r w:rsidRPr="00D45CD2">
        <w:rPr>
          <w:i/>
          <w:lang w:val="fr-FR"/>
        </w:rPr>
        <w:t>Paragraphe 7.1.4.3</w:t>
      </w:r>
      <w:r w:rsidR="00AD1936">
        <w:rPr>
          <w:lang w:val="fr-FR"/>
        </w:rPr>
        <w:t>, lire </w:t>
      </w:r>
      <w:r>
        <w:rPr>
          <w:lang w:val="fr-FR"/>
        </w:rPr>
        <w:t>:</w:t>
      </w:r>
    </w:p>
    <w:p w:rsidR="00774BCA" w:rsidRPr="00F7761E" w:rsidRDefault="003D3D71" w:rsidP="00CF117F">
      <w:pPr>
        <w:pStyle w:val="SingleTxtG"/>
        <w:ind w:left="2268" w:hanging="1134"/>
        <w:rPr>
          <w:rFonts w:eastAsia="HGMaruGothicMPRO"/>
        </w:rPr>
      </w:pPr>
      <w:r>
        <w:rPr>
          <w:lang w:val="fr-FR"/>
        </w:rPr>
        <w:t>« </w:t>
      </w:r>
      <w:r w:rsidR="00AD1936">
        <w:rPr>
          <w:lang w:val="fr-FR"/>
        </w:rPr>
        <w:t>7.1.4.3</w:t>
      </w:r>
      <w:r w:rsidR="00774BCA">
        <w:rPr>
          <w:lang w:val="fr-FR"/>
        </w:rPr>
        <w:tab/>
        <w:t>Sur les pneumatiques ayant une configuration de</w:t>
      </w:r>
      <w:r w:rsidR="00AD1936">
        <w:rPr>
          <w:lang w:val="fr-FR"/>
        </w:rPr>
        <w:t xml:space="preserve"> montage de type “A” (voir par. </w:t>
      </w:r>
      <w:r w:rsidR="00774BCA">
        <w:rPr>
          <w:lang w:val="fr-FR"/>
        </w:rPr>
        <w:t>2.26.4), la grosseur hors tout du pneu, dans sa zone basse, est égale à la largeur nominale de la jante de mesure (voir par.</w:t>
      </w:r>
      <w:r>
        <w:rPr>
          <w:lang w:val="fr-FR"/>
        </w:rPr>
        <w:t> </w:t>
      </w:r>
      <w:r w:rsidR="00774BCA">
        <w:rPr>
          <w:lang w:val="fr-FR"/>
        </w:rPr>
        <w:t>2), majorée de 27 mm.</w:t>
      </w:r>
      <w:r>
        <w:rPr>
          <w:lang w:val="fr-FR"/>
        </w:rPr>
        <w:t> »</w:t>
      </w:r>
      <w:r w:rsidR="00774BCA">
        <w:rPr>
          <w:lang w:val="fr-FR"/>
        </w:rPr>
        <w:t>.</w:t>
      </w:r>
    </w:p>
    <w:p w:rsidR="00774BCA" w:rsidRPr="00F7761E" w:rsidRDefault="00774BCA" w:rsidP="00D45CD2">
      <w:pPr>
        <w:pStyle w:val="SingleTxtG"/>
        <w:keepNext/>
        <w:rPr>
          <w:rFonts w:eastAsia="HGMaruGothicMPRO"/>
        </w:rPr>
      </w:pPr>
      <w:r>
        <w:rPr>
          <w:i/>
          <w:iCs/>
          <w:lang w:val="fr-FR"/>
        </w:rPr>
        <w:t>Paragraphe 7.1.5.1</w:t>
      </w:r>
      <w:r>
        <w:rPr>
          <w:lang w:val="fr-FR"/>
        </w:rPr>
        <w:t>, lire</w:t>
      </w:r>
      <w:r w:rsidR="00AD1936">
        <w:rPr>
          <w:lang w:val="fr-FR"/>
        </w:rPr>
        <w:t> </w:t>
      </w:r>
      <w:r>
        <w:rPr>
          <w:lang w:val="fr-FR"/>
        </w:rPr>
        <w:t>:</w:t>
      </w:r>
    </w:p>
    <w:p w:rsidR="00774BCA" w:rsidRPr="00F7761E" w:rsidRDefault="003D3D71" w:rsidP="00CF117F">
      <w:pPr>
        <w:pStyle w:val="SingleTxtG"/>
        <w:ind w:left="2268" w:hanging="1134"/>
        <w:rPr>
          <w:rFonts w:eastAsia="HGMaruGothicMPRO"/>
        </w:rPr>
      </w:pPr>
      <w:r>
        <w:rPr>
          <w:lang w:val="fr-FR"/>
        </w:rPr>
        <w:t>« </w:t>
      </w:r>
      <w:r w:rsidR="00774BCA">
        <w:rPr>
          <w:lang w:val="fr-FR"/>
        </w:rPr>
        <w:t>7.1.5.1</w:t>
      </w:r>
      <w:r w:rsidR="00774BCA">
        <w:rPr>
          <w:lang w:val="fr-FR"/>
        </w:rPr>
        <w:tab/>
        <w:t>Le diamètre extérieur effectif d’un pneumatique rechapé ne doit pas excéder les valeurs D</w:t>
      </w:r>
      <w:r w:rsidR="00774BCA" w:rsidRPr="00AA5C97">
        <w:rPr>
          <w:vertAlign w:val="subscript"/>
          <w:lang w:val="fr-FR"/>
        </w:rPr>
        <w:t>min</w:t>
      </w:r>
      <w:r w:rsidR="00774BCA">
        <w:rPr>
          <w:lang w:val="fr-FR"/>
        </w:rPr>
        <w:t xml:space="preserve"> et D</w:t>
      </w:r>
      <w:r w:rsidR="00774BCA" w:rsidRPr="00AA5C97">
        <w:rPr>
          <w:vertAlign w:val="subscript"/>
          <w:lang w:val="fr-FR"/>
        </w:rPr>
        <w:t>max</w:t>
      </w:r>
      <w:r w:rsidR="00774BCA">
        <w:rPr>
          <w:lang w:val="fr-FR"/>
        </w:rPr>
        <w:t xml:space="preserve"> obtenues avec les formules suivantes</w:t>
      </w:r>
      <w:r w:rsidR="00AD1936">
        <w:rPr>
          <w:lang w:val="fr-FR"/>
        </w:rPr>
        <w:t> </w:t>
      </w:r>
      <w:r w:rsidR="00774BCA">
        <w:rPr>
          <w:lang w:val="fr-FR"/>
        </w:rPr>
        <w:t>:</w:t>
      </w:r>
    </w:p>
    <w:p w:rsidR="00C62874" w:rsidRDefault="00774BCA" w:rsidP="00C62874">
      <w:pPr>
        <w:pStyle w:val="SingleTxtG"/>
        <w:ind w:left="2268"/>
        <w:rPr>
          <w:rFonts w:eastAsia="HGMaruGothicMPRO"/>
        </w:rPr>
      </w:pPr>
      <w:r>
        <w:rPr>
          <w:lang w:val="fr-FR"/>
        </w:rPr>
        <w:tab/>
        <w:t>D</w:t>
      </w:r>
      <w:r w:rsidRPr="00AA5C97">
        <w:rPr>
          <w:vertAlign w:val="subscript"/>
          <w:lang w:val="fr-FR"/>
        </w:rPr>
        <w:t>min</w:t>
      </w:r>
      <w:r>
        <w:rPr>
          <w:lang w:val="fr-FR"/>
        </w:rPr>
        <w:t xml:space="preserve"> = d + 2 • H</w:t>
      </w:r>
      <w:r>
        <w:rPr>
          <w:vertAlign w:val="subscript"/>
          <w:lang w:val="fr-FR"/>
        </w:rPr>
        <w:t>min</w:t>
      </w:r>
      <w:r w:rsidR="00AD1936">
        <w:rPr>
          <w:lang w:val="fr-FR"/>
        </w:rPr>
        <w:t> </w:t>
      </w:r>
      <w:r>
        <w:rPr>
          <w:lang w:val="fr-FR"/>
        </w:rPr>
        <w:t>;</w:t>
      </w:r>
    </w:p>
    <w:p w:rsidR="00C62874" w:rsidRDefault="00774BCA" w:rsidP="00C62874">
      <w:pPr>
        <w:pStyle w:val="SingleTxtG"/>
        <w:ind w:left="2268"/>
        <w:rPr>
          <w:rFonts w:eastAsia="HGMaruGothicMPRO"/>
        </w:rPr>
      </w:pPr>
      <w:r>
        <w:rPr>
          <w:lang w:val="fr-FR"/>
        </w:rPr>
        <w:t>D</w:t>
      </w:r>
      <w:r w:rsidRPr="00AA5C97">
        <w:rPr>
          <w:vertAlign w:val="subscript"/>
          <w:lang w:val="fr-FR"/>
        </w:rPr>
        <w:t>max</w:t>
      </w:r>
      <w:r>
        <w:rPr>
          <w:lang w:val="fr-FR"/>
        </w:rPr>
        <w:t xml:space="preserve"> = 1.015 • [d + 2 • H</w:t>
      </w:r>
      <w:r>
        <w:rPr>
          <w:vertAlign w:val="subscript"/>
          <w:lang w:val="fr-FR"/>
        </w:rPr>
        <w:t>max</w:t>
      </w:r>
      <w:r>
        <w:rPr>
          <w:lang w:val="fr-FR"/>
        </w:rPr>
        <w:t>]</w:t>
      </w:r>
    </w:p>
    <w:p w:rsidR="00C62874" w:rsidRDefault="00C62874" w:rsidP="00C62874">
      <w:pPr>
        <w:pStyle w:val="SingleTxtG"/>
        <w:keepNext/>
        <w:ind w:left="2268"/>
        <w:rPr>
          <w:rFonts w:eastAsia="HGMaruGothicMPRO"/>
        </w:rPr>
      </w:pPr>
      <w:r>
        <w:rPr>
          <w:lang w:val="fr-FR"/>
        </w:rPr>
        <w:t>où</w:t>
      </w:r>
      <w:r w:rsidR="00AD1936">
        <w:rPr>
          <w:lang w:val="fr-FR"/>
        </w:rPr>
        <w:t> </w:t>
      </w:r>
      <w:r w:rsidR="00774BCA">
        <w:rPr>
          <w:lang w:val="fr-FR"/>
        </w:rPr>
        <w:t>:</w:t>
      </w:r>
    </w:p>
    <w:p w:rsidR="00C62874" w:rsidRDefault="00774BCA" w:rsidP="00C62874">
      <w:pPr>
        <w:pStyle w:val="SingleTxtG"/>
        <w:ind w:left="2268"/>
        <w:rPr>
          <w:lang w:val="fr-FR"/>
        </w:rPr>
      </w:pPr>
      <w:r>
        <w:rPr>
          <w:lang w:val="fr-FR"/>
        </w:rPr>
        <w:t>H</w:t>
      </w:r>
      <w:r>
        <w:rPr>
          <w:vertAlign w:val="subscript"/>
          <w:lang w:val="fr-FR"/>
        </w:rPr>
        <w:t>min</w:t>
      </w:r>
      <w:r>
        <w:rPr>
          <w:lang w:val="fr-FR"/>
        </w:rPr>
        <w:t xml:space="preserve"> = H • a arrondi</w:t>
      </w:r>
      <w:r w:rsidR="00C62874">
        <w:rPr>
          <w:lang w:val="fr-FR"/>
        </w:rPr>
        <w:t xml:space="preserve"> au millimètre le plus proche</w:t>
      </w:r>
    </w:p>
    <w:p w:rsidR="00C62874" w:rsidRDefault="00774BCA" w:rsidP="00C62874">
      <w:pPr>
        <w:pStyle w:val="SingleTxtG"/>
        <w:ind w:left="2268"/>
        <w:rPr>
          <w:rFonts w:eastAsia="HGMaruGothicMPRO"/>
        </w:rPr>
      </w:pPr>
      <w:r>
        <w:rPr>
          <w:lang w:val="fr-FR"/>
        </w:rPr>
        <w:t>H</w:t>
      </w:r>
      <w:r>
        <w:rPr>
          <w:vertAlign w:val="subscript"/>
          <w:lang w:val="fr-FR"/>
        </w:rPr>
        <w:t>max</w:t>
      </w:r>
      <w:r>
        <w:rPr>
          <w:lang w:val="fr-FR"/>
        </w:rPr>
        <w:t xml:space="preserve"> = H • b arrondi au mm le plus proche</w:t>
      </w:r>
    </w:p>
    <w:p w:rsidR="00774BCA" w:rsidRPr="00C62874" w:rsidRDefault="00AD1936" w:rsidP="00C62874">
      <w:pPr>
        <w:pStyle w:val="SingleTxtG"/>
        <w:ind w:left="2268"/>
        <w:rPr>
          <w:rFonts w:eastAsia="HGMaruGothicMPRO"/>
        </w:rPr>
      </w:pPr>
      <w:r>
        <w:rPr>
          <w:lang w:val="fr-FR"/>
        </w:rPr>
        <w:t>et </w:t>
      </w:r>
      <w:r w:rsidR="00774BCA">
        <w:rPr>
          <w:lang w:val="fr-FR"/>
        </w:rPr>
        <w:t>:</w:t>
      </w:r>
    </w:p>
    <w:p w:rsidR="00774BCA" w:rsidRPr="00C42C4A" w:rsidRDefault="00774BCA" w:rsidP="00774BCA">
      <w:pPr>
        <w:spacing w:after="120"/>
        <w:ind w:left="2268" w:right="1134" w:hanging="1134"/>
        <w:mirrorIndents/>
        <w:jc w:val="right"/>
        <w:rPr>
          <w:rFonts w:eastAsia="HGMaruGothicMPRO"/>
        </w:rPr>
      </w:pPr>
      <w:r>
        <w:rPr>
          <w:rFonts w:eastAsia="HGMaruGothicMPRO"/>
        </w:rPr>
        <w:t> ».</w:t>
      </w:r>
    </w:p>
    <w:p w:rsidR="00774BCA" w:rsidRPr="00835E64" w:rsidRDefault="00774BCA" w:rsidP="0042248D">
      <w:pPr>
        <w:pStyle w:val="SingleTxtG"/>
        <w:keepNext/>
        <w:rPr>
          <w:rFonts w:eastAsia="HGMaruGothicMPRO"/>
        </w:rPr>
      </w:pPr>
      <w:r w:rsidRPr="0042248D">
        <w:rPr>
          <w:i/>
          <w:lang w:val="fr-FR"/>
        </w:rPr>
        <w:t>Paragraphe 7.1.5.1.2</w:t>
      </w:r>
      <w:r w:rsidR="00AD1936">
        <w:rPr>
          <w:lang w:val="fr-FR"/>
        </w:rPr>
        <w:t>, lire </w:t>
      </w:r>
      <w:r>
        <w:rPr>
          <w:lang w:val="fr-FR"/>
        </w:rPr>
        <w:t>:</w:t>
      </w:r>
    </w:p>
    <w:p w:rsidR="00774BCA" w:rsidRPr="00F7761E" w:rsidRDefault="0042248D" w:rsidP="00CF117F">
      <w:pPr>
        <w:pStyle w:val="SingleTxtG"/>
        <w:ind w:left="2268" w:hanging="1134"/>
        <w:rPr>
          <w:rFonts w:eastAsia="HGMaruGothicMPRO"/>
        </w:rPr>
      </w:pPr>
      <w:r>
        <w:rPr>
          <w:lang w:val="fr-FR"/>
        </w:rPr>
        <w:t>« </w:t>
      </w:r>
      <w:r w:rsidR="00774BCA">
        <w:rPr>
          <w:lang w:val="fr-FR"/>
        </w:rPr>
        <w:t>7.1.5.1.2</w:t>
      </w:r>
      <w:r w:rsidR="00774BCA">
        <w:rPr>
          <w:lang w:val="fr-FR"/>
        </w:rPr>
        <w:tab/>
        <w:t>Pour les dimensions visées au paragraphe 7.1.2.2 et pour les pneumatiques ayant une configuration de montage de type “A” (voir par. 2.26.4), la hauteur nom</w:t>
      </w:r>
      <w:r w:rsidR="00AD1936">
        <w:rPr>
          <w:lang w:val="fr-FR"/>
        </w:rPr>
        <w:t>inale “H” du boudin est égale à </w:t>
      </w:r>
      <w:r w:rsidR="00774BCA">
        <w:rPr>
          <w:lang w:val="fr-FR"/>
        </w:rPr>
        <w:t>:</w:t>
      </w:r>
    </w:p>
    <w:p w:rsidR="0042248D" w:rsidRDefault="00774BCA" w:rsidP="0042248D">
      <w:pPr>
        <w:pStyle w:val="SingleTxtG"/>
        <w:ind w:left="2268"/>
        <w:rPr>
          <w:lang w:val="fr-FR"/>
        </w:rPr>
      </w:pPr>
      <w:r>
        <w:rPr>
          <w:lang w:val="fr-FR"/>
        </w:rPr>
        <w:t>H = 0.5(D - d), arrondi au millimètre le plus proche</w:t>
      </w:r>
    </w:p>
    <w:p w:rsidR="00774BCA" w:rsidRPr="00F7761E" w:rsidRDefault="00774BCA" w:rsidP="0042248D">
      <w:pPr>
        <w:pStyle w:val="SingleTxtG"/>
        <w:ind w:left="2268"/>
        <w:rPr>
          <w:rFonts w:eastAsia="HGMaruGothicMPRO"/>
        </w:rPr>
      </w:pPr>
      <w:r>
        <w:rPr>
          <w:lang w:val="fr-FR"/>
        </w:rPr>
        <w:tab/>
        <w:t>où “D” et “d” sont tels que</w:t>
      </w:r>
      <w:r w:rsidR="0042248D">
        <w:rPr>
          <w:lang w:val="fr-FR"/>
        </w:rPr>
        <w:t xml:space="preserve"> définis au paragraphe 7.1.2.1. </w:t>
      </w:r>
      <w:r>
        <w:rPr>
          <w:lang w:val="fr-FR"/>
        </w:rPr>
        <w:t>».</w:t>
      </w:r>
    </w:p>
    <w:p w:rsidR="00774BCA" w:rsidRPr="00D078FD" w:rsidRDefault="00774BCA" w:rsidP="0042248D">
      <w:pPr>
        <w:pStyle w:val="SingleTxtG"/>
        <w:keepNext/>
        <w:rPr>
          <w:rFonts w:eastAsia="HGMaruGothicMPRO"/>
        </w:rPr>
      </w:pPr>
      <w:r w:rsidRPr="0042248D">
        <w:rPr>
          <w:i/>
          <w:lang w:val="fr-FR"/>
        </w:rPr>
        <w:t>Paragraphe 9.2.3</w:t>
      </w:r>
      <w:r w:rsidR="00AD1936">
        <w:rPr>
          <w:lang w:val="fr-FR"/>
        </w:rPr>
        <w:t>, lire </w:t>
      </w:r>
      <w:r>
        <w:rPr>
          <w:lang w:val="fr-FR"/>
        </w:rPr>
        <w:t>:</w:t>
      </w:r>
    </w:p>
    <w:p w:rsidR="00774BCA" w:rsidRPr="00F7761E" w:rsidRDefault="00774BCA" w:rsidP="00CF117F">
      <w:pPr>
        <w:pStyle w:val="SingleTxtG"/>
        <w:ind w:left="2268" w:hanging="1134"/>
      </w:pPr>
      <w:r>
        <w:rPr>
          <w:lang w:val="fr-FR"/>
        </w:rPr>
        <w:t>« 9.2.3</w:t>
      </w:r>
      <w:r>
        <w:rPr>
          <w:lang w:val="fr-FR"/>
        </w:rPr>
        <w:tab/>
        <w:t>Au moins un pneumatique une fois tous les quatre ans afin de vérifier la conformité de la performance des pneumatiques pour conditions d’enneigement extrêmes satisfaisant aux dispositions du paragraphe 6.6.2 et visés par le paragraphe 6.4.4.1. Le rechapeur peut utiliser à cette fin les résultats d’essais périodiques de performances sur neige obtenus par le fabricant du matériau</w:t>
      </w:r>
      <w:r w:rsidR="0092122D">
        <w:rPr>
          <w:lang w:val="fr-FR"/>
        </w:rPr>
        <w:t xml:space="preserve"> ou le fournisseur du matériau. </w:t>
      </w:r>
      <w:r>
        <w:rPr>
          <w:lang w:val="fr-FR"/>
        </w:rPr>
        <w:t>»</w:t>
      </w:r>
      <w:r w:rsidR="0092122D">
        <w:rPr>
          <w:lang w:val="fr-FR"/>
        </w:rPr>
        <w:t>.</w:t>
      </w:r>
    </w:p>
    <w:p w:rsidR="00774BCA" w:rsidRPr="00D078FD" w:rsidRDefault="00774BCA" w:rsidP="0042248D">
      <w:pPr>
        <w:pStyle w:val="SingleTxtG"/>
        <w:keepNext/>
        <w:rPr>
          <w:rFonts w:eastAsia="HGMaruGothicMPRO"/>
          <w:color w:val="000000" w:themeColor="text1"/>
        </w:rPr>
      </w:pPr>
      <w:r w:rsidRPr="0042248D">
        <w:rPr>
          <w:i/>
          <w:lang w:val="fr-FR"/>
        </w:rPr>
        <w:t>Ajouter un nouveau paragraphe 9.2.4</w:t>
      </w:r>
      <w:r w:rsidR="00AD1936">
        <w:rPr>
          <w:lang w:val="fr-FR"/>
        </w:rPr>
        <w:t>, ainsi conçu </w:t>
      </w:r>
      <w:r>
        <w:rPr>
          <w:lang w:val="fr-FR"/>
        </w:rPr>
        <w:t>:</w:t>
      </w:r>
    </w:p>
    <w:p w:rsidR="00774BCA" w:rsidRPr="00F7761E" w:rsidRDefault="00AD1936" w:rsidP="00CF117F">
      <w:pPr>
        <w:pStyle w:val="SingleTxtG"/>
        <w:ind w:left="2268" w:hanging="1134"/>
      </w:pPr>
      <w:r>
        <w:rPr>
          <w:lang w:val="fr-FR"/>
        </w:rPr>
        <w:t>« 9.2.4</w:t>
      </w:r>
      <w:r w:rsidR="00774BCA">
        <w:rPr>
          <w:lang w:val="fr-FR"/>
        </w:rPr>
        <w:tab/>
        <w:t>Au moins un pneumatique tous les quatre ans afin de vérifier la conformité de la performance des pneumatiques pour conditions d’enneigement extrêmes</w:t>
      </w:r>
      <w:r w:rsidR="0092122D">
        <w:rPr>
          <w:lang w:val="fr-FR"/>
        </w:rPr>
        <w:t> </w:t>
      </w:r>
      <w:r w:rsidR="00774BCA">
        <w:rPr>
          <w:lang w:val="fr-FR"/>
        </w:rPr>
        <w:t>satisfaisant</w:t>
      </w:r>
      <w:r>
        <w:rPr>
          <w:lang w:val="fr-FR"/>
        </w:rPr>
        <w:t xml:space="preserve"> aux dispositions du paragraphe </w:t>
      </w:r>
      <w:r w:rsidR="00774BCA">
        <w:rPr>
          <w:lang w:val="fr-FR"/>
        </w:rPr>
        <w:t>6.6.2 et visés par les paragraphes</w:t>
      </w:r>
      <w:r w:rsidR="0092122D">
        <w:rPr>
          <w:lang w:val="fr-FR"/>
        </w:rPr>
        <w:t> </w:t>
      </w:r>
      <w:r w:rsidR="00774BCA">
        <w:rPr>
          <w:lang w:val="fr-FR"/>
        </w:rPr>
        <w:t>6.4.4.2. Le rechapeur peut utiliser à cette fin les résultats</w:t>
      </w:r>
      <w:r w:rsidR="00774BCA">
        <w:rPr>
          <w:lang w:val="fr-FR"/>
        </w:rPr>
        <w:tab/>
        <w:t xml:space="preserve">d’essais périodiques de performances sur la neige obtenus par le détenteur du certificat original d’homologation délivré en application du Règlement </w:t>
      </w:r>
      <w:r>
        <w:rPr>
          <w:lang w:val="fr-FR"/>
        </w:rPr>
        <w:t xml:space="preserve">ONU </w:t>
      </w:r>
      <w:r w:rsidR="00774BCA">
        <w:rPr>
          <w:lang w:val="fr-FR"/>
        </w:rPr>
        <w:t>n</w:t>
      </w:r>
      <w:r w:rsidR="00774BCA" w:rsidRPr="00327B88">
        <w:rPr>
          <w:vertAlign w:val="superscript"/>
          <w:lang w:val="fr-FR"/>
        </w:rPr>
        <w:t>o</w:t>
      </w:r>
      <w:r w:rsidR="0092122D">
        <w:rPr>
          <w:lang w:val="fr-FR"/>
        </w:rPr>
        <w:t> </w:t>
      </w:r>
      <w:r w:rsidR="00774BCA">
        <w:rPr>
          <w:lang w:val="fr-FR"/>
        </w:rPr>
        <w:t>117.</w:t>
      </w:r>
      <w:r w:rsidR="0092122D">
        <w:rPr>
          <w:lang w:val="fr-FR"/>
        </w:rPr>
        <w:t> </w:t>
      </w:r>
      <w:r w:rsidR="00774BCA">
        <w:rPr>
          <w:lang w:val="fr-FR"/>
        </w:rPr>
        <w:t>».</w:t>
      </w:r>
    </w:p>
    <w:p w:rsidR="00774BCA" w:rsidRPr="00F7761E" w:rsidRDefault="00774BCA" w:rsidP="0092122D">
      <w:pPr>
        <w:pStyle w:val="SingleTxtG"/>
        <w:keepNext/>
        <w:rPr>
          <w:rFonts w:eastAsia="HGMaruGothicMPRO"/>
        </w:rPr>
      </w:pPr>
      <w:r>
        <w:rPr>
          <w:i/>
          <w:iCs/>
          <w:lang w:val="fr-FR"/>
        </w:rPr>
        <w:t>Paragraphe 9.4.3</w:t>
      </w:r>
      <w:r>
        <w:rPr>
          <w:lang w:val="fr-FR"/>
        </w:rPr>
        <w:t>, lire</w:t>
      </w:r>
      <w:r w:rsidR="00AD1936">
        <w:rPr>
          <w:lang w:val="fr-FR"/>
        </w:rPr>
        <w:t> </w:t>
      </w:r>
      <w:r>
        <w:rPr>
          <w:lang w:val="fr-FR"/>
        </w:rPr>
        <w:t>:</w:t>
      </w:r>
    </w:p>
    <w:p w:rsidR="00774BCA" w:rsidRPr="00F7761E" w:rsidRDefault="00774BCA" w:rsidP="00CF117F">
      <w:pPr>
        <w:pStyle w:val="SingleTxtG"/>
        <w:ind w:left="2268" w:hanging="1134"/>
      </w:pPr>
      <w:r>
        <w:rPr>
          <w:lang w:val="fr-FR"/>
        </w:rPr>
        <w:t>«9.4.3</w:t>
      </w:r>
      <w:r>
        <w:rPr>
          <w:lang w:val="fr-FR"/>
        </w:rPr>
        <w:tab/>
        <w:t>Au moins un pneumatique tous les quatre ans afin de vérifier la conformité de la performance des pneumatiques pour conditions d’enneigement extrêmes</w:t>
      </w:r>
      <w:r w:rsidR="00FB2D56">
        <w:rPr>
          <w:lang w:val="fr-FR"/>
        </w:rPr>
        <w:t> </w:t>
      </w:r>
      <w:r>
        <w:rPr>
          <w:lang w:val="fr-FR"/>
        </w:rPr>
        <w:t>satisfaisant aux dispositions du paragraphe 6.6.2 et visés par les paragraphes 6.4.4.1. Le rechapeur peut utiliser à cette fin les résultats d’essais périodiques de performance sur la neige obtenus par le fabricant du matériau ou le fournisseur du matériau.</w:t>
      </w:r>
      <w:r w:rsidR="00AD1936">
        <w:rPr>
          <w:lang w:val="fr-FR"/>
        </w:rPr>
        <w:t> </w:t>
      </w:r>
      <w:r>
        <w:rPr>
          <w:lang w:val="fr-FR"/>
        </w:rPr>
        <w:t>».</w:t>
      </w:r>
    </w:p>
    <w:p w:rsidR="00774BCA" w:rsidRPr="00D078FD" w:rsidRDefault="00774BCA" w:rsidP="0092122D">
      <w:pPr>
        <w:pStyle w:val="SingleTxtG"/>
        <w:keepNext/>
        <w:rPr>
          <w:rFonts w:eastAsia="HGMaruGothicMPRO"/>
          <w:color w:val="000000" w:themeColor="text1"/>
        </w:rPr>
      </w:pPr>
      <w:r>
        <w:rPr>
          <w:i/>
          <w:iCs/>
          <w:lang w:val="fr-FR"/>
        </w:rPr>
        <w:t>Ajouter un nouveau paragraphe 9.4.4</w:t>
      </w:r>
      <w:r>
        <w:rPr>
          <w:lang w:val="fr-FR"/>
        </w:rPr>
        <w:t>, ainsi conçu</w:t>
      </w:r>
      <w:r w:rsidR="00AD1936">
        <w:rPr>
          <w:lang w:val="fr-FR"/>
        </w:rPr>
        <w:t> </w:t>
      </w:r>
      <w:r>
        <w:rPr>
          <w:lang w:val="fr-FR"/>
        </w:rPr>
        <w:t>:</w:t>
      </w:r>
    </w:p>
    <w:p w:rsidR="00774BCA" w:rsidRPr="00F7761E" w:rsidRDefault="00AD1936" w:rsidP="00CF117F">
      <w:pPr>
        <w:pStyle w:val="SingleTxtG"/>
        <w:ind w:left="2268" w:hanging="1134"/>
      </w:pPr>
      <w:r>
        <w:rPr>
          <w:lang w:val="fr-FR"/>
        </w:rPr>
        <w:t>«</w:t>
      </w:r>
      <w:r w:rsidR="00774BCA">
        <w:rPr>
          <w:lang w:val="fr-FR"/>
        </w:rPr>
        <w:t>9.4.4</w:t>
      </w:r>
      <w:r w:rsidR="00774BCA">
        <w:rPr>
          <w:lang w:val="fr-FR"/>
        </w:rPr>
        <w:tab/>
        <w:t>Au moins un pneumatique tous les quatre ans afin de vérifier la conformité de la performance des pneumatiques pour conditions d’enneigement extrêmes</w:t>
      </w:r>
      <w:r>
        <w:rPr>
          <w:lang w:val="fr-FR"/>
        </w:rPr>
        <w:t xml:space="preserve"> </w:t>
      </w:r>
      <w:r w:rsidR="00774BCA">
        <w:rPr>
          <w:lang w:val="fr-FR"/>
        </w:rPr>
        <w:t>satisfaisant aux dispositions du paragraphe 6.6.2 et visés par les paragraphes</w:t>
      </w:r>
      <w:r>
        <w:rPr>
          <w:lang w:val="fr-FR"/>
        </w:rPr>
        <w:t> </w:t>
      </w:r>
      <w:r w:rsidR="00774BCA">
        <w:rPr>
          <w:lang w:val="fr-FR"/>
        </w:rPr>
        <w:t>6.4.4.2. Le rechapeur peut utiliser à cette fin les résultats d’essais périodiques de performan</w:t>
      </w:r>
      <w:r w:rsidR="0092122D">
        <w:rPr>
          <w:lang w:val="fr-FR"/>
        </w:rPr>
        <w:t xml:space="preserve">ce sur la neige obtenus par le </w:t>
      </w:r>
      <w:r w:rsidR="00774BCA">
        <w:rPr>
          <w:lang w:val="fr-FR"/>
        </w:rPr>
        <w:t xml:space="preserve">détenteur du certificat original d’homologation de type délivré en vertu du Règlement </w:t>
      </w:r>
      <w:r>
        <w:rPr>
          <w:lang w:val="fr-FR"/>
        </w:rPr>
        <w:t xml:space="preserve">ONU </w:t>
      </w:r>
      <w:r w:rsidR="00774BCA">
        <w:rPr>
          <w:lang w:val="fr-FR"/>
        </w:rPr>
        <w:t>n</w:t>
      </w:r>
      <w:r w:rsidR="00774BCA" w:rsidRPr="00327B88">
        <w:rPr>
          <w:vertAlign w:val="superscript"/>
          <w:lang w:val="fr-FR"/>
        </w:rPr>
        <w:t>o</w:t>
      </w:r>
      <w:r w:rsidR="0092122D">
        <w:rPr>
          <w:lang w:val="fr-FR"/>
        </w:rPr>
        <w:t> </w:t>
      </w:r>
      <w:r>
        <w:rPr>
          <w:lang w:val="fr-FR"/>
        </w:rPr>
        <w:t>117. </w:t>
      </w:r>
      <w:r w:rsidR="00774BCA">
        <w:rPr>
          <w:lang w:val="fr-FR"/>
        </w:rPr>
        <w:t>».</w:t>
      </w:r>
    </w:p>
    <w:p w:rsidR="00774BCA" w:rsidRPr="00D078FD" w:rsidRDefault="00774BCA" w:rsidP="00FB2D56">
      <w:pPr>
        <w:pStyle w:val="SingleTxtG"/>
        <w:keepNext/>
        <w:rPr>
          <w:rFonts w:eastAsia="HGMaruGothicMPRO"/>
        </w:rPr>
      </w:pPr>
      <w:r>
        <w:rPr>
          <w:i/>
          <w:iCs/>
          <w:lang w:val="fr-FR"/>
        </w:rPr>
        <w:t>Paragraphe 12</w:t>
      </w:r>
      <w:r w:rsidR="00AD1936">
        <w:rPr>
          <w:lang w:val="fr-FR"/>
        </w:rPr>
        <w:t>, lire </w:t>
      </w:r>
      <w:r>
        <w:rPr>
          <w:lang w:val="fr-FR"/>
        </w:rPr>
        <w:t>:</w:t>
      </w:r>
    </w:p>
    <w:p w:rsidR="00774BCA" w:rsidRPr="00F7761E" w:rsidRDefault="00286DA8" w:rsidP="00774BCA">
      <w:pPr>
        <w:pStyle w:val="HChG"/>
        <w:ind w:left="2268"/>
        <w:rPr>
          <w:rFonts w:eastAsia="HGMaruGothicMPRO"/>
        </w:rPr>
      </w:pPr>
      <w:bookmarkStart w:id="4" w:name="A0_S12_"/>
      <w:r>
        <w:rPr>
          <w:b w:val="0"/>
          <w:bCs/>
          <w:sz w:val="20"/>
          <w:lang w:val="fr-FR"/>
        </w:rPr>
        <w:t>« </w:t>
      </w:r>
      <w:r w:rsidR="00774BCA">
        <w:rPr>
          <w:bCs/>
          <w:lang w:val="fr-FR"/>
        </w:rPr>
        <w:t>12.</w:t>
      </w:r>
      <w:r w:rsidR="00774BCA">
        <w:rPr>
          <w:lang w:val="fr-FR"/>
        </w:rPr>
        <w:t xml:space="preserve"> </w:t>
      </w:r>
      <w:r w:rsidR="00774BCA">
        <w:rPr>
          <w:lang w:val="fr-FR"/>
        </w:rPr>
        <w:tab/>
      </w:r>
      <w:r w:rsidR="00774BCA">
        <w:rPr>
          <w:bCs/>
          <w:lang w:val="fr-FR"/>
        </w:rPr>
        <w:t>Noms et adresses des services techniques chargés des essais d’homologation, des laboratoires d’essai et des autorités d’homologation de type</w:t>
      </w:r>
      <w:bookmarkEnd w:id="4"/>
    </w:p>
    <w:p w:rsidR="00774BCA" w:rsidRPr="00F7761E" w:rsidRDefault="00774BCA" w:rsidP="00CF117F">
      <w:pPr>
        <w:pStyle w:val="SingleTxtG"/>
        <w:ind w:left="2268" w:hanging="1134"/>
        <w:rPr>
          <w:rFonts w:eastAsia="HGMaruGothicMPRO"/>
        </w:rPr>
      </w:pPr>
      <w:bookmarkStart w:id="5" w:name="A0_S12_1_"/>
      <w:r>
        <w:rPr>
          <w:lang w:val="fr-FR"/>
        </w:rPr>
        <w:t xml:space="preserve">12.1 </w:t>
      </w:r>
      <w:r>
        <w:rPr>
          <w:lang w:val="fr-FR"/>
        </w:rPr>
        <w:tab/>
        <w:t>Les Parties contractantes à l’Accord de 1958 appliquant le présent Règlement doivent communiquer au Secrétaria</w:t>
      </w:r>
      <w:r w:rsidR="00AD1936">
        <w:rPr>
          <w:lang w:val="fr-FR"/>
        </w:rPr>
        <w:t>t de l’Organisation des Nations </w:t>
      </w:r>
      <w:r>
        <w:rPr>
          <w:lang w:val="fr-FR"/>
        </w:rPr>
        <w:t>Unies les noms et adresses des services techniques chargés des essais d’homologation et, le cas échéant, des laboratoires d’essais agréés, ainsi que ceux des autorités d’homologation de type qui délivrent l’homologation et auxquelles doivent être envoyées les fiches d’homologation ou d’extension de l’homologation ou de refus de l’homologation ou de retrait de l’homologation ou encore d’arrêt définitif de la production émises dans les autres pays.</w:t>
      </w:r>
      <w:bookmarkEnd w:id="5"/>
    </w:p>
    <w:p w:rsidR="00774BCA" w:rsidRPr="00F7761E" w:rsidRDefault="00AD1936" w:rsidP="00CF117F">
      <w:pPr>
        <w:pStyle w:val="SingleTxtG"/>
        <w:ind w:left="2268" w:hanging="1134"/>
        <w:rPr>
          <w:rFonts w:eastAsia="HGMaruGothicMPRO"/>
        </w:rPr>
      </w:pPr>
      <w:bookmarkStart w:id="6" w:name="A0_S12_2_"/>
      <w:r>
        <w:rPr>
          <w:lang w:val="fr-FR"/>
        </w:rPr>
        <w:t>12.2</w:t>
      </w:r>
      <w:r w:rsidR="00774BCA">
        <w:rPr>
          <w:lang w:val="fr-FR"/>
        </w:rPr>
        <w:tab/>
        <w:t>Les Parties contractantes à l’Accord de 1958 appliquant le présent Règlement peuvent désigner des laboratoires de fabricants de pneumatiques ou des entreprises de rechapage comme laboratoires d’essais agréés.</w:t>
      </w:r>
      <w:bookmarkEnd w:id="6"/>
    </w:p>
    <w:p w:rsidR="00774BCA" w:rsidRPr="00F7761E" w:rsidRDefault="00774BCA" w:rsidP="00CF117F">
      <w:pPr>
        <w:pStyle w:val="SingleTxtG"/>
        <w:ind w:left="2268" w:hanging="1134"/>
        <w:rPr>
          <w:rFonts w:eastAsia="HGMaruGothicMPRO"/>
        </w:rPr>
      </w:pPr>
      <w:bookmarkStart w:id="7" w:name="A0_S12_3_"/>
      <w:r>
        <w:rPr>
          <w:lang w:val="fr-FR"/>
        </w:rPr>
        <w:t>12.3</w:t>
      </w:r>
      <w:r>
        <w:rPr>
          <w:lang w:val="fr-FR"/>
        </w:rPr>
        <w:tab/>
        <w:t xml:space="preserve">Dans le cas où une Partie contractante à l’Accord de 1958 fait usage du paragraphe 12.2 ci-dessus, elle peut si elle le souhaite se faire représenter aux essais par une ou plusieurs </w:t>
      </w:r>
      <w:r w:rsidR="00AD1936">
        <w:rPr>
          <w:lang w:val="fr-FR"/>
        </w:rPr>
        <w:t>personnes de son choix. </w:t>
      </w:r>
      <w:r>
        <w:rPr>
          <w:lang w:val="fr-FR"/>
        </w:rPr>
        <w:t>»</w:t>
      </w:r>
      <w:bookmarkEnd w:id="7"/>
      <w:r>
        <w:rPr>
          <w:lang w:val="fr-FR"/>
        </w:rPr>
        <w:t>.</w:t>
      </w:r>
    </w:p>
    <w:p w:rsidR="00774BCA" w:rsidRPr="00D078FD" w:rsidRDefault="00774BCA" w:rsidP="00286DA8">
      <w:pPr>
        <w:pStyle w:val="SingleTxtG"/>
        <w:keepNext/>
        <w:rPr>
          <w:rFonts w:eastAsia="HGMaruGothicMPRO"/>
        </w:rPr>
      </w:pPr>
      <w:r w:rsidRPr="00286DA8">
        <w:rPr>
          <w:i/>
          <w:iCs/>
          <w:lang w:val="fr-FR"/>
        </w:rPr>
        <w:t>Annexe 1</w:t>
      </w:r>
      <w:r w:rsidR="00AD1936">
        <w:rPr>
          <w:lang w:val="fr-FR"/>
        </w:rPr>
        <w:t>, lire </w:t>
      </w:r>
      <w:r>
        <w:rPr>
          <w:lang w:val="fr-FR"/>
        </w:rPr>
        <w:t>:</w:t>
      </w:r>
    </w:p>
    <w:p w:rsidR="00774BCA" w:rsidRPr="00B12276" w:rsidRDefault="00286DA8" w:rsidP="00774BCA">
      <w:pPr>
        <w:suppressAutoHyphens w:val="0"/>
        <w:spacing w:after="120" w:line="240" w:lineRule="auto"/>
        <w:ind w:left="1134" w:right="1134"/>
        <w:mirrorIndents/>
        <w:jc w:val="both"/>
        <w:rPr>
          <w:rStyle w:val="HChGChar"/>
          <w:rFonts w:eastAsia="HGMaruGothicMPRO"/>
          <w:sz w:val="44"/>
        </w:rPr>
      </w:pPr>
      <w:r w:rsidRPr="00286DA8">
        <w:rPr>
          <w:bCs/>
          <w:lang w:val="fr-FR"/>
        </w:rPr>
        <w:t>« </w:t>
      </w:r>
      <w:r w:rsidR="00774BCA" w:rsidRPr="00B12276">
        <w:rPr>
          <w:b/>
          <w:bCs/>
          <w:sz w:val="32"/>
          <w:lang w:val="fr-FR"/>
        </w:rPr>
        <w:t>Communication</w:t>
      </w:r>
    </w:p>
    <w:p w:rsidR="00774BCA" w:rsidRPr="00F7761E" w:rsidRDefault="00286DA8" w:rsidP="00286DA8">
      <w:pPr>
        <w:pStyle w:val="SingleTxtG"/>
      </w:pPr>
      <w:r>
        <w:rPr>
          <w:lang w:val="fr-FR"/>
        </w:rPr>
        <w:t>…</w:t>
      </w:r>
    </w:p>
    <w:p w:rsidR="00774BCA" w:rsidRDefault="00774BCA" w:rsidP="00286DA8">
      <w:pPr>
        <w:pStyle w:val="SingleTxtG"/>
      </w:pPr>
      <w:r>
        <w:rPr>
          <w:lang w:val="fr-FR"/>
        </w:rPr>
        <w:t>Émanant de : Nom de l’autorité d’homologation de type</w:t>
      </w:r>
      <w:r w:rsidR="00AD1936">
        <w:rPr>
          <w:lang w:val="fr-FR"/>
        </w:rPr>
        <w:t> </w:t>
      </w:r>
      <w:r>
        <w:rPr>
          <w:lang w:val="fr-FR"/>
        </w:rPr>
        <w:t>:</w:t>
      </w:r>
    </w:p>
    <w:p w:rsidR="00774BCA" w:rsidRDefault="00286DA8" w:rsidP="00286DA8">
      <w:pPr>
        <w:pStyle w:val="SingleTxtG"/>
      </w:pPr>
      <w:r>
        <w:t>…</w:t>
      </w:r>
    </w:p>
    <w:p w:rsidR="00286DA8" w:rsidRPr="00F7761E" w:rsidRDefault="00286DA8" w:rsidP="00286DA8">
      <w:pPr>
        <w:pStyle w:val="SingleTxtG"/>
      </w:pPr>
      <w:r>
        <w:t>…</w:t>
      </w:r>
    </w:p>
    <w:p w:rsidR="00774BCA" w:rsidRPr="00F7761E" w:rsidRDefault="00774BCA" w:rsidP="00286DA8">
      <w:pPr>
        <w:pStyle w:val="SingleTxtG"/>
      </w:pPr>
      <w:r>
        <w:rPr>
          <w:lang w:val="fr-FR"/>
        </w:rPr>
        <w:t xml:space="preserve">d’une usine de rechapage, en application du Règlement </w:t>
      </w:r>
      <w:r w:rsidR="00AD1936">
        <w:rPr>
          <w:lang w:val="fr-FR"/>
        </w:rPr>
        <w:t xml:space="preserve">ONU </w:t>
      </w:r>
      <w:r>
        <w:rPr>
          <w:lang w:val="fr-FR"/>
        </w:rPr>
        <w:t>n</w:t>
      </w:r>
      <w:r w:rsidRPr="00327B88">
        <w:rPr>
          <w:vertAlign w:val="superscript"/>
          <w:lang w:val="fr-FR"/>
        </w:rPr>
        <w:t>o</w:t>
      </w:r>
      <w:r w:rsidR="00026FB7" w:rsidRPr="00026FB7">
        <w:rPr>
          <w:lang w:val="fr-FR"/>
        </w:rPr>
        <w:t> </w:t>
      </w:r>
      <w:r>
        <w:rPr>
          <w:lang w:val="fr-FR"/>
        </w:rPr>
        <w:t>109.</w:t>
      </w:r>
    </w:p>
    <w:p w:rsidR="00774BCA" w:rsidRPr="00F7761E" w:rsidRDefault="00774BCA" w:rsidP="00026FB7">
      <w:pPr>
        <w:pStyle w:val="SingleTxtG"/>
        <w:keepNext/>
        <w:rPr>
          <w:rFonts w:eastAsia="HGMaruGothicMPRO"/>
        </w:rPr>
      </w:pPr>
      <w:r>
        <w:rPr>
          <w:i/>
          <w:iCs/>
          <w:lang w:val="fr-FR"/>
        </w:rPr>
        <w:t>Point 1</w:t>
      </w:r>
      <w:r>
        <w:rPr>
          <w:lang w:val="fr-FR"/>
        </w:rPr>
        <w:t>, modifier comme suit :</w:t>
      </w:r>
    </w:p>
    <w:p w:rsidR="00C6515F" w:rsidRDefault="00026FB7" w:rsidP="00C6515F">
      <w:pPr>
        <w:tabs>
          <w:tab w:val="left" w:pos="1701"/>
          <w:tab w:val="left" w:leader="dot" w:pos="8504"/>
        </w:tabs>
        <w:spacing w:after="120"/>
        <w:ind w:left="1701" w:right="1134" w:hanging="567"/>
        <w:mirrorIndents/>
        <w:jc w:val="both"/>
        <w:rPr>
          <w:lang w:val="fr-FR"/>
        </w:rPr>
      </w:pPr>
      <w:r>
        <w:rPr>
          <w:lang w:val="fr-FR"/>
        </w:rPr>
        <w:t>1.</w:t>
      </w:r>
      <w:r w:rsidR="004A2A02">
        <w:rPr>
          <w:lang w:val="fr-FR"/>
        </w:rPr>
        <w:tab/>
      </w:r>
      <w:r w:rsidR="00774BCA">
        <w:rPr>
          <w:lang w:val="fr-FR"/>
        </w:rPr>
        <w:t>Nom et adress</w:t>
      </w:r>
      <w:r>
        <w:rPr>
          <w:lang w:val="fr-FR"/>
        </w:rPr>
        <w:t>e de l’entreprise de rechapage :</w:t>
      </w:r>
      <w:r w:rsidR="004A2A02">
        <w:rPr>
          <w:lang w:val="fr-FR"/>
        </w:rPr>
        <w:tab/>
      </w:r>
      <w:r w:rsidR="00C6515F">
        <w:rPr>
          <w:lang w:val="fr-FR"/>
        </w:rPr>
        <w:br/>
      </w:r>
      <w:r w:rsidR="00C6515F">
        <w:rPr>
          <w:lang w:val="fr-FR"/>
        </w:rPr>
        <w:tab/>
      </w:r>
      <w:r w:rsidR="00C6515F">
        <w:rPr>
          <w:lang w:val="fr-FR"/>
        </w:rPr>
        <w:br/>
      </w:r>
      <w:r w:rsidR="00C6515F">
        <w:rPr>
          <w:lang w:val="fr-FR"/>
        </w:rPr>
        <w:tab/>
      </w:r>
    </w:p>
    <w:p w:rsidR="00774BCA" w:rsidRPr="00F7761E" w:rsidRDefault="00774BCA" w:rsidP="00C6515F">
      <w:pPr>
        <w:pStyle w:val="SingleTxtG"/>
        <w:keepNext/>
        <w:rPr>
          <w:rFonts w:eastAsia="HGMaruGothicMPRO"/>
        </w:rPr>
      </w:pPr>
      <w:r>
        <w:rPr>
          <w:i/>
          <w:iCs/>
          <w:lang w:val="fr-FR"/>
        </w:rPr>
        <w:t>Point 4</w:t>
      </w:r>
      <w:r>
        <w:rPr>
          <w:lang w:val="fr-FR"/>
        </w:rPr>
        <w:t>, modifier comme suit (y</w:t>
      </w:r>
      <w:r w:rsidR="00AD1936">
        <w:rPr>
          <w:lang w:val="fr-FR"/>
        </w:rPr>
        <w:t> </w:t>
      </w:r>
      <w:r>
        <w:rPr>
          <w:lang w:val="fr-FR"/>
        </w:rPr>
        <w:t xml:space="preserve">compris en ajoutant une </w:t>
      </w:r>
      <w:r w:rsidR="00C6515F">
        <w:rPr>
          <w:lang w:val="fr-FR"/>
        </w:rPr>
        <w:t>nouvelle note de bas de page 3) :</w:t>
      </w:r>
    </w:p>
    <w:p w:rsidR="00774BCA" w:rsidRPr="00F7761E" w:rsidRDefault="00774BCA" w:rsidP="00A67020">
      <w:pPr>
        <w:tabs>
          <w:tab w:val="left" w:pos="1701"/>
          <w:tab w:val="left" w:leader="dot" w:pos="8504"/>
        </w:tabs>
        <w:spacing w:after="120"/>
        <w:ind w:left="1701" w:right="1134" w:hanging="567"/>
        <w:mirrorIndents/>
        <w:jc w:val="both"/>
        <w:rPr>
          <w:rFonts w:eastAsia="HGMaruGothicMPRO"/>
        </w:rPr>
      </w:pPr>
      <w:r>
        <w:rPr>
          <w:lang w:val="fr-FR"/>
        </w:rPr>
        <w:t>4.</w:t>
      </w:r>
      <w:r>
        <w:rPr>
          <w:lang w:val="fr-FR"/>
        </w:rPr>
        <w:tab/>
        <w:t>Description sommaire définie aux paragraphes 4.1.3, 4.1.</w:t>
      </w:r>
      <w:r w:rsidR="00AD1936">
        <w:rPr>
          <w:lang w:val="fr-FR"/>
        </w:rPr>
        <w:t>4 et 4.1.5 du présent Règlement </w:t>
      </w:r>
      <w:r>
        <w:rPr>
          <w:lang w:val="fr-FR"/>
        </w:rPr>
        <w:t>:</w:t>
      </w:r>
    </w:p>
    <w:p w:rsidR="00A34063" w:rsidRDefault="00774BCA" w:rsidP="00A34063">
      <w:pPr>
        <w:tabs>
          <w:tab w:val="left" w:pos="1701"/>
          <w:tab w:val="left" w:leader="dot" w:pos="8504"/>
        </w:tabs>
        <w:spacing w:after="120"/>
        <w:ind w:left="1701" w:right="1134" w:hanging="567"/>
        <w:mirrorIndents/>
        <w:rPr>
          <w:lang w:val="fr-FR"/>
        </w:rPr>
      </w:pPr>
      <w:r>
        <w:rPr>
          <w:lang w:val="fr-FR"/>
        </w:rPr>
        <w:t>4.1</w:t>
      </w:r>
      <w:r>
        <w:rPr>
          <w:lang w:val="fr-FR"/>
        </w:rPr>
        <w:tab/>
        <w:t>Nom(s) de marque/marque(s) de fabrique</w:t>
      </w:r>
      <w:r w:rsidRPr="00A34063">
        <w:rPr>
          <w:sz w:val="18"/>
          <w:szCs w:val="18"/>
          <w:vertAlign w:val="superscript"/>
          <w:lang w:val="fr-FR"/>
        </w:rPr>
        <w:t>3</w:t>
      </w:r>
      <w:r w:rsidR="008A4D1C">
        <w:rPr>
          <w:lang w:val="fr-FR"/>
        </w:rPr>
        <w:t> </w:t>
      </w:r>
      <w:r w:rsidR="00A34063">
        <w:rPr>
          <w:lang w:val="fr-FR"/>
        </w:rPr>
        <w:t xml:space="preserve">: </w:t>
      </w:r>
      <w:r w:rsidR="00A34063">
        <w:rPr>
          <w:lang w:val="fr-FR"/>
        </w:rPr>
        <w:tab/>
      </w:r>
    </w:p>
    <w:p w:rsidR="00774BCA" w:rsidRPr="00F7761E" w:rsidRDefault="00774BCA" w:rsidP="00A34063">
      <w:pPr>
        <w:tabs>
          <w:tab w:val="left" w:pos="1701"/>
          <w:tab w:val="left" w:leader="dot" w:pos="8504"/>
        </w:tabs>
        <w:spacing w:after="120"/>
        <w:ind w:left="1701" w:right="1134" w:hanging="567"/>
        <w:mirrorIndents/>
        <w:rPr>
          <w:rFonts w:eastAsia="HGMaruGothicMPRO"/>
        </w:rPr>
      </w:pPr>
      <w:r>
        <w:rPr>
          <w:lang w:val="fr-FR"/>
        </w:rPr>
        <w:t>4.2</w:t>
      </w:r>
      <w:r>
        <w:rPr>
          <w:lang w:val="fr-FR"/>
        </w:rPr>
        <w:tab/>
        <w:t xml:space="preserve">Désignation(s) commerciale(s)/nom(s) </w:t>
      </w:r>
      <w:r w:rsidR="008A4D1C">
        <w:rPr>
          <w:lang w:val="fr-FR"/>
        </w:rPr>
        <w:t>c</w:t>
      </w:r>
      <w:r>
        <w:rPr>
          <w:lang w:val="fr-FR"/>
        </w:rPr>
        <w:t>ommercial(aux)</w:t>
      </w:r>
      <w:r>
        <w:rPr>
          <w:vertAlign w:val="superscript"/>
          <w:lang w:val="fr-FR"/>
        </w:rPr>
        <w:t>3</w:t>
      </w:r>
      <w:r w:rsidR="008A4D1C" w:rsidRPr="008A4D1C">
        <w:rPr>
          <w:lang w:val="fr-FR"/>
        </w:rPr>
        <w:t> </w:t>
      </w:r>
      <w:r>
        <w:rPr>
          <w:lang w:val="fr-FR"/>
        </w:rPr>
        <w:t>:</w:t>
      </w:r>
      <w:r w:rsidR="008A4D1C">
        <w:rPr>
          <w:lang w:val="fr-FR"/>
        </w:rPr>
        <w:t xml:space="preserve"> </w:t>
      </w:r>
      <w:r w:rsidR="008A4D1C">
        <w:rPr>
          <w:lang w:val="fr-FR"/>
        </w:rPr>
        <w:tab/>
      </w:r>
    </w:p>
    <w:p w:rsidR="008A4D1C" w:rsidRDefault="00774BCA" w:rsidP="008A4D1C">
      <w:pPr>
        <w:tabs>
          <w:tab w:val="left" w:pos="1701"/>
          <w:tab w:val="left" w:leader="dot" w:pos="8504"/>
        </w:tabs>
        <w:spacing w:after="120"/>
        <w:ind w:left="1701" w:right="1134" w:hanging="567"/>
        <w:mirrorIndents/>
        <w:jc w:val="both"/>
        <w:rPr>
          <w:lang w:val="fr-FR"/>
        </w:rPr>
      </w:pPr>
      <w:r>
        <w:rPr>
          <w:lang w:val="fr-FR"/>
        </w:rPr>
        <w:t xml:space="preserve">4.3 </w:t>
      </w:r>
      <w:r>
        <w:rPr>
          <w:lang w:val="fr-FR"/>
        </w:rPr>
        <w:tab/>
        <w:t>Renseignements relatifs à la gamme de pneumati</w:t>
      </w:r>
      <w:r w:rsidR="008A4D1C">
        <w:rPr>
          <w:lang w:val="fr-FR"/>
        </w:rPr>
        <w:t xml:space="preserve">ques visée au paragraphe 4.1.5 </w:t>
      </w:r>
      <w:r w:rsidR="00AD1936">
        <w:rPr>
          <w:lang w:val="fr-FR"/>
        </w:rPr>
        <w:t>du présent Règlement </w:t>
      </w:r>
      <w:r>
        <w:rPr>
          <w:lang w:val="fr-FR"/>
        </w:rPr>
        <w:t>:</w:t>
      </w:r>
      <w:r w:rsidR="008A4D1C">
        <w:rPr>
          <w:lang w:val="fr-FR"/>
        </w:rPr>
        <w:t xml:space="preserve"> </w:t>
      </w:r>
      <w:r w:rsidR="008A4D1C">
        <w:rPr>
          <w:lang w:val="fr-FR"/>
        </w:rPr>
        <w:tab/>
      </w:r>
    </w:p>
    <w:p w:rsidR="008A4D1C" w:rsidRPr="00AC3823" w:rsidRDefault="008A4D1C" w:rsidP="008A4D1C">
      <w:pPr>
        <w:pStyle w:val="Footer"/>
        <w:tabs>
          <w:tab w:val="right" w:pos="2155"/>
        </w:tabs>
        <w:spacing w:after="80" w:line="240" w:lineRule="atLeast"/>
        <w:ind w:left="680"/>
        <w:rPr>
          <w:u w:val="single"/>
        </w:rPr>
      </w:pPr>
      <w:r>
        <w:rPr>
          <w:u w:val="single"/>
        </w:rPr>
        <w:tab/>
      </w:r>
    </w:p>
    <w:p w:rsidR="00774BCA" w:rsidRPr="00F7761E" w:rsidRDefault="00933DD1" w:rsidP="00AA5C97">
      <w:pPr>
        <w:tabs>
          <w:tab w:val="left" w:pos="1701"/>
          <w:tab w:val="left" w:leader="dot" w:pos="8504"/>
        </w:tabs>
        <w:spacing w:after="120"/>
        <w:ind w:left="1418" w:right="1134" w:hanging="284"/>
        <w:mirrorIndents/>
        <w:rPr>
          <w:rFonts w:eastAsia="HGMaruGothicMPRO"/>
          <w:sz w:val="18"/>
          <w:szCs w:val="18"/>
        </w:rPr>
      </w:pPr>
      <w:r w:rsidRPr="00933DD1">
        <w:rPr>
          <w:sz w:val="18"/>
          <w:szCs w:val="18"/>
          <w:vertAlign w:val="superscript"/>
          <w:lang w:val="fr-FR"/>
        </w:rPr>
        <w:t>3</w:t>
      </w:r>
      <w:r w:rsidRPr="00933DD1">
        <w:rPr>
          <w:sz w:val="18"/>
          <w:szCs w:val="18"/>
          <w:vertAlign w:val="superscript"/>
          <w:lang w:val="fr-FR"/>
        </w:rPr>
        <w:tab/>
      </w:r>
      <w:r w:rsidR="00774BCA" w:rsidRPr="00933DD1">
        <w:rPr>
          <w:sz w:val="18"/>
          <w:szCs w:val="18"/>
          <w:lang w:val="fr-FR"/>
        </w:rPr>
        <w:t>Une liste des noms de marques/marques de fabrique ou de désignations commerciales/noms commerciaux peut être jointe en annexe à la présente communication.</w:t>
      </w:r>
      <w:r w:rsidR="00AD1936">
        <w:rPr>
          <w:sz w:val="18"/>
          <w:szCs w:val="18"/>
          <w:lang w:val="fr-FR"/>
        </w:rPr>
        <w:t> </w:t>
      </w:r>
      <w:r w:rsidR="00774BCA">
        <w:rPr>
          <w:lang w:val="fr-FR"/>
        </w:rPr>
        <w:t>».</w:t>
      </w:r>
    </w:p>
    <w:p w:rsidR="00774BCA" w:rsidRPr="00D078FD" w:rsidRDefault="00774BCA" w:rsidP="006408A7">
      <w:pPr>
        <w:pStyle w:val="SingleTxtG"/>
        <w:spacing w:before="240"/>
        <w:rPr>
          <w:rFonts w:eastAsia="HGMaruGothicMPRO"/>
        </w:rPr>
      </w:pPr>
      <w:r w:rsidRPr="006408A7">
        <w:rPr>
          <w:i/>
          <w:iCs/>
          <w:lang w:val="fr-FR"/>
        </w:rPr>
        <w:t>Annexe 3</w:t>
      </w:r>
      <w:r w:rsidR="00AD1936">
        <w:rPr>
          <w:lang w:val="fr-FR"/>
        </w:rPr>
        <w:t>, lire </w:t>
      </w:r>
      <w:r>
        <w:rPr>
          <w:lang w:val="fr-FR"/>
        </w:rPr>
        <w:t>:</w:t>
      </w:r>
    </w:p>
    <w:p w:rsidR="00774BCA" w:rsidRPr="00D078FD" w:rsidRDefault="00931599" w:rsidP="00774BCA">
      <w:pPr>
        <w:suppressAutoHyphens w:val="0"/>
        <w:spacing w:after="120" w:line="240" w:lineRule="auto"/>
        <w:ind w:left="1134" w:right="1134"/>
        <w:mirrorIndents/>
        <w:rPr>
          <w:rFonts w:eastAsia="HGMaruGothicMPRO"/>
        </w:rPr>
      </w:pPr>
      <w:r>
        <w:rPr>
          <w:lang w:val="fr-FR"/>
        </w:rPr>
        <w:t>« …</w:t>
      </w:r>
    </w:p>
    <w:p w:rsidR="00774BCA" w:rsidRPr="0026604A" w:rsidRDefault="00774BCA" w:rsidP="00931599">
      <w:pPr>
        <w:pStyle w:val="SingleTxtG"/>
        <w:rPr>
          <w:rFonts w:eastAsia="HGMaruGothicMPRO"/>
        </w:rPr>
      </w:pPr>
      <w:r>
        <w:rPr>
          <w:lang w:val="fr-FR"/>
        </w:rPr>
        <w:t>Ces inscriptions définissent un pneumatique rechapé</w:t>
      </w:r>
      <w:r w:rsidR="00AD1936">
        <w:rPr>
          <w:lang w:val="fr-FR"/>
        </w:rPr>
        <w:t> </w:t>
      </w:r>
      <w:r>
        <w:rPr>
          <w:lang w:val="fr-FR"/>
        </w:rPr>
        <w:t>:</w:t>
      </w:r>
    </w:p>
    <w:p w:rsidR="00774BCA" w:rsidRDefault="00774BCA" w:rsidP="00931599">
      <w:pPr>
        <w:pStyle w:val="Bullet1G"/>
        <w:rPr>
          <w:rFonts w:eastAsia="HGMaruGothicMPRO"/>
        </w:rPr>
      </w:pPr>
      <w:r>
        <w:rPr>
          <w:lang w:val="fr-FR"/>
        </w:rPr>
        <w:t xml:space="preserve">Ayant une grosseur </w:t>
      </w:r>
      <w:r w:rsidR="00AD1936">
        <w:rPr>
          <w:lang w:val="fr-FR"/>
        </w:rPr>
        <w:t>nominale de 295 </w:t>
      </w:r>
      <w:r>
        <w:rPr>
          <w:lang w:val="fr-FR"/>
        </w:rPr>
        <w:t>;</w:t>
      </w:r>
    </w:p>
    <w:p w:rsidR="00774BCA" w:rsidRDefault="00774BCA" w:rsidP="00931599">
      <w:pPr>
        <w:pStyle w:val="Bullet1G"/>
        <w:rPr>
          <w:rFonts w:eastAsia="HGMaruGothicMPRO"/>
        </w:rPr>
      </w:pPr>
      <w:r>
        <w:rPr>
          <w:lang w:val="fr-FR"/>
        </w:rPr>
        <w:t>Ayant …</w:t>
      </w:r>
    </w:p>
    <w:p w:rsidR="00774BCA" w:rsidRDefault="00931599" w:rsidP="00931599">
      <w:pPr>
        <w:pStyle w:val="SingleTxtG"/>
        <w:ind w:left="1531"/>
        <w:rPr>
          <w:rFonts w:eastAsia="HGMaruGothicMPRO"/>
        </w:rPr>
      </w:pPr>
      <w:r>
        <w:rPr>
          <w:lang w:val="fr-FR"/>
        </w:rPr>
        <w:t>…</w:t>
      </w:r>
    </w:p>
    <w:p w:rsidR="00774BCA" w:rsidRPr="00057886" w:rsidRDefault="00774BCA" w:rsidP="000D63A5">
      <w:pPr>
        <w:tabs>
          <w:tab w:val="left" w:pos="1701"/>
          <w:tab w:val="left" w:leader="dot" w:pos="8504"/>
        </w:tabs>
        <w:spacing w:after="120"/>
        <w:ind w:left="1701" w:right="1134" w:hanging="567"/>
        <w:mirrorIndents/>
        <w:jc w:val="both"/>
        <w:rPr>
          <w:rFonts w:eastAsia="HGMaruGothicMPRO"/>
        </w:rPr>
      </w:pPr>
      <w:r>
        <w:rPr>
          <w:lang w:val="fr-FR"/>
        </w:rPr>
        <w:t>3.</w:t>
      </w:r>
      <w:r>
        <w:rPr>
          <w:lang w:val="fr-FR"/>
        </w:rPr>
        <w:tab/>
        <w:t>L’emplacement et l’ordre des inscriptions composant la désignation du pneumatique doivent être les suivants</w:t>
      </w:r>
      <w:r w:rsidR="00AD1936">
        <w:rPr>
          <w:lang w:val="fr-FR"/>
        </w:rPr>
        <w:t> </w:t>
      </w:r>
      <w:r>
        <w:rPr>
          <w:lang w:val="fr-FR"/>
        </w:rPr>
        <w:t>:</w:t>
      </w:r>
    </w:p>
    <w:p w:rsidR="00774BCA" w:rsidRPr="00057886" w:rsidRDefault="00774BCA" w:rsidP="000D63A5">
      <w:pPr>
        <w:pStyle w:val="SingleTxtG"/>
        <w:ind w:left="2268" w:hanging="567"/>
        <w:rPr>
          <w:rFonts w:eastAsia="HGMaruGothicMPRO"/>
        </w:rPr>
      </w:pPr>
      <w:r>
        <w:rPr>
          <w:lang w:val="fr-FR"/>
        </w:rPr>
        <w:t>a)</w:t>
      </w:r>
      <w:r>
        <w:rPr>
          <w:lang w:val="fr-FR"/>
        </w:rPr>
        <w:tab/>
        <w:t>Les désignations des dimensions définies au paragraphe 2 du présent Règlement doivent être groupées comme indiqué dans les exemples ci</w:t>
      </w:r>
      <w:r w:rsidR="00AA5C97">
        <w:rPr>
          <w:lang w:val="fr-FR"/>
        </w:rPr>
        <w:noBreakHyphen/>
      </w:r>
      <w:r>
        <w:rPr>
          <w:lang w:val="fr-FR"/>
        </w:rPr>
        <w:t>dessu</w:t>
      </w:r>
      <w:r w:rsidR="00AA5C97">
        <w:rPr>
          <w:lang w:val="fr-FR"/>
        </w:rPr>
        <w:t>s </w:t>
      </w:r>
      <w:r>
        <w:rPr>
          <w:lang w:val="fr-FR"/>
        </w:rPr>
        <w:t>: 295/80 R 22.5 ou 235-700 R 450 A</w:t>
      </w:r>
      <w:r w:rsidR="00AD1936">
        <w:rPr>
          <w:lang w:val="fr-FR"/>
        </w:rPr>
        <w:t> </w:t>
      </w:r>
      <w:r>
        <w:rPr>
          <w:lang w:val="fr-FR"/>
        </w:rPr>
        <w:t>;</w:t>
      </w:r>
    </w:p>
    <w:p w:rsidR="00774BCA" w:rsidRPr="00057886" w:rsidRDefault="00774BCA" w:rsidP="000D63A5">
      <w:pPr>
        <w:pStyle w:val="SingleTxtG"/>
        <w:ind w:left="2268" w:hanging="567"/>
        <w:rPr>
          <w:rFonts w:eastAsia="HGMaruGothicMPRO"/>
        </w:rPr>
      </w:pPr>
      <w:r>
        <w:rPr>
          <w:lang w:val="fr-FR"/>
        </w:rPr>
        <w:t>b)</w:t>
      </w:r>
      <w:r>
        <w:rPr>
          <w:lang w:val="fr-FR"/>
        </w:rPr>
        <w:tab/>
        <w:t>La description de service comportant l’indice (ou les indices) de charge et le code (ou les codes) de vitesse sont placés immédiatement après la désignation de la dimension définie au paragraphe 2 du présent Règlement</w:t>
      </w:r>
      <w:r w:rsidR="00AD1936">
        <w:rPr>
          <w:lang w:val="fr-FR"/>
        </w:rPr>
        <w:t> </w:t>
      </w:r>
      <w:r>
        <w:rPr>
          <w:lang w:val="fr-FR"/>
        </w:rPr>
        <w:t>;</w:t>
      </w:r>
    </w:p>
    <w:p w:rsidR="00774BCA" w:rsidRPr="00057886" w:rsidRDefault="00AD1936" w:rsidP="000D63A5">
      <w:pPr>
        <w:pStyle w:val="SingleTxtG"/>
        <w:ind w:left="2268" w:hanging="567"/>
        <w:rPr>
          <w:rFonts w:eastAsia="HGMaruGothicMPRO"/>
        </w:rPr>
      </w:pPr>
      <w:r>
        <w:rPr>
          <w:lang w:val="fr-FR"/>
        </w:rPr>
        <w:t>c)</w:t>
      </w:r>
      <w:r>
        <w:rPr>
          <w:lang w:val="fr-FR"/>
        </w:rPr>
        <w:tab/>
      </w:r>
      <w:r w:rsidR="00774BCA">
        <w:rPr>
          <w:lang w:val="fr-FR"/>
        </w:rPr>
        <w:t>La mention “TUBELESS” et la mention “M+S” peuvent être à une certaine distance du symbole désignant la dimension</w:t>
      </w:r>
      <w:r>
        <w:rPr>
          <w:lang w:val="fr-FR"/>
        </w:rPr>
        <w:t> </w:t>
      </w:r>
      <w:r w:rsidR="00774BCA">
        <w:rPr>
          <w:lang w:val="fr-FR"/>
        </w:rPr>
        <w:t>;</w:t>
      </w:r>
    </w:p>
    <w:p w:rsidR="00774BCA" w:rsidRPr="00057886" w:rsidRDefault="00774BCA" w:rsidP="000D63A5">
      <w:pPr>
        <w:pStyle w:val="SingleTxtG"/>
        <w:ind w:left="2268" w:hanging="567"/>
        <w:rPr>
          <w:rFonts w:eastAsia="HGMaruGothicMPRO"/>
        </w:rPr>
      </w:pPr>
      <w:r>
        <w:rPr>
          <w:lang w:val="fr-FR"/>
        </w:rPr>
        <w:t>d)</w:t>
      </w:r>
      <w:r>
        <w:rPr>
          <w:lang w:val="fr-FR"/>
        </w:rPr>
        <w:tab/>
        <w:t>La mention “RECHAPÉ” peut figurer à une certaine distance</w:t>
      </w:r>
      <w:r w:rsidR="00AD1936">
        <w:rPr>
          <w:lang w:val="fr-FR"/>
        </w:rPr>
        <w:t xml:space="preserve"> du code désignant la dimension </w:t>
      </w:r>
      <w:r>
        <w:rPr>
          <w:lang w:val="fr-FR"/>
        </w:rPr>
        <w:t>;</w:t>
      </w:r>
    </w:p>
    <w:p w:rsidR="00774BCA" w:rsidRDefault="00774BCA" w:rsidP="000D63A5">
      <w:pPr>
        <w:pStyle w:val="SingleTxtG"/>
        <w:ind w:left="2268" w:hanging="567"/>
        <w:rPr>
          <w:rFonts w:eastAsia="HGMaruGothicMPRO"/>
        </w:rPr>
      </w:pPr>
      <w:r>
        <w:rPr>
          <w:lang w:val="fr-FR"/>
        </w:rPr>
        <w:t>e)</w:t>
      </w:r>
      <w:r>
        <w:rPr>
          <w:lang w:val="fr-FR"/>
        </w:rPr>
        <w:tab/>
        <w:t>Si le paragraphe 3.2.6 du présent Règlement est appliqué, la description de service supplémentaire (point unique) comprenant les indices de charge et le code de vitesse, doit apparaître dans un cercle situé près de la description nominale de service qui apparaît sur le flanc du pneu.</w:t>
      </w:r>
    </w:p>
    <w:p w:rsidR="00774BCA" w:rsidRDefault="000D63A5" w:rsidP="000D63A5">
      <w:pPr>
        <w:pStyle w:val="SingleTxtG"/>
        <w:ind w:left="2268" w:hanging="567"/>
        <w:rPr>
          <w:rFonts w:eastAsia="HGMaruGothicMPRO"/>
        </w:rPr>
      </w:pPr>
      <w:r>
        <w:rPr>
          <w:lang w:val="fr-FR"/>
        </w:rPr>
        <w:t>…</w:t>
      </w:r>
      <w:r w:rsidR="00774BCA">
        <w:rPr>
          <w:lang w:val="fr-FR"/>
        </w:rPr>
        <w:t> ».</w:t>
      </w:r>
    </w:p>
    <w:p w:rsidR="00774BCA" w:rsidRPr="00D078FD" w:rsidRDefault="00774BCA" w:rsidP="00FB6B9E">
      <w:pPr>
        <w:pStyle w:val="SingleTxtG"/>
        <w:keepNext/>
        <w:rPr>
          <w:rFonts w:eastAsia="HGMaruGothicMPRO"/>
        </w:rPr>
      </w:pPr>
      <w:r w:rsidRPr="00FB6B9E">
        <w:rPr>
          <w:i/>
          <w:lang w:val="fr-FR"/>
        </w:rPr>
        <w:t>Annexe 6</w:t>
      </w:r>
      <w:r>
        <w:rPr>
          <w:lang w:val="fr-FR"/>
        </w:rPr>
        <w:t xml:space="preserve">, </w:t>
      </w:r>
      <w:r w:rsidRPr="00AA5C97">
        <w:rPr>
          <w:i/>
          <w:lang w:val="fr-FR"/>
        </w:rPr>
        <w:t>titre,</w:t>
      </w:r>
      <w:r w:rsidR="00AD1936">
        <w:rPr>
          <w:lang w:val="fr-FR"/>
        </w:rPr>
        <w:t xml:space="preserve"> lire </w:t>
      </w:r>
      <w:r>
        <w:rPr>
          <w:lang w:val="fr-FR"/>
        </w:rPr>
        <w:t>:</w:t>
      </w:r>
    </w:p>
    <w:p w:rsidR="00774BCA" w:rsidRPr="0026604A" w:rsidRDefault="00774BCA" w:rsidP="00774BCA">
      <w:pPr>
        <w:pStyle w:val="SingleTxtG"/>
        <w:rPr>
          <w:rFonts w:eastAsia="HGMaruGothicMPRO"/>
        </w:rPr>
      </w:pPr>
      <w:r>
        <w:rPr>
          <w:lang w:val="fr-FR"/>
        </w:rPr>
        <w:t>«</w:t>
      </w:r>
      <w:r w:rsidR="00AD1936">
        <w:rPr>
          <w:lang w:val="fr-FR"/>
        </w:rPr>
        <w:t> </w:t>
      </w:r>
      <w:r>
        <w:rPr>
          <w:lang w:val="fr-FR"/>
        </w:rPr>
        <w:t>Mét</w:t>
      </w:r>
      <w:r w:rsidR="00AD1936">
        <w:rPr>
          <w:lang w:val="fr-FR"/>
        </w:rPr>
        <w:t>hode de mesure des pneumatiques </w:t>
      </w:r>
      <w:r>
        <w:rPr>
          <w:lang w:val="fr-FR"/>
        </w:rPr>
        <w:t>».</w:t>
      </w:r>
    </w:p>
    <w:p w:rsidR="00774BCA" w:rsidRPr="00D078FD" w:rsidRDefault="00774BCA" w:rsidP="00FB6B9E">
      <w:pPr>
        <w:pStyle w:val="SingleTxtG"/>
        <w:keepNext/>
        <w:rPr>
          <w:rFonts w:eastAsia="HGMaruGothicMPRO"/>
        </w:rPr>
      </w:pPr>
      <w:r>
        <w:rPr>
          <w:i/>
          <w:iCs/>
          <w:lang w:val="fr-FR"/>
        </w:rPr>
        <w:t>Annexe 7</w:t>
      </w:r>
      <w:r>
        <w:rPr>
          <w:lang w:val="fr-FR"/>
        </w:rPr>
        <w:t>, lire</w:t>
      </w:r>
      <w:r w:rsidR="00AD1936">
        <w:rPr>
          <w:lang w:val="fr-FR"/>
        </w:rPr>
        <w:t> </w:t>
      </w:r>
      <w:r>
        <w:rPr>
          <w:lang w:val="fr-FR"/>
        </w:rPr>
        <w:t>:</w:t>
      </w:r>
    </w:p>
    <w:p w:rsidR="00774BCA" w:rsidRPr="00007060" w:rsidRDefault="00AD1936" w:rsidP="00CF117F">
      <w:pPr>
        <w:pStyle w:val="SingleTxtG"/>
        <w:ind w:left="2268" w:hanging="1134"/>
        <w:rPr>
          <w:rFonts w:eastAsia="HGMaruGothicMPRO"/>
          <w:bCs/>
        </w:rPr>
      </w:pPr>
      <w:r>
        <w:rPr>
          <w:lang w:val="fr-FR"/>
        </w:rPr>
        <w:t>« </w:t>
      </w:r>
      <w:r w:rsidR="00774BCA">
        <w:rPr>
          <w:lang w:val="fr-FR"/>
        </w:rPr>
        <w:t>1.</w:t>
      </w:r>
      <w:r w:rsidR="00774BCA">
        <w:rPr>
          <w:lang w:val="fr-FR"/>
        </w:rPr>
        <w:tab/>
        <w:t>Préparation du pneu</w:t>
      </w:r>
    </w:p>
    <w:p w:rsidR="00774BCA" w:rsidRPr="00007060" w:rsidRDefault="00FB6B9E" w:rsidP="00FB6B9E">
      <w:pPr>
        <w:pStyle w:val="SingleTxtG"/>
        <w:ind w:left="2268"/>
        <w:rPr>
          <w:rFonts w:eastAsia="HGMaruGothicMPRO"/>
        </w:rPr>
      </w:pPr>
      <w:r>
        <w:rPr>
          <w:lang w:val="fr-FR"/>
        </w:rPr>
        <w:t>…</w:t>
      </w:r>
    </w:p>
    <w:p w:rsidR="00774BCA" w:rsidRPr="00007060" w:rsidRDefault="00774BCA" w:rsidP="00CF117F">
      <w:pPr>
        <w:pStyle w:val="SingleTxtG"/>
        <w:ind w:left="2268" w:hanging="1134"/>
        <w:rPr>
          <w:rFonts w:eastAsia="HGMaruGothicMPRO"/>
        </w:rPr>
      </w:pPr>
      <w:r>
        <w:rPr>
          <w:lang w:val="fr-FR"/>
        </w:rPr>
        <w:t>1.3</w:t>
      </w:r>
      <w:r>
        <w:rPr>
          <w:lang w:val="fr-FR"/>
        </w:rPr>
        <w:tab/>
        <w:t>Gonfler le pneumatique à la pression correspondant à l’indice de pression spécifié au paragraphe 3.2.11 du présent Règlement.</w:t>
      </w:r>
    </w:p>
    <w:p w:rsidR="00774BCA" w:rsidRPr="00007060" w:rsidRDefault="00774BCA" w:rsidP="00CF117F">
      <w:pPr>
        <w:pStyle w:val="SingleTxtG"/>
        <w:ind w:left="2268" w:hanging="1134"/>
        <w:rPr>
          <w:rFonts w:eastAsia="HGMaruGothicMPRO"/>
        </w:rPr>
      </w:pPr>
      <w:r>
        <w:rPr>
          <w:lang w:val="fr-FR"/>
        </w:rPr>
        <w:t>1.4</w:t>
      </w:r>
      <w:r>
        <w:rPr>
          <w:lang w:val="fr-FR"/>
        </w:rPr>
        <w:tab/>
        <w:t>Conditionner l’ensemble pneumatique et roue à la température ambiante de la salle d’essais pendant au moins 3 h.</w:t>
      </w:r>
    </w:p>
    <w:p w:rsidR="00774BCA" w:rsidRPr="00007060" w:rsidRDefault="00FB6B9E" w:rsidP="00FB6B9E">
      <w:pPr>
        <w:pStyle w:val="SingleTxtG"/>
        <w:ind w:left="2268"/>
        <w:rPr>
          <w:rFonts w:eastAsia="HGMaruGothicMPRO"/>
        </w:rPr>
      </w:pPr>
      <w:r>
        <w:rPr>
          <w:lang w:val="fr-FR"/>
        </w:rPr>
        <w:t>…</w:t>
      </w:r>
    </w:p>
    <w:p w:rsidR="00774BCA" w:rsidRPr="00007060" w:rsidRDefault="00774BCA" w:rsidP="00CF117F">
      <w:pPr>
        <w:pStyle w:val="SingleTxtG"/>
        <w:ind w:left="2268" w:hanging="1134"/>
        <w:rPr>
          <w:rFonts w:eastAsia="HGMaruGothicMPRO"/>
          <w:bCs/>
          <w:iCs/>
        </w:rPr>
      </w:pPr>
      <w:r>
        <w:rPr>
          <w:lang w:val="fr-FR"/>
        </w:rPr>
        <w:t>3.</w:t>
      </w:r>
      <w:r>
        <w:rPr>
          <w:lang w:val="fr-FR"/>
        </w:rPr>
        <w:tab/>
        <w:t>Le programme de l’essai charge/vitesse pour les pneumatiques conçus pour rouler à plus de 150 km/h (symbole de catégorie de vitesse égal ou supérieur à “Q”, plus “H”).</w:t>
      </w:r>
    </w:p>
    <w:p w:rsidR="00774BCA" w:rsidRPr="00007060" w:rsidRDefault="00FB6B9E" w:rsidP="00FB6B9E">
      <w:pPr>
        <w:pStyle w:val="SingleTxtG"/>
        <w:ind w:left="2268"/>
        <w:rPr>
          <w:rFonts w:eastAsia="HGMaruGothicMPRO"/>
          <w:iCs/>
        </w:rPr>
      </w:pPr>
      <w:r>
        <w:rPr>
          <w:lang w:val="fr-FR"/>
        </w:rPr>
        <w:t>…</w:t>
      </w:r>
    </w:p>
    <w:p w:rsidR="00774BCA" w:rsidRPr="00007060" w:rsidRDefault="00774BCA" w:rsidP="00CF117F">
      <w:pPr>
        <w:pStyle w:val="SingleTxtG"/>
        <w:ind w:left="2268" w:hanging="1134"/>
        <w:rPr>
          <w:rFonts w:eastAsia="HGMaruGothicMPRO"/>
          <w:iCs/>
        </w:rPr>
      </w:pPr>
      <w:r>
        <w:rPr>
          <w:lang w:val="fr-FR"/>
        </w:rPr>
        <w:t>3.1.2</w:t>
      </w:r>
      <w:r>
        <w:rPr>
          <w:lang w:val="fr-FR"/>
        </w:rPr>
        <w:tab/>
        <w:t>Aux pneumatiques dont l’indice de charge en montage simple est au minimum de 122 et qui portent la mention supplémentaire “C” ou “LT” visée au paragraphe 3.2.15 du présent Règlement. ».</w:t>
      </w:r>
    </w:p>
    <w:p w:rsidR="00774BCA" w:rsidRPr="00D078FD" w:rsidRDefault="00774BCA" w:rsidP="00F95D7B">
      <w:pPr>
        <w:pStyle w:val="SingleTxtG"/>
        <w:rPr>
          <w:rFonts w:eastAsia="HGMaruGothicMPRO"/>
        </w:rPr>
      </w:pPr>
      <w:r w:rsidRPr="00F95D7B">
        <w:rPr>
          <w:i/>
          <w:lang w:val="fr-FR"/>
        </w:rPr>
        <w:t>Annexe 7, appendice 1, notes</w:t>
      </w:r>
      <w:r w:rsidR="00AD1936">
        <w:rPr>
          <w:lang w:val="fr-FR"/>
        </w:rPr>
        <w:t>, lire </w:t>
      </w:r>
      <w:r>
        <w:rPr>
          <w:lang w:val="fr-FR"/>
        </w:rPr>
        <w:t>:</w:t>
      </w:r>
    </w:p>
    <w:p w:rsidR="00774BCA" w:rsidRPr="00677BC2" w:rsidRDefault="00F95D7B" w:rsidP="00774BCA">
      <w:pPr>
        <w:suppressAutoHyphens w:val="0"/>
        <w:spacing w:line="240" w:lineRule="auto"/>
        <w:ind w:left="1134"/>
        <w:rPr>
          <w:iCs/>
          <w:sz w:val="18"/>
          <w:szCs w:val="18"/>
        </w:rPr>
      </w:pPr>
      <w:r>
        <w:rPr>
          <w:lang w:val="fr-FR"/>
        </w:rPr>
        <w:t>« </w:t>
      </w:r>
      <w:r w:rsidR="00774BCA" w:rsidRPr="00F95D7B">
        <w:rPr>
          <w:i/>
          <w:sz w:val="18"/>
          <w:szCs w:val="18"/>
          <w:lang w:val="fr-FR"/>
        </w:rPr>
        <w:t>Notes</w:t>
      </w:r>
      <w:r w:rsidR="00AD1936">
        <w:rPr>
          <w:i/>
          <w:sz w:val="18"/>
          <w:szCs w:val="18"/>
          <w:lang w:val="fr-FR"/>
        </w:rPr>
        <w:t> </w:t>
      </w:r>
      <w:r w:rsidR="00774BCA" w:rsidRPr="00F95D7B">
        <w:rPr>
          <w:sz w:val="18"/>
          <w:szCs w:val="18"/>
          <w:lang w:val="fr-FR"/>
        </w:rPr>
        <w:t>:</w:t>
      </w:r>
    </w:p>
    <w:p w:rsidR="00774BCA" w:rsidRPr="00F95D7B" w:rsidRDefault="00774BCA" w:rsidP="00774BCA">
      <w:pPr>
        <w:suppressAutoHyphens w:val="0"/>
        <w:spacing w:line="240" w:lineRule="auto"/>
        <w:ind w:left="1134" w:right="1134"/>
        <w:rPr>
          <w:iCs/>
          <w:sz w:val="18"/>
          <w:szCs w:val="18"/>
        </w:rPr>
      </w:pPr>
      <w:r w:rsidRPr="00F95D7B">
        <w:rPr>
          <w:sz w:val="18"/>
          <w:szCs w:val="18"/>
          <w:vertAlign w:val="superscript"/>
          <w:lang w:val="fr-FR"/>
        </w:rPr>
        <w:t>1</w:t>
      </w:r>
      <w:r w:rsidR="002D64EC">
        <w:rPr>
          <w:lang w:val="fr-FR"/>
        </w:rPr>
        <w:t xml:space="preserve">  </w:t>
      </w:r>
      <w:r w:rsidRPr="00F95D7B">
        <w:rPr>
          <w:sz w:val="18"/>
          <w:szCs w:val="18"/>
          <w:lang w:val="fr-FR"/>
        </w:rPr>
        <w:t>Les “pneumatiques spéciaux” (voir par. 2.8 du présent Règlement) doivent être essayés à une vitesse égale à 85 % de la vitesse prescrite pour les pneumatiques normaux équivalents.</w:t>
      </w:r>
    </w:p>
    <w:p w:rsidR="00774BCA" w:rsidRPr="002D64EC" w:rsidRDefault="00774BCA" w:rsidP="002D64EC">
      <w:pPr>
        <w:suppressAutoHyphens w:val="0"/>
        <w:spacing w:after="240" w:line="240" w:lineRule="auto"/>
        <w:ind w:left="1134" w:right="1134"/>
        <w:jc w:val="both"/>
        <w:rPr>
          <w:iCs/>
          <w:sz w:val="18"/>
          <w:szCs w:val="18"/>
        </w:rPr>
      </w:pPr>
      <w:r w:rsidRPr="00F95D7B">
        <w:rPr>
          <w:sz w:val="18"/>
          <w:szCs w:val="18"/>
          <w:vertAlign w:val="superscript"/>
          <w:lang w:val="fr-FR"/>
        </w:rPr>
        <w:t>2</w:t>
      </w:r>
      <w:r w:rsidR="002D64EC">
        <w:rPr>
          <w:lang w:val="fr-FR"/>
        </w:rPr>
        <w:t xml:space="preserve">  </w:t>
      </w:r>
      <w:r w:rsidRPr="002D64EC">
        <w:rPr>
          <w:sz w:val="18"/>
          <w:szCs w:val="18"/>
          <w:lang w:val="fr-FR"/>
        </w:rPr>
        <w:t>Les pneumatiques ayant un indice de capacité de charge de 122 ou plus et un symbole de catégorie de vitesse “N” ou “P” et portant la mention supplémentaire “C” ou “LT” figurant dans la désignation de dimension du pneumatique (visée au paragraphe 3.2.15 du présent Règlement) doivent être soumis aux essais selon le même programme que celui indiqué dans le tableau ci-dessus pour les pneumatiques ayant un indice de capacité de charge de 121 ou moins.</w:t>
      </w:r>
      <w:r w:rsidR="002D64EC" w:rsidRPr="002D64EC">
        <w:rPr>
          <w:lang w:val="fr-FR"/>
        </w:rPr>
        <w:t> »</w:t>
      </w:r>
      <w:r w:rsidR="002D64EC">
        <w:rPr>
          <w:lang w:val="fr-FR"/>
        </w:rPr>
        <w:t>.</w:t>
      </w:r>
    </w:p>
    <w:p w:rsidR="00774BCA" w:rsidRPr="00D078FD" w:rsidRDefault="00774BCA" w:rsidP="002D64EC">
      <w:pPr>
        <w:pStyle w:val="SingleTxtG"/>
      </w:pPr>
      <w:r w:rsidRPr="002D64EC">
        <w:rPr>
          <w:i/>
          <w:lang w:val="fr-FR"/>
        </w:rPr>
        <w:t>Annexe 10</w:t>
      </w:r>
      <w:r>
        <w:rPr>
          <w:lang w:val="fr-FR"/>
        </w:rPr>
        <w:t>, lire</w:t>
      </w:r>
      <w:r w:rsidR="00AD1936">
        <w:rPr>
          <w:lang w:val="fr-FR"/>
        </w:rPr>
        <w:t> </w:t>
      </w:r>
      <w:r>
        <w:rPr>
          <w:lang w:val="fr-FR"/>
        </w:rPr>
        <w:t>:</w:t>
      </w:r>
    </w:p>
    <w:p w:rsidR="00774BCA" w:rsidRPr="001D0FF3" w:rsidRDefault="0011302F" w:rsidP="00774BCA">
      <w:pPr>
        <w:suppressAutoHyphens w:val="0"/>
        <w:spacing w:after="120" w:line="240" w:lineRule="auto"/>
        <w:ind w:left="1134"/>
        <w:rPr>
          <w:iCs/>
        </w:rPr>
      </w:pPr>
      <w:r>
        <w:rPr>
          <w:lang w:val="fr-FR"/>
        </w:rPr>
        <w:t>« …</w:t>
      </w:r>
    </w:p>
    <w:p w:rsidR="00774BCA" w:rsidRPr="00007060" w:rsidRDefault="00774BCA" w:rsidP="00F43715">
      <w:pPr>
        <w:pStyle w:val="SingleTxtG"/>
        <w:ind w:left="2268" w:hanging="1134"/>
        <w:rPr>
          <w:bCs/>
          <w:iCs/>
        </w:rPr>
      </w:pPr>
      <w:r>
        <w:rPr>
          <w:lang w:val="fr-FR"/>
        </w:rPr>
        <w:t xml:space="preserve">4. </w:t>
      </w:r>
      <w:r>
        <w:rPr>
          <w:lang w:val="fr-FR"/>
        </w:rPr>
        <w:tab/>
        <w:t>Essai d’accélération pour les pneumatiques de la classe C3</w:t>
      </w:r>
    </w:p>
    <w:p w:rsidR="00774BCA" w:rsidRPr="001D0FF3" w:rsidRDefault="00774BCA" w:rsidP="00F43715">
      <w:pPr>
        <w:pStyle w:val="SingleTxtG"/>
        <w:ind w:left="2268" w:hanging="1134"/>
        <w:rPr>
          <w:iCs/>
        </w:rPr>
      </w:pPr>
      <w:r>
        <w:rPr>
          <w:lang w:val="fr-FR"/>
        </w:rPr>
        <w:t>4.1</w:t>
      </w:r>
      <w:r>
        <w:rPr>
          <w:lang w:val="fr-FR"/>
        </w:rPr>
        <w:tab/>
        <w:t>Compte tenu de la définition qui est donnée des pneumatiques de la classe C3 au paragraphe</w:t>
      </w:r>
      <w:r w:rsidR="00AD1936">
        <w:rPr>
          <w:lang w:val="fr-FR"/>
        </w:rPr>
        <w:t> </w:t>
      </w:r>
      <w:r>
        <w:rPr>
          <w:lang w:val="fr-FR"/>
        </w:rPr>
        <w:t>2 du présent Règlement, deux catégories supplémentaires ont été établies aux fins de l’application de la m</w:t>
      </w:r>
      <w:r w:rsidR="008F4C64">
        <w:rPr>
          <w:lang w:val="fr-FR"/>
        </w:rPr>
        <w:t>éthode d’accélération, à savoir </w:t>
      </w:r>
      <w:r>
        <w:rPr>
          <w:lang w:val="fr-FR"/>
        </w:rPr>
        <w:t>:</w:t>
      </w:r>
    </w:p>
    <w:p w:rsidR="001800C1" w:rsidRDefault="0011302F" w:rsidP="0011302F">
      <w:pPr>
        <w:pStyle w:val="SingleTxtG"/>
        <w:jc w:val="right"/>
        <w:rPr>
          <w:lang w:val="fr-FR"/>
        </w:rPr>
      </w:pPr>
      <w:r>
        <w:rPr>
          <w:lang w:val="fr-FR"/>
        </w:rPr>
        <w:t>… </w:t>
      </w:r>
      <w:r w:rsidR="00774BCA">
        <w:rPr>
          <w:lang w:val="fr-FR"/>
        </w:rPr>
        <w:t>».</w:t>
      </w:r>
    </w:p>
    <w:p w:rsidR="0011302F" w:rsidRPr="0011302F" w:rsidRDefault="0011302F" w:rsidP="0011302F">
      <w:pPr>
        <w:pStyle w:val="SingleTxtG"/>
        <w:spacing w:before="240" w:after="0"/>
        <w:jc w:val="center"/>
        <w:rPr>
          <w:u w:val="single"/>
        </w:rPr>
      </w:pPr>
      <w:r>
        <w:rPr>
          <w:u w:val="single"/>
        </w:rPr>
        <w:tab/>
      </w:r>
      <w:r>
        <w:rPr>
          <w:u w:val="single"/>
        </w:rPr>
        <w:tab/>
      </w:r>
      <w:r>
        <w:rPr>
          <w:u w:val="single"/>
        </w:rPr>
        <w:tab/>
      </w:r>
    </w:p>
    <w:sectPr w:rsidR="0011302F" w:rsidRPr="0011302F" w:rsidSect="00710D1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CA" w:rsidRDefault="00774BCA" w:rsidP="00F95C08">
      <w:pPr>
        <w:spacing w:line="240" w:lineRule="auto"/>
      </w:pPr>
    </w:p>
  </w:endnote>
  <w:endnote w:type="continuationSeparator" w:id="0">
    <w:p w:rsidR="00774BCA" w:rsidRPr="00AC3823" w:rsidRDefault="00774BCA" w:rsidP="00AC3823">
      <w:pPr>
        <w:pStyle w:val="Footer"/>
      </w:pPr>
    </w:p>
  </w:endnote>
  <w:endnote w:type="continuationNotice" w:id="1">
    <w:p w:rsidR="00774BCA" w:rsidRDefault="00774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CA" w:rsidRPr="00710D1F" w:rsidRDefault="00774BCA" w:rsidP="00710D1F">
    <w:pPr>
      <w:pStyle w:val="Footer"/>
      <w:tabs>
        <w:tab w:val="right" w:pos="9638"/>
      </w:tabs>
    </w:pPr>
    <w:r w:rsidRPr="00710D1F">
      <w:rPr>
        <w:b/>
        <w:sz w:val="18"/>
      </w:rPr>
      <w:fldChar w:fldCharType="begin"/>
    </w:r>
    <w:r w:rsidRPr="00710D1F">
      <w:rPr>
        <w:b/>
        <w:sz w:val="18"/>
      </w:rPr>
      <w:instrText xml:space="preserve"> PAGE  \* MERGEFORMAT </w:instrText>
    </w:r>
    <w:r w:rsidRPr="00710D1F">
      <w:rPr>
        <w:b/>
        <w:sz w:val="18"/>
      </w:rPr>
      <w:fldChar w:fldCharType="separate"/>
    </w:r>
    <w:r w:rsidR="00CF01EB">
      <w:rPr>
        <w:b/>
        <w:noProof/>
        <w:sz w:val="18"/>
      </w:rPr>
      <w:t>2</w:t>
    </w:r>
    <w:r w:rsidRPr="00710D1F">
      <w:rPr>
        <w:b/>
        <w:sz w:val="18"/>
      </w:rPr>
      <w:fldChar w:fldCharType="end"/>
    </w:r>
    <w:r>
      <w:rPr>
        <w:b/>
        <w:sz w:val="18"/>
      </w:rPr>
      <w:tab/>
    </w:r>
    <w:r>
      <w:t>GE.18-05171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CA" w:rsidRPr="00710D1F" w:rsidRDefault="00774BCA" w:rsidP="00710D1F">
    <w:pPr>
      <w:pStyle w:val="Footer"/>
      <w:tabs>
        <w:tab w:val="right" w:pos="9638"/>
      </w:tabs>
      <w:rPr>
        <w:b/>
        <w:sz w:val="18"/>
      </w:rPr>
    </w:pPr>
    <w:r>
      <w:t>GE.18-05171</w:t>
    </w:r>
    <w:r>
      <w:tab/>
    </w:r>
    <w:r w:rsidRPr="00710D1F">
      <w:rPr>
        <w:b/>
        <w:sz w:val="18"/>
      </w:rPr>
      <w:fldChar w:fldCharType="begin"/>
    </w:r>
    <w:r w:rsidRPr="00710D1F">
      <w:rPr>
        <w:b/>
        <w:sz w:val="18"/>
      </w:rPr>
      <w:instrText xml:space="preserve"> PAGE  \* MERGEFORMAT </w:instrText>
    </w:r>
    <w:r w:rsidRPr="00710D1F">
      <w:rPr>
        <w:b/>
        <w:sz w:val="18"/>
      </w:rPr>
      <w:fldChar w:fldCharType="separate"/>
    </w:r>
    <w:r w:rsidR="00CF01EB">
      <w:rPr>
        <w:b/>
        <w:noProof/>
        <w:sz w:val="18"/>
      </w:rPr>
      <w:t>7</w:t>
    </w:r>
    <w:r w:rsidRPr="00710D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CA" w:rsidRPr="00710D1F" w:rsidRDefault="00774BCA" w:rsidP="00710D1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18-05171  (F)    020518    020518</w:t>
    </w:r>
    <w:r>
      <w:rPr>
        <w:sz w:val="20"/>
      </w:rPr>
      <w:br/>
    </w:r>
    <w:r w:rsidRPr="00710D1F">
      <w:rPr>
        <w:rFonts w:ascii="C39T30Lfz" w:hAnsi="C39T30Lfz"/>
        <w:sz w:val="56"/>
      </w:rPr>
      <w:t></w:t>
    </w:r>
    <w:r w:rsidRPr="00710D1F">
      <w:rPr>
        <w:rFonts w:ascii="C39T30Lfz" w:hAnsi="C39T30Lfz"/>
        <w:sz w:val="56"/>
      </w:rPr>
      <w:t></w:t>
    </w:r>
    <w:r w:rsidRPr="00710D1F">
      <w:rPr>
        <w:rFonts w:ascii="C39T30Lfz" w:hAnsi="C39T30Lfz"/>
        <w:sz w:val="56"/>
      </w:rPr>
      <w:t></w:t>
    </w:r>
    <w:r w:rsidRPr="00710D1F">
      <w:rPr>
        <w:rFonts w:ascii="C39T30Lfz" w:hAnsi="C39T30Lfz"/>
        <w:sz w:val="56"/>
      </w:rPr>
      <w:t></w:t>
    </w:r>
    <w:r w:rsidRPr="00710D1F">
      <w:rPr>
        <w:rFonts w:ascii="C39T30Lfz" w:hAnsi="C39T30Lfz"/>
        <w:sz w:val="56"/>
      </w:rPr>
      <w:t></w:t>
    </w:r>
    <w:r w:rsidRPr="00710D1F">
      <w:rPr>
        <w:rFonts w:ascii="C39T30Lfz" w:hAnsi="C39T30Lfz"/>
        <w:sz w:val="56"/>
      </w:rPr>
      <w:t></w:t>
    </w:r>
    <w:r w:rsidRPr="00710D1F">
      <w:rPr>
        <w:rFonts w:ascii="C39T30Lfz" w:hAnsi="C39T30Lfz"/>
        <w:sz w:val="56"/>
      </w:rPr>
      <w:t></w:t>
    </w:r>
    <w:r w:rsidRPr="00710D1F">
      <w:rPr>
        <w:rFonts w:ascii="C39T30Lfz" w:hAnsi="C39T30Lfz"/>
        <w:sz w:val="56"/>
      </w:rPr>
      <w:t></w:t>
    </w:r>
    <w:r w:rsidRPr="00710D1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CA" w:rsidRPr="00AC3823" w:rsidRDefault="00774BCA" w:rsidP="00AC3823">
      <w:pPr>
        <w:pStyle w:val="Footer"/>
        <w:tabs>
          <w:tab w:val="right" w:pos="2155"/>
        </w:tabs>
        <w:spacing w:after="80" w:line="240" w:lineRule="atLeast"/>
        <w:ind w:left="680"/>
        <w:rPr>
          <w:u w:val="single"/>
        </w:rPr>
      </w:pPr>
      <w:r>
        <w:rPr>
          <w:u w:val="single"/>
        </w:rPr>
        <w:tab/>
      </w:r>
    </w:p>
  </w:footnote>
  <w:footnote w:type="continuationSeparator" w:id="0">
    <w:p w:rsidR="00774BCA" w:rsidRPr="00AC3823" w:rsidRDefault="00774BCA" w:rsidP="00AC3823">
      <w:pPr>
        <w:pStyle w:val="Footer"/>
        <w:tabs>
          <w:tab w:val="right" w:pos="2155"/>
        </w:tabs>
        <w:spacing w:after="80" w:line="240" w:lineRule="atLeast"/>
        <w:ind w:left="680"/>
        <w:rPr>
          <w:u w:val="single"/>
        </w:rPr>
      </w:pPr>
      <w:r>
        <w:rPr>
          <w:u w:val="single"/>
        </w:rPr>
        <w:tab/>
      </w:r>
    </w:p>
  </w:footnote>
  <w:footnote w:type="continuationNotice" w:id="1">
    <w:p w:rsidR="00774BCA" w:rsidRPr="00AC3823" w:rsidRDefault="00774BCA">
      <w:pPr>
        <w:spacing w:line="240" w:lineRule="auto"/>
        <w:rPr>
          <w:sz w:val="2"/>
          <w:szCs w:val="2"/>
        </w:rPr>
      </w:pPr>
    </w:p>
  </w:footnote>
  <w:footnote w:id="2">
    <w:p w:rsidR="003F10F4" w:rsidRPr="003F10F4" w:rsidRDefault="003F10F4">
      <w:pPr>
        <w:pStyle w:val="FootnoteText"/>
      </w:pPr>
      <w:r>
        <w:rPr>
          <w:rStyle w:val="FootnoteReference"/>
        </w:rPr>
        <w:tab/>
      </w:r>
      <w:r w:rsidRPr="003F10F4">
        <w:rPr>
          <w:rStyle w:val="FootnoteReference"/>
          <w:sz w:val="20"/>
          <w:vertAlign w:val="baseline"/>
        </w:rPr>
        <w:t>*</w:t>
      </w:r>
      <w:r>
        <w:rPr>
          <w:rStyle w:val="FootnoteReference"/>
          <w:sz w:val="20"/>
          <w:vertAlign w:val="baseline"/>
        </w:rPr>
        <w:tab/>
      </w:r>
      <w:r w:rsidRPr="003F10F4">
        <w:rPr>
          <w:szCs w:val="18"/>
        </w:rPr>
        <w:t>Retirage pour raisons techniques (9 mai 2018).</w:t>
      </w:r>
    </w:p>
  </w:footnote>
  <w:footnote w:id="3">
    <w:p w:rsidR="003F10F4" w:rsidRPr="003F10F4" w:rsidRDefault="003F10F4">
      <w:pPr>
        <w:pStyle w:val="FootnoteText"/>
      </w:pPr>
      <w:r>
        <w:rPr>
          <w:rStyle w:val="FootnoteReference"/>
        </w:rPr>
        <w:tab/>
      </w:r>
      <w:r w:rsidRPr="003F10F4">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activité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CA" w:rsidRPr="00710D1F" w:rsidRDefault="005345E0">
    <w:pPr>
      <w:pStyle w:val="Header"/>
    </w:pPr>
    <w:fldSimple w:instr=" TITLE  \* MERGEFORMAT ">
      <w:r>
        <w:t>ECE/TRANS/WP.29/2018/59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CA" w:rsidRPr="00710D1F" w:rsidRDefault="005345E0" w:rsidP="00710D1F">
    <w:pPr>
      <w:pStyle w:val="Header"/>
      <w:jc w:val="right"/>
    </w:pPr>
    <w:fldSimple w:instr=" TITLE  \* MERGEFORMAT ">
      <w:r>
        <w:t>ECE/TRANS/WP.29/2018/59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0E"/>
    <w:rsid w:val="00017F94"/>
    <w:rsid w:val="00023842"/>
    <w:rsid w:val="00026FB7"/>
    <w:rsid w:val="000334F9"/>
    <w:rsid w:val="00045FEB"/>
    <w:rsid w:val="000571AE"/>
    <w:rsid w:val="000643DE"/>
    <w:rsid w:val="00072B13"/>
    <w:rsid w:val="0007796D"/>
    <w:rsid w:val="000B7790"/>
    <w:rsid w:val="000D63A5"/>
    <w:rsid w:val="00111F2F"/>
    <w:rsid w:val="0011302F"/>
    <w:rsid w:val="0014365E"/>
    <w:rsid w:val="00143C66"/>
    <w:rsid w:val="00176178"/>
    <w:rsid w:val="001800C1"/>
    <w:rsid w:val="001A1D6E"/>
    <w:rsid w:val="001C1A1C"/>
    <w:rsid w:val="001D1932"/>
    <w:rsid w:val="001E3DA1"/>
    <w:rsid w:val="001F525A"/>
    <w:rsid w:val="00223272"/>
    <w:rsid w:val="0024779E"/>
    <w:rsid w:val="00257168"/>
    <w:rsid w:val="002744B8"/>
    <w:rsid w:val="002832AC"/>
    <w:rsid w:val="00286DA8"/>
    <w:rsid w:val="00295805"/>
    <w:rsid w:val="002A48F4"/>
    <w:rsid w:val="002D64EC"/>
    <w:rsid w:val="002D7C93"/>
    <w:rsid w:val="00305801"/>
    <w:rsid w:val="003404F2"/>
    <w:rsid w:val="003916DE"/>
    <w:rsid w:val="003B0ED7"/>
    <w:rsid w:val="003D0BC8"/>
    <w:rsid w:val="003D3D71"/>
    <w:rsid w:val="003E76DD"/>
    <w:rsid w:val="003F10F4"/>
    <w:rsid w:val="00403F22"/>
    <w:rsid w:val="0042248D"/>
    <w:rsid w:val="00441C3B"/>
    <w:rsid w:val="00446FE5"/>
    <w:rsid w:val="00452396"/>
    <w:rsid w:val="004837D8"/>
    <w:rsid w:val="004A1A02"/>
    <w:rsid w:val="004A2A02"/>
    <w:rsid w:val="004E468C"/>
    <w:rsid w:val="004E64F0"/>
    <w:rsid w:val="005345E0"/>
    <w:rsid w:val="0054513C"/>
    <w:rsid w:val="005505B7"/>
    <w:rsid w:val="00573BE5"/>
    <w:rsid w:val="00586ED3"/>
    <w:rsid w:val="00593196"/>
    <w:rsid w:val="00596AA9"/>
    <w:rsid w:val="005E11FD"/>
    <w:rsid w:val="006408A7"/>
    <w:rsid w:val="00676E11"/>
    <w:rsid w:val="006E090D"/>
    <w:rsid w:val="00710D1F"/>
    <w:rsid w:val="00713688"/>
    <w:rsid w:val="0071601D"/>
    <w:rsid w:val="00717FD6"/>
    <w:rsid w:val="007523B6"/>
    <w:rsid w:val="00774BCA"/>
    <w:rsid w:val="007A62E6"/>
    <w:rsid w:val="007C047F"/>
    <w:rsid w:val="007D7BD0"/>
    <w:rsid w:val="007F20FA"/>
    <w:rsid w:val="0080684C"/>
    <w:rsid w:val="008224D6"/>
    <w:rsid w:val="0082316E"/>
    <w:rsid w:val="0083248C"/>
    <w:rsid w:val="00857D0E"/>
    <w:rsid w:val="00857EBB"/>
    <w:rsid w:val="00871C75"/>
    <w:rsid w:val="008776DC"/>
    <w:rsid w:val="008A1C8F"/>
    <w:rsid w:val="008A4D1C"/>
    <w:rsid w:val="008D6281"/>
    <w:rsid w:val="008E1977"/>
    <w:rsid w:val="008F4C64"/>
    <w:rsid w:val="0092122D"/>
    <w:rsid w:val="00931599"/>
    <w:rsid w:val="00933DD1"/>
    <w:rsid w:val="009446C0"/>
    <w:rsid w:val="00945817"/>
    <w:rsid w:val="009705C8"/>
    <w:rsid w:val="00982BBE"/>
    <w:rsid w:val="009910D7"/>
    <w:rsid w:val="009C1CF4"/>
    <w:rsid w:val="009D3706"/>
    <w:rsid w:val="009F6B74"/>
    <w:rsid w:val="00A30353"/>
    <w:rsid w:val="00A34063"/>
    <w:rsid w:val="00A53F8E"/>
    <w:rsid w:val="00A67020"/>
    <w:rsid w:val="00AA5C97"/>
    <w:rsid w:val="00AC3823"/>
    <w:rsid w:val="00AD1936"/>
    <w:rsid w:val="00AE323C"/>
    <w:rsid w:val="00AF0CB5"/>
    <w:rsid w:val="00B00181"/>
    <w:rsid w:val="00B00B0D"/>
    <w:rsid w:val="00B765F7"/>
    <w:rsid w:val="00BA0CA9"/>
    <w:rsid w:val="00BC7963"/>
    <w:rsid w:val="00C02897"/>
    <w:rsid w:val="00C32C9F"/>
    <w:rsid w:val="00C62874"/>
    <w:rsid w:val="00C6515F"/>
    <w:rsid w:val="00C90DCD"/>
    <w:rsid w:val="00C97039"/>
    <w:rsid w:val="00CA2789"/>
    <w:rsid w:val="00CB7C9F"/>
    <w:rsid w:val="00CD4E0D"/>
    <w:rsid w:val="00CF01EB"/>
    <w:rsid w:val="00CF117F"/>
    <w:rsid w:val="00D3439C"/>
    <w:rsid w:val="00D45CD2"/>
    <w:rsid w:val="00D6563F"/>
    <w:rsid w:val="00D83199"/>
    <w:rsid w:val="00DB1831"/>
    <w:rsid w:val="00DC037D"/>
    <w:rsid w:val="00DD3BFD"/>
    <w:rsid w:val="00DF6678"/>
    <w:rsid w:val="00E0299A"/>
    <w:rsid w:val="00E42233"/>
    <w:rsid w:val="00E507B8"/>
    <w:rsid w:val="00E620CD"/>
    <w:rsid w:val="00E704CF"/>
    <w:rsid w:val="00E828B6"/>
    <w:rsid w:val="00E85C74"/>
    <w:rsid w:val="00EA1214"/>
    <w:rsid w:val="00EA6547"/>
    <w:rsid w:val="00EB29DF"/>
    <w:rsid w:val="00EC500F"/>
    <w:rsid w:val="00EF2E22"/>
    <w:rsid w:val="00EF71D7"/>
    <w:rsid w:val="00F3424F"/>
    <w:rsid w:val="00F35BAF"/>
    <w:rsid w:val="00F43715"/>
    <w:rsid w:val="00F65390"/>
    <w:rsid w:val="00F660DF"/>
    <w:rsid w:val="00F94664"/>
    <w:rsid w:val="00F9573C"/>
    <w:rsid w:val="00F95C08"/>
    <w:rsid w:val="00F95D7B"/>
    <w:rsid w:val="00FB2D56"/>
    <w:rsid w:val="00FB6B9E"/>
    <w:rsid w:val="00FC4F74"/>
    <w:rsid w:val="00FF17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5B6E2F-2AE8-4B47-A160-DD57A971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74BCA"/>
    <w:rPr>
      <w:rFonts w:ascii="Times New Roman" w:eastAsiaTheme="minorHAnsi" w:hAnsi="Times New Roman" w:cs="Times New Roman"/>
      <w:sz w:val="20"/>
      <w:szCs w:val="20"/>
      <w:lang w:eastAsia="en-US"/>
    </w:rPr>
  </w:style>
  <w:style w:type="character" w:customStyle="1" w:styleId="HChGChar">
    <w:name w:val="_ H _Ch_G Char"/>
    <w:link w:val="HChG"/>
    <w:rsid w:val="00774BCA"/>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774BCA"/>
    <w:pPr>
      <w:spacing w:after="120"/>
      <w:ind w:left="2268" w:right="1134" w:hanging="1134"/>
      <w:jc w:val="both"/>
    </w:pPr>
    <w:rPr>
      <w:lang w:val="en-GB"/>
    </w:rPr>
  </w:style>
  <w:style w:type="character" w:customStyle="1" w:styleId="paraChar">
    <w:name w:val="para Char"/>
    <w:link w:val="para"/>
    <w:rsid w:val="00774BCA"/>
    <w:rPr>
      <w:rFonts w:ascii="Times New Roman" w:eastAsiaTheme="minorHAnsi"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58F9-AED1-46C2-B738-E79180C8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4504</Words>
  <Characters>25677</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ECE/TRANS/WP.29/2018/59</vt:lpstr>
      <vt:lpstr>ECE/TRANS/WP.29/2018/59</vt:lpstr>
    </vt:vector>
  </TitlesOfParts>
  <Company>DCM</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ECE/TRANS/WP.29/2018/59</dc:title>
  <dc:subject/>
  <dc:creator>Nath VITTOZ</dc:creator>
  <cp:keywords/>
  <cp:lastModifiedBy>New</cp:lastModifiedBy>
  <cp:revision>2</cp:revision>
  <cp:lastPrinted>2018-05-09T08:03:00Z</cp:lastPrinted>
  <dcterms:created xsi:type="dcterms:W3CDTF">2018-05-14T14:11:00Z</dcterms:created>
  <dcterms:modified xsi:type="dcterms:W3CDTF">2018-05-14T14:11:00Z</dcterms:modified>
</cp:coreProperties>
</file>