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57EC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57EC4" w:rsidP="00B57EC4">
            <w:pPr>
              <w:jc w:val="right"/>
            </w:pPr>
            <w:r w:rsidRPr="00B57EC4">
              <w:rPr>
                <w:sz w:val="40"/>
              </w:rPr>
              <w:t>ECE</w:t>
            </w:r>
            <w:r>
              <w:t>/TRANS/WP.29/2018/28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57EC4" w:rsidP="00C97039">
            <w:pPr>
              <w:spacing w:before="240"/>
            </w:pPr>
            <w:r>
              <w:t>Distr. générale</w:t>
            </w:r>
          </w:p>
          <w:p w:rsidR="00B57EC4" w:rsidRDefault="00B57EC4" w:rsidP="00B57EC4">
            <w:pPr>
              <w:spacing w:line="240" w:lineRule="exact"/>
            </w:pPr>
            <w:r>
              <w:t>27 décembre 2017</w:t>
            </w:r>
          </w:p>
          <w:p w:rsidR="00B57EC4" w:rsidRDefault="00B57EC4" w:rsidP="00B57EC4">
            <w:pPr>
              <w:spacing w:line="240" w:lineRule="exact"/>
            </w:pPr>
            <w:r>
              <w:t>Français</w:t>
            </w:r>
          </w:p>
          <w:p w:rsidR="00B57EC4" w:rsidRPr="00DB58B5" w:rsidRDefault="00B57EC4" w:rsidP="00CB4F90">
            <w:pPr>
              <w:spacing w:line="240" w:lineRule="exact"/>
            </w:pPr>
            <w:r>
              <w:t>Original</w:t>
            </w:r>
            <w:r w:rsidR="00CB4F90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B4F9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57EC4" w:rsidRDefault="00B57EC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B4F9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CB4F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57EC4" w:rsidRDefault="00EB5ED5" w:rsidP="00AF0CB5">
      <w:pPr>
        <w:spacing w:before="120" w:line="240" w:lineRule="exact"/>
        <w:rPr>
          <w:b/>
        </w:rPr>
      </w:pPr>
      <w:r w:rsidRPr="00B57EC4">
        <w:rPr>
          <w:b/>
        </w:rPr>
        <w:t>174</w:t>
      </w:r>
      <w:r w:rsidR="00B57EC4">
        <w:rPr>
          <w:b/>
          <w:vertAlign w:val="superscript"/>
        </w:rPr>
        <w:t>e</w:t>
      </w:r>
      <w:r w:rsidR="00B57EC4" w:rsidRPr="00B57EC4">
        <w:rPr>
          <w:b/>
        </w:rPr>
        <w:t> </w:t>
      </w:r>
      <w:r w:rsidR="00B57EC4">
        <w:rPr>
          <w:b/>
        </w:rPr>
        <w:t>session</w:t>
      </w:r>
    </w:p>
    <w:p w:rsidR="00B57EC4" w:rsidRDefault="00B57EC4" w:rsidP="00AF0CB5">
      <w:pPr>
        <w:spacing w:line="240" w:lineRule="exact"/>
      </w:pPr>
      <w:r>
        <w:t xml:space="preserve">Genève, </w:t>
      </w:r>
      <w:r w:rsidR="00EB5ED5" w:rsidRPr="00B57EC4">
        <w:t>13-16 mars 2018</w:t>
      </w:r>
    </w:p>
    <w:p w:rsidR="00B57EC4" w:rsidRDefault="00B57EC4" w:rsidP="00AF0CB5">
      <w:pPr>
        <w:spacing w:line="240" w:lineRule="exact"/>
      </w:pPr>
      <w:r>
        <w:t xml:space="preserve">Point </w:t>
      </w:r>
      <w:r w:rsidR="00EB5ED5" w:rsidRPr="00B57EC4">
        <w:t>4.9.1 de l</w:t>
      </w:r>
      <w:r w:rsidR="00CB4F90">
        <w:t>’</w:t>
      </w:r>
      <w:r w:rsidR="00EB5ED5" w:rsidRPr="00B57EC4">
        <w:t>ordre du jour provisoire</w:t>
      </w:r>
    </w:p>
    <w:p w:rsidR="00AB60D2" w:rsidRPr="00B57EC4" w:rsidRDefault="00EB5ED5" w:rsidP="00B57EC4">
      <w:r w:rsidRPr="00B57EC4">
        <w:rPr>
          <w:b/>
        </w:rPr>
        <w:t>Accord de 1958</w:t>
      </w:r>
      <w:r w:rsidR="00CB4F90">
        <w:rPr>
          <w:b/>
        </w:rPr>
        <w:t xml:space="preserve"> : </w:t>
      </w:r>
      <w:r w:rsidRPr="00B57EC4">
        <w:rPr>
          <w:b/>
        </w:rPr>
        <w:br/>
        <w:t>Examen de projets d</w:t>
      </w:r>
      <w:r w:rsidR="00CB4F90">
        <w:rPr>
          <w:b/>
        </w:rPr>
        <w:t>’</w:t>
      </w:r>
      <w:r w:rsidRPr="00B57EC4">
        <w:rPr>
          <w:b/>
        </w:rPr>
        <w:t>amendements</w:t>
      </w:r>
      <w:r w:rsidR="00B57EC4">
        <w:rPr>
          <w:b/>
        </w:rPr>
        <w:t xml:space="preserve"> </w:t>
      </w:r>
      <w:r w:rsidR="00B57EC4">
        <w:rPr>
          <w:b/>
        </w:rPr>
        <w:br/>
      </w:r>
      <w:r w:rsidRPr="00B57EC4">
        <w:rPr>
          <w:b/>
        </w:rPr>
        <w:t>à des Règlements existants, soumis par le GRE</w:t>
      </w:r>
    </w:p>
    <w:p w:rsidR="00AB60D2" w:rsidRPr="00B57EC4" w:rsidRDefault="00B57EC4" w:rsidP="00B57EC4">
      <w:pPr>
        <w:pStyle w:val="HChG"/>
      </w:pPr>
      <w:r>
        <w:tab/>
      </w:r>
      <w:r>
        <w:tab/>
      </w:r>
      <w:r w:rsidR="00EB5ED5" w:rsidRPr="00B57EC4">
        <w:t>Proposition de complément 29 à la série 01 d</w:t>
      </w:r>
      <w:r w:rsidR="00CB4F90">
        <w:t>’</w:t>
      </w:r>
      <w:r w:rsidR="00EB5ED5" w:rsidRPr="00B57EC4">
        <w:t xml:space="preserve">amendements au Règlement </w:t>
      </w:r>
      <w:r w:rsidR="00CB4F90" w:rsidRPr="002D76F4">
        <w:rPr>
          <w:rFonts w:eastAsia="MS Mincho"/>
          <w:szCs w:val="22"/>
        </w:rPr>
        <w:t>n</w:t>
      </w:r>
      <w:r w:rsidR="00CB4F90" w:rsidRPr="002D76F4">
        <w:rPr>
          <w:rFonts w:eastAsia="MS Mincho"/>
          <w:szCs w:val="22"/>
          <w:vertAlign w:val="superscript"/>
        </w:rPr>
        <w:t>o</w:t>
      </w:r>
      <w:r w:rsidR="00CB4F90">
        <w:t> </w:t>
      </w:r>
      <w:r w:rsidR="00EB5ED5" w:rsidRPr="00B57EC4">
        <w:t xml:space="preserve">6 (Feux indicateurs de direction) </w:t>
      </w:r>
    </w:p>
    <w:p w:rsidR="00AB60D2" w:rsidRPr="00B57EC4" w:rsidRDefault="00B57EC4" w:rsidP="00B57EC4">
      <w:pPr>
        <w:pStyle w:val="H1G"/>
      </w:pPr>
      <w:r>
        <w:tab/>
      </w:r>
      <w:r>
        <w:tab/>
      </w:r>
      <w:r w:rsidR="00EB5ED5" w:rsidRPr="00B57EC4">
        <w:t>Communication du Groupe de travail de l</w:t>
      </w:r>
      <w:r w:rsidR="00CB4F90">
        <w:t>’</w:t>
      </w:r>
      <w:r w:rsidR="00EB5ED5" w:rsidRPr="00B57EC4">
        <w:t xml:space="preserve">éclairage </w:t>
      </w:r>
      <w:r>
        <w:br/>
      </w:r>
      <w:r w:rsidR="00EB5ED5" w:rsidRPr="00B57EC4">
        <w:t>et de la signalisation lumineuse</w:t>
      </w:r>
      <w:r w:rsidRPr="00B57EC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57EC4" w:rsidRDefault="00EB5ED5" w:rsidP="00B57EC4">
      <w:pPr>
        <w:pStyle w:val="SingleTxtG"/>
        <w:ind w:firstLine="567"/>
      </w:pPr>
      <w:r w:rsidRPr="00B57EC4">
        <w:t>Le texte reproduit ci-après,</w:t>
      </w:r>
      <w:r w:rsidR="00CB4F90">
        <w:t xml:space="preserve"> </w:t>
      </w:r>
      <w:r w:rsidRPr="00B57EC4">
        <w:t>adopté par le Groupe de travail de l</w:t>
      </w:r>
      <w:r w:rsidR="00CB4F90">
        <w:t>’</w:t>
      </w:r>
      <w:r w:rsidRPr="00B57EC4">
        <w:t>éclairage et de la signalisation lumineuse (GRE) à sa soixante-dix-huitième session (ECE/TRANS/WP.29/</w:t>
      </w:r>
      <w:r w:rsidR="00C650A8">
        <w:t xml:space="preserve"> </w:t>
      </w:r>
      <w:r w:rsidRPr="00B57EC4">
        <w:t>GRE/78, par. 13), est fondé sur l</w:t>
      </w:r>
      <w:r w:rsidR="00CB4F90">
        <w:t>’</w:t>
      </w:r>
      <w:r w:rsidRPr="00B57EC4">
        <w:t>annexe</w:t>
      </w:r>
      <w:r w:rsidR="00CB4F90">
        <w:t xml:space="preserve"> </w:t>
      </w:r>
      <w:r w:rsidRPr="00B57EC4">
        <w:t>II du rapport. Il est soumis au Forum mondial de l</w:t>
      </w:r>
      <w:r w:rsidR="00CB4F90">
        <w:t>’</w:t>
      </w:r>
      <w:r w:rsidRPr="00B57EC4">
        <w:t>harmonisation des Règlements concernant les véhicules (WP.29) et au Comité d</w:t>
      </w:r>
      <w:r w:rsidR="00CB4F90">
        <w:t>’</w:t>
      </w:r>
      <w:r w:rsidRPr="00B57EC4">
        <w:t>administration (AC.1) pour examen à leurs sessions de mars 2018.</w:t>
      </w:r>
    </w:p>
    <w:p w:rsidR="00AB60D2" w:rsidRPr="00B57EC4" w:rsidRDefault="00B57EC4" w:rsidP="00B57EC4">
      <w:pPr>
        <w:pStyle w:val="HChG"/>
      </w:pPr>
      <w:r>
        <w:br w:type="page"/>
      </w:r>
      <w:r>
        <w:lastRenderedPageBreak/>
        <w:tab/>
      </w:r>
      <w:r>
        <w:tab/>
      </w:r>
      <w:r w:rsidR="00EB5ED5" w:rsidRPr="00B57EC4">
        <w:t>Complément 29 à la série 01 d</w:t>
      </w:r>
      <w:r w:rsidR="00CB4F90">
        <w:t>’</w:t>
      </w:r>
      <w:r w:rsidR="00EB5ED5" w:rsidRPr="00B57EC4">
        <w:t>amendements au</w:t>
      </w:r>
      <w:r w:rsidR="00CB4F90">
        <w:t xml:space="preserve"> </w:t>
      </w:r>
      <w:r w:rsidR="00EB5ED5" w:rsidRPr="00B57EC4">
        <w:t xml:space="preserve">Règlement </w:t>
      </w:r>
      <w:r w:rsidR="00CB4F90" w:rsidRPr="002D76F4">
        <w:rPr>
          <w:rFonts w:eastAsia="MS Mincho"/>
          <w:szCs w:val="22"/>
        </w:rPr>
        <w:t>n</w:t>
      </w:r>
      <w:r w:rsidR="00CB4F90" w:rsidRPr="002D76F4">
        <w:rPr>
          <w:rFonts w:eastAsia="MS Mincho"/>
          <w:szCs w:val="22"/>
          <w:vertAlign w:val="superscript"/>
        </w:rPr>
        <w:t>o</w:t>
      </w:r>
      <w:r w:rsidR="00CB4F90">
        <w:t> </w:t>
      </w:r>
      <w:r w:rsidR="00EB5ED5" w:rsidRPr="00B57EC4">
        <w:t>6 (Feux indicateurs de direction)</w:t>
      </w:r>
    </w:p>
    <w:p w:rsidR="00AB60D2" w:rsidRPr="00B57EC4" w:rsidRDefault="00EB5ED5" w:rsidP="00B57EC4">
      <w:pPr>
        <w:pStyle w:val="SingleTxtG"/>
      </w:pPr>
      <w:r w:rsidRPr="00B57EC4">
        <w:rPr>
          <w:i/>
        </w:rPr>
        <w:t>Paragraphe 1.3</w:t>
      </w:r>
      <w:r w:rsidRPr="00B57EC4">
        <w:t>, lire</w:t>
      </w:r>
      <w:r w:rsidR="00CB4F90">
        <w:t> :</w:t>
      </w:r>
    </w:p>
    <w:p w:rsidR="00AB60D2" w:rsidRPr="00B57EC4" w:rsidRDefault="00EB5ED5" w:rsidP="00B57EC4">
      <w:pPr>
        <w:pStyle w:val="SingleTxtG"/>
        <w:ind w:left="2268" w:hanging="1134"/>
        <w:rPr>
          <w:iCs/>
        </w:rPr>
      </w:pPr>
      <w:r w:rsidRPr="00B57EC4">
        <w:t>« 1.3</w:t>
      </w:r>
      <w:r w:rsidRPr="00B57EC4">
        <w:tab/>
        <w:t>Par “</w:t>
      </w:r>
      <w:r w:rsidRPr="0071478B">
        <w:t>indicateurs de direction de types différents</w:t>
      </w:r>
      <w:r w:rsidRPr="00B57EC4">
        <w:t>”, des feux qui présentent des différences essentielles pouvant porter notamment sur</w:t>
      </w:r>
      <w:r w:rsidR="00CB4F90">
        <w:t> :</w:t>
      </w:r>
    </w:p>
    <w:p w:rsidR="00AB60D2" w:rsidRPr="00B57EC4" w:rsidRDefault="00EB5ED5" w:rsidP="00B57EC4">
      <w:pPr>
        <w:pStyle w:val="SingleTxtG"/>
        <w:ind w:left="2268"/>
      </w:pPr>
      <w:r w:rsidRPr="00B57EC4">
        <w:t>a)</w:t>
      </w:r>
      <w:r w:rsidRPr="00B57EC4">
        <w:tab/>
        <w:t>La marque de fabrique ou de commerce</w:t>
      </w:r>
      <w:r w:rsidR="00CB4F90">
        <w:t> :</w:t>
      </w:r>
    </w:p>
    <w:p w:rsidR="00AB60D2" w:rsidRPr="00B57EC4" w:rsidRDefault="00EB5ED5" w:rsidP="00B57EC4">
      <w:pPr>
        <w:pStyle w:val="SingleTxtG"/>
        <w:ind w:left="2835"/>
        <w:rPr>
          <w:iCs/>
        </w:rPr>
      </w:pPr>
      <w:r w:rsidRPr="00B57EC4">
        <w:rPr>
          <w:iCs/>
        </w:rPr>
        <w:t>i)</w:t>
      </w:r>
      <w:r w:rsidRPr="00B57EC4">
        <w:rPr>
          <w:iCs/>
        </w:rPr>
        <w:tab/>
        <w:t xml:space="preserve">Des feux </w:t>
      </w:r>
      <w:r w:rsidRPr="00B57EC4">
        <w:t>portant</w:t>
      </w:r>
      <w:r w:rsidRPr="00B57EC4">
        <w:rPr>
          <w:iCs/>
        </w:rPr>
        <w:t xml:space="preserve"> la même marque de fabrique ou de commerce mais produits par des fabricants différents doivent être considérés </w:t>
      </w:r>
      <w:r w:rsidR="00CB4F90">
        <w:rPr>
          <w:iCs/>
        </w:rPr>
        <w:t>comme étant de types différents ;</w:t>
      </w:r>
    </w:p>
    <w:p w:rsidR="00AB60D2" w:rsidRPr="00B57EC4" w:rsidRDefault="00EB5ED5" w:rsidP="00B57EC4">
      <w:pPr>
        <w:pStyle w:val="SingleTxtG"/>
        <w:ind w:left="2835"/>
        <w:rPr>
          <w:iCs/>
        </w:rPr>
      </w:pPr>
      <w:r w:rsidRPr="00B57EC4">
        <w:rPr>
          <w:bCs/>
          <w:iCs/>
        </w:rPr>
        <w:t>ii)</w:t>
      </w:r>
      <w:r w:rsidRPr="00B57EC4">
        <w:rPr>
          <w:bCs/>
          <w:iCs/>
        </w:rPr>
        <w:tab/>
        <w:t>Des feux produits par le même fabricant et ne différant entre eux que par la marque de fabrique ou de commerce doivent être considérés comme étant du même type</w:t>
      </w:r>
      <w:r w:rsidRPr="00B57EC4">
        <w:rPr>
          <w:iCs/>
        </w:rPr>
        <w:t>.</w:t>
      </w:r>
    </w:p>
    <w:p w:rsidR="00F9573C" w:rsidRDefault="00EB5ED5" w:rsidP="00B57EC4">
      <w:pPr>
        <w:pStyle w:val="SingleTxtG"/>
        <w:ind w:left="2268"/>
        <w:rPr>
          <w:iCs/>
        </w:rPr>
      </w:pPr>
      <w:r w:rsidRPr="00B57EC4">
        <w:rPr>
          <w:iCs/>
        </w:rPr>
        <w:t>b)</w:t>
      </w:r>
      <w:r w:rsidRPr="00B57EC4">
        <w:rPr>
          <w:iCs/>
        </w:rPr>
        <w:tab/>
        <w:t xml:space="preserve">Les </w:t>
      </w:r>
      <w:r w:rsidRPr="00B57EC4">
        <w:t>caractéristiques</w:t>
      </w:r>
      <w:r w:rsidRPr="00B57EC4">
        <w:rPr>
          <w:iCs/>
        </w:rPr>
        <w:t>… ».</w:t>
      </w:r>
    </w:p>
    <w:p w:rsidR="00B57EC4" w:rsidRPr="00B57EC4" w:rsidRDefault="00B57EC4" w:rsidP="00B57E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7EC4" w:rsidRPr="00B57EC4" w:rsidSect="00B57E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34" w:rsidRDefault="00D91A34" w:rsidP="00F95C08">
      <w:pPr>
        <w:spacing w:line="240" w:lineRule="auto"/>
      </w:pPr>
    </w:p>
  </w:endnote>
  <w:endnote w:type="continuationSeparator" w:id="0">
    <w:p w:rsidR="00D91A34" w:rsidRPr="00AC3823" w:rsidRDefault="00D91A34" w:rsidP="00AC3823">
      <w:pPr>
        <w:pStyle w:val="Footer"/>
      </w:pPr>
    </w:p>
  </w:endnote>
  <w:endnote w:type="continuationNotice" w:id="1">
    <w:p w:rsidR="00D91A34" w:rsidRDefault="00D91A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C4" w:rsidRPr="00B57EC4" w:rsidRDefault="00B57EC4" w:rsidP="00B57EC4">
    <w:pPr>
      <w:pStyle w:val="Footer"/>
      <w:tabs>
        <w:tab w:val="right" w:pos="9638"/>
      </w:tabs>
    </w:pPr>
    <w:r w:rsidRPr="00B57EC4">
      <w:rPr>
        <w:b/>
        <w:sz w:val="18"/>
      </w:rPr>
      <w:fldChar w:fldCharType="begin"/>
    </w:r>
    <w:r w:rsidRPr="00B57EC4">
      <w:rPr>
        <w:b/>
        <w:sz w:val="18"/>
      </w:rPr>
      <w:instrText xml:space="preserve"> PAGE  \* MERGEFORMAT </w:instrText>
    </w:r>
    <w:r w:rsidRPr="00B57EC4">
      <w:rPr>
        <w:b/>
        <w:sz w:val="18"/>
      </w:rPr>
      <w:fldChar w:fldCharType="separate"/>
    </w:r>
    <w:r w:rsidR="00EF4235">
      <w:rPr>
        <w:b/>
        <w:noProof/>
        <w:sz w:val="18"/>
      </w:rPr>
      <w:t>2</w:t>
    </w:r>
    <w:r w:rsidRPr="00B57EC4">
      <w:rPr>
        <w:b/>
        <w:sz w:val="18"/>
      </w:rPr>
      <w:fldChar w:fldCharType="end"/>
    </w:r>
    <w:r>
      <w:rPr>
        <w:b/>
        <w:sz w:val="18"/>
      </w:rPr>
      <w:tab/>
    </w:r>
    <w:r>
      <w:t>GE.17-23411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C4" w:rsidRPr="00B57EC4" w:rsidRDefault="00B57EC4" w:rsidP="00B57EC4">
    <w:pPr>
      <w:pStyle w:val="Footer"/>
      <w:tabs>
        <w:tab w:val="right" w:pos="9638"/>
      </w:tabs>
      <w:rPr>
        <w:b/>
        <w:sz w:val="18"/>
      </w:rPr>
    </w:pPr>
    <w:r>
      <w:t>GE.17-23411</w:t>
    </w:r>
    <w:r>
      <w:tab/>
    </w:r>
    <w:r w:rsidRPr="00B57EC4">
      <w:rPr>
        <w:b/>
        <w:sz w:val="18"/>
      </w:rPr>
      <w:fldChar w:fldCharType="begin"/>
    </w:r>
    <w:r w:rsidRPr="00B57EC4">
      <w:rPr>
        <w:b/>
        <w:sz w:val="18"/>
      </w:rPr>
      <w:instrText xml:space="preserve"> PAGE  \* MERGEFORMAT </w:instrText>
    </w:r>
    <w:r w:rsidRPr="00B57EC4">
      <w:rPr>
        <w:b/>
        <w:sz w:val="18"/>
      </w:rPr>
      <w:fldChar w:fldCharType="separate"/>
    </w:r>
    <w:r w:rsidR="0071478B">
      <w:rPr>
        <w:b/>
        <w:noProof/>
        <w:sz w:val="18"/>
      </w:rPr>
      <w:t>2</w:t>
    </w:r>
    <w:r w:rsidRPr="00B57E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57EC4" w:rsidRDefault="00B57EC4" w:rsidP="00B57EC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17-23411  (F)</w:t>
    </w:r>
    <w:r w:rsidR="00CB4F90">
      <w:rPr>
        <w:sz w:val="20"/>
      </w:rPr>
      <w:t xml:space="preserve">    310118    310118</w:t>
    </w:r>
    <w:r>
      <w:rPr>
        <w:sz w:val="20"/>
      </w:rPr>
      <w:br/>
    </w:r>
    <w:r w:rsidRPr="00B57EC4">
      <w:rPr>
        <w:rFonts w:ascii="C39T30Lfz" w:hAnsi="C39T30Lfz"/>
        <w:sz w:val="56"/>
      </w:rPr>
      <w:t></w:t>
    </w:r>
    <w:r w:rsidRPr="00B57EC4">
      <w:rPr>
        <w:rFonts w:ascii="C39T30Lfz" w:hAnsi="C39T30Lfz"/>
        <w:sz w:val="56"/>
      </w:rPr>
      <w:t></w:t>
    </w:r>
    <w:r w:rsidRPr="00B57EC4">
      <w:rPr>
        <w:rFonts w:ascii="C39T30Lfz" w:hAnsi="C39T30Lfz"/>
        <w:sz w:val="56"/>
      </w:rPr>
      <w:t></w:t>
    </w:r>
    <w:r w:rsidRPr="00B57EC4">
      <w:rPr>
        <w:rFonts w:ascii="C39T30Lfz" w:hAnsi="C39T30Lfz"/>
        <w:sz w:val="56"/>
      </w:rPr>
      <w:t></w:t>
    </w:r>
    <w:r w:rsidRPr="00B57EC4">
      <w:rPr>
        <w:rFonts w:ascii="C39T30Lfz" w:hAnsi="C39T30Lfz"/>
        <w:sz w:val="56"/>
      </w:rPr>
      <w:t></w:t>
    </w:r>
    <w:r w:rsidRPr="00B57EC4">
      <w:rPr>
        <w:rFonts w:ascii="C39T30Lfz" w:hAnsi="C39T30Lfz"/>
        <w:sz w:val="56"/>
      </w:rPr>
      <w:t></w:t>
    </w:r>
    <w:r w:rsidRPr="00B57EC4">
      <w:rPr>
        <w:rFonts w:ascii="C39T30Lfz" w:hAnsi="C39T30Lfz"/>
        <w:sz w:val="56"/>
      </w:rPr>
      <w:t></w:t>
    </w:r>
    <w:r w:rsidRPr="00B57EC4">
      <w:rPr>
        <w:rFonts w:ascii="C39T30Lfz" w:hAnsi="C39T30Lfz"/>
        <w:sz w:val="56"/>
      </w:rPr>
      <w:t></w:t>
    </w:r>
    <w:r w:rsidRPr="00B57EC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34" w:rsidRPr="00AC3823" w:rsidRDefault="00D91A3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1A34" w:rsidRPr="00AC3823" w:rsidRDefault="00D91A3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1A34" w:rsidRPr="00AC3823" w:rsidRDefault="00D91A34">
      <w:pPr>
        <w:spacing w:line="240" w:lineRule="auto"/>
        <w:rPr>
          <w:sz w:val="2"/>
          <w:szCs w:val="2"/>
        </w:rPr>
      </w:pPr>
    </w:p>
  </w:footnote>
  <w:footnote w:id="2">
    <w:p w:rsidR="00B57EC4" w:rsidRPr="00B57EC4" w:rsidRDefault="00B57EC4">
      <w:pPr>
        <w:pStyle w:val="FootnoteText"/>
      </w:pPr>
      <w:r>
        <w:rPr>
          <w:rStyle w:val="FootnoteReference"/>
        </w:rPr>
        <w:tab/>
      </w:r>
      <w:r w:rsidRPr="00B57EC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2016-2017 (ECE/TRANS/254, par.</w:t>
      </w:r>
      <w:r w:rsidR="00CB4F90">
        <w:t> </w:t>
      </w:r>
      <w:r>
        <w:t>159, et ECE/TRANS/2016/28/Add.1, module 3.1), le Forum mondial a pour mission d</w:t>
      </w:r>
      <w:r w:rsidR="00C650A8">
        <w:t>’</w:t>
      </w:r>
      <w:r>
        <w:t>élaborer, d</w:t>
      </w:r>
      <w:r w:rsidR="00C650A8">
        <w:t>’</w:t>
      </w:r>
      <w:r>
        <w:t>harmoniser et de mettre à jour les Règlements en vue d</w:t>
      </w:r>
      <w:r w:rsidR="00C650A8">
        <w:t>’</w:t>
      </w:r>
      <w: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C4" w:rsidRPr="00B57EC4" w:rsidRDefault="00EF423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5ED5">
      <w:t>ECE/TRANS/WP.29/2018/28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C4" w:rsidRPr="00B57EC4" w:rsidRDefault="00EF4235" w:rsidP="00B57EC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5ED5">
      <w:t>ECE/TRANS/WP.29/2018/28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478B"/>
    <w:rsid w:val="0071601D"/>
    <w:rsid w:val="007A62E6"/>
    <w:rsid w:val="007F20FA"/>
    <w:rsid w:val="0080684C"/>
    <w:rsid w:val="00871C75"/>
    <w:rsid w:val="008776DC"/>
    <w:rsid w:val="008C24A3"/>
    <w:rsid w:val="009446C0"/>
    <w:rsid w:val="009705C8"/>
    <w:rsid w:val="00994EC6"/>
    <w:rsid w:val="009C1CF4"/>
    <w:rsid w:val="009F6B74"/>
    <w:rsid w:val="00A30353"/>
    <w:rsid w:val="00AC3823"/>
    <w:rsid w:val="00AE323C"/>
    <w:rsid w:val="00AF0CB5"/>
    <w:rsid w:val="00B00181"/>
    <w:rsid w:val="00B00B0D"/>
    <w:rsid w:val="00B57EC4"/>
    <w:rsid w:val="00B765F7"/>
    <w:rsid w:val="00BA0CA9"/>
    <w:rsid w:val="00BC6605"/>
    <w:rsid w:val="00C02897"/>
    <w:rsid w:val="00C650A8"/>
    <w:rsid w:val="00C97039"/>
    <w:rsid w:val="00CB4F90"/>
    <w:rsid w:val="00D3439C"/>
    <w:rsid w:val="00D91A34"/>
    <w:rsid w:val="00DB1831"/>
    <w:rsid w:val="00DD3BFD"/>
    <w:rsid w:val="00DF6678"/>
    <w:rsid w:val="00E0299A"/>
    <w:rsid w:val="00E85C74"/>
    <w:rsid w:val="00EA6547"/>
    <w:rsid w:val="00EB5ED5"/>
    <w:rsid w:val="00EF2E22"/>
    <w:rsid w:val="00EF423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2B8FFA-2147-487B-B485-75DC496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ECE/TRANS/WP.29/2018/28</vt:lpstr>
      <vt:lpstr/>
    </vt:vector>
  </TitlesOfParts>
  <Company>DCM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ECE/TRANS/WP.29/2018/28</dc:title>
  <dc:subject/>
  <dc:creator>Pascale BEYSARD</dc:creator>
  <cp:keywords/>
  <cp:lastModifiedBy>Rev.26</cp:lastModifiedBy>
  <cp:revision>2</cp:revision>
  <cp:lastPrinted>2018-01-31T10:03:00Z</cp:lastPrinted>
  <dcterms:created xsi:type="dcterms:W3CDTF">2018-02-12T17:26:00Z</dcterms:created>
  <dcterms:modified xsi:type="dcterms:W3CDTF">2018-02-12T17:26:00Z</dcterms:modified>
</cp:coreProperties>
</file>