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9970DD">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9970DD">
              <w:rPr>
                <w:lang w:val="en-GB"/>
              </w:rPr>
              <w:t>9</w:t>
            </w:r>
          </w:p>
        </w:tc>
      </w:tr>
      <w:tr w:rsidR="00AF2205" w:rsidRPr="009970DD"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A6C5D" w:rsidP="00DB57ED">
            <w:pPr>
              <w:spacing w:line="240" w:lineRule="exact"/>
              <w:rPr>
                <w:lang w:val="en-GB"/>
              </w:rPr>
            </w:pPr>
            <w:r>
              <w:rPr>
                <w:lang w:val="en-GB"/>
              </w:rPr>
              <w:t>28</w:t>
            </w:r>
            <w:r w:rsidR="00DD1050">
              <w:rPr>
                <w:lang w:val="en-GB"/>
              </w:rPr>
              <w:t xml:space="preserve"> </w:t>
            </w:r>
            <w:r w:rsidR="00F804D4">
              <w:rPr>
                <w:lang w:val="en-GB"/>
              </w:rPr>
              <w:t>December</w:t>
            </w:r>
            <w:r w:rsidR="006817DA" w:rsidRPr="006817DA">
              <w:rPr>
                <w:lang w:val="en-GB"/>
              </w:rPr>
              <w:t xml:space="preserve"> </w:t>
            </w:r>
            <w:r w:rsidR="00AF2205" w:rsidRPr="00CA1678">
              <w:rPr>
                <w:lang w:val="en-GB"/>
              </w:rPr>
              <w:t>201</w:t>
            </w:r>
            <w:r w:rsidR="00DE6B21">
              <w:rPr>
                <w:lang w:val="en-GB"/>
              </w:rPr>
              <w:t>7</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804D4">
        <w:rPr>
          <w:b/>
          <w:lang w:val="en-US"/>
        </w:rPr>
        <w:t>4th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F804D4">
        <w:rPr>
          <w:lang w:val="en-US"/>
        </w:rPr>
        <w:t>3</w:t>
      </w:r>
      <w:r w:rsidR="00D17398">
        <w:rPr>
          <w:lang w:val="en-US"/>
        </w:rPr>
        <w:t>-1</w:t>
      </w:r>
      <w:r w:rsidR="00F804D4">
        <w:rPr>
          <w:lang w:val="en-US"/>
        </w:rPr>
        <w:t>6</w:t>
      </w:r>
      <w:r w:rsidR="004E7423">
        <w:rPr>
          <w:lang w:val="en-US"/>
        </w:rPr>
        <w:t xml:space="preserve"> </w:t>
      </w:r>
      <w:r w:rsidR="00F804D4">
        <w:rPr>
          <w:lang w:val="en-US"/>
        </w:rPr>
        <w:t>March</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444CAC">
        <w:rPr>
          <w:lang w:val="en-GB"/>
        </w:rPr>
        <w:t>7</w:t>
      </w:r>
      <w:r w:rsidR="00A90EA8">
        <w:rPr>
          <w:lang w:val="en-GB"/>
        </w:rPr>
        <w:t>.</w:t>
      </w:r>
      <w:r w:rsidR="00DE6B21">
        <w:rPr>
          <w:lang w:val="en-GB"/>
        </w:rPr>
        <w:t>1</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w:t>
      </w:r>
      <w:r w:rsidR="00444CAC">
        <w:rPr>
          <w:b/>
          <w:lang w:val="en-GB"/>
        </w:rPr>
        <w:t>RF</w:t>
      </w:r>
    </w:p>
    <w:p w:rsidR="002873BA" w:rsidRPr="00A90EA8" w:rsidRDefault="00A965F0" w:rsidP="00CA1678">
      <w:pPr>
        <w:pStyle w:val="HChG"/>
        <w:tabs>
          <w:tab w:val="clear" w:pos="851"/>
        </w:tabs>
        <w:ind w:firstLine="0"/>
        <w:jc w:val="both"/>
        <w:rPr>
          <w:lang w:val="en-GB"/>
        </w:rPr>
      </w:pPr>
      <w:r>
        <w:rPr>
          <w:lang w:val="en-GB"/>
        </w:rPr>
        <w:t xml:space="preserve">Proposal for </w:t>
      </w:r>
      <w:r w:rsidR="00B94603">
        <w:rPr>
          <w:lang w:val="en-GB"/>
        </w:rPr>
        <w:t xml:space="preserve">Supplement </w:t>
      </w:r>
      <w:r w:rsidR="00444CAC">
        <w:rPr>
          <w:lang w:val="en-GB"/>
        </w:rPr>
        <w:t>1</w:t>
      </w:r>
      <w:r w:rsidR="009970DD">
        <w:rPr>
          <w:lang w:val="en-GB"/>
        </w:rPr>
        <w:t>5</w:t>
      </w:r>
      <w:r w:rsidR="00B94603">
        <w:rPr>
          <w:lang w:val="en-GB"/>
        </w:rPr>
        <w:t xml:space="preserve"> to the </w:t>
      </w:r>
      <w:r w:rsidR="009970DD">
        <w:rPr>
          <w:lang w:val="en-GB"/>
        </w:rPr>
        <w:t>1</w:t>
      </w:r>
      <w:r w:rsidR="00B94603">
        <w:rPr>
          <w:lang w:val="en-GB"/>
        </w:rPr>
        <w:t xml:space="preserve">1 </w:t>
      </w:r>
      <w:r w:rsidR="00B94603" w:rsidRPr="00A90EA8">
        <w:rPr>
          <w:lang w:val="en-GB"/>
        </w:rPr>
        <w:t xml:space="preserve">series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444CAC">
        <w:rPr>
          <w:lang w:val="en-GB"/>
        </w:rPr>
        <w:t>13</w:t>
      </w:r>
      <w:r w:rsidR="00041ECD">
        <w:rPr>
          <w:lang w:val="en-GB"/>
        </w:rPr>
        <w:t xml:space="preserve"> (</w:t>
      </w:r>
      <w:r w:rsidR="009970DD">
        <w:rPr>
          <w:lang w:val="en-GB"/>
        </w:rPr>
        <w:t>Heavy vehicle braking</w:t>
      </w:r>
      <w:r w:rsidR="00041ECD">
        <w:rPr>
          <w:lang w:val="en-GB"/>
        </w:rPr>
        <w:t>)</w:t>
      </w:r>
      <w:bookmarkStart w:id="0" w:name="_GoBack"/>
      <w:bookmarkEnd w:id="0"/>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444CAC">
        <w:rPr>
          <w:b/>
          <w:sz w:val="24"/>
          <w:lang w:val="en-GB"/>
        </w:rPr>
        <w:t>Brakes and Running Gear</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 xml:space="preserve">The text reproduced below was adopted by the Working Party on </w:t>
      </w:r>
      <w:r w:rsidR="00444CAC">
        <w:rPr>
          <w:lang w:val="en-GB"/>
        </w:rPr>
        <w:t>Brakes and Running Gear</w:t>
      </w:r>
      <w:r w:rsidRPr="00A90EA8">
        <w:rPr>
          <w:lang w:val="en-GB"/>
        </w:rPr>
        <w:t xml:space="preserve"> (GR</w:t>
      </w:r>
      <w:r w:rsidR="00444CAC">
        <w:rPr>
          <w:lang w:val="en-GB"/>
        </w:rPr>
        <w:t>RF</w:t>
      </w:r>
      <w:r w:rsidRPr="00A90EA8">
        <w:rPr>
          <w:lang w:val="en-GB"/>
        </w:rPr>
        <w:t xml:space="preserve">) at its </w:t>
      </w:r>
      <w:r w:rsidR="00444CAC">
        <w:rPr>
          <w:lang w:val="en-GB"/>
        </w:rPr>
        <w:t>eighty-fourth</w:t>
      </w:r>
      <w:r w:rsidRPr="00A90EA8">
        <w:rPr>
          <w:vertAlign w:val="superscript"/>
          <w:lang w:val="en-GB"/>
        </w:rPr>
        <w:t xml:space="preserve"> </w:t>
      </w:r>
      <w:r w:rsidRPr="00A90EA8">
        <w:rPr>
          <w:lang w:val="en-GB"/>
        </w:rPr>
        <w:t>session (ECE/TRANS/WP.29/GR</w:t>
      </w:r>
      <w:r w:rsidR="00444CAC">
        <w:rPr>
          <w:lang w:val="en-GB"/>
        </w:rPr>
        <w:t>RF</w:t>
      </w:r>
      <w:r w:rsidRPr="00A90EA8">
        <w:rPr>
          <w:lang w:val="en-GB"/>
        </w:rPr>
        <w:t>/</w:t>
      </w:r>
      <w:r w:rsidR="00444CAC">
        <w:rPr>
          <w:lang w:val="en-GB"/>
        </w:rPr>
        <w:t>84</w:t>
      </w:r>
      <w:r w:rsidR="00DD1050">
        <w:rPr>
          <w:lang w:val="en-GB"/>
        </w:rPr>
        <w:t>, para. </w:t>
      </w:r>
      <w:r w:rsidR="009970DD">
        <w:rPr>
          <w:lang w:val="en-GB"/>
        </w:rPr>
        <w:t>15</w:t>
      </w:r>
      <w:r w:rsidRPr="00DD1050">
        <w:rPr>
          <w:spacing w:val="-14"/>
          <w:lang w:val="en-GB"/>
        </w:rPr>
        <w:t>)</w:t>
      </w:r>
      <w:r w:rsidRPr="00DD1050">
        <w:rPr>
          <w:spacing w:val="-14"/>
          <w:lang w:val="en-GB" w:eastAsia="it-IT"/>
        </w:rPr>
        <w:t xml:space="preserve">. </w:t>
      </w:r>
      <w:r w:rsidRPr="00DD1050">
        <w:rPr>
          <w:spacing w:val="-14"/>
          <w:lang w:val="en-GB" w:eastAsia="ja-JP"/>
        </w:rPr>
        <w:t>It is</w:t>
      </w:r>
      <w:r w:rsidR="00905C1B" w:rsidRPr="00DD1050">
        <w:rPr>
          <w:spacing w:val="-14"/>
          <w:lang w:val="en-GB" w:eastAsia="ja-JP"/>
        </w:rPr>
        <w:t xml:space="preserve"> </w:t>
      </w:r>
      <w:r w:rsidRPr="00DD1050">
        <w:rPr>
          <w:spacing w:val="-14"/>
          <w:lang w:val="en-GB"/>
        </w:rPr>
        <w:t xml:space="preserve">based on </w:t>
      </w:r>
      <w:r w:rsidR="009970DD" w:rsidRPr="00DD1050">
        <w:rPr>
          <w:spacing w:val="-14"/>
          <w:lang w:val="en-GB"/>
        </w:rPr>
        <w:t>ECE/TRANS/WP.29/GRRF/2017/2,</w:t>
      </w:r>
      <w:r w:rsidR="009970DD">
        <w:rPr>
          <w:lang w:val="en-GB"/>
        </w:rPr>
        <w:t xml:space="preserve"> ECE/TRANS/WP.29/GRRF/2017/11, ECE/TRANS/WP.29/GRRF/2017/12 and Annex V </w:t>
      </w:r>
      <w:r w:rsidR="00F804D4">
        <w:rPr>
          <w:lang w:val="en-GB"/>
        </w:rPr>
        <w:t>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F804D4">
        <w:rPr>
          <w:lang w:val="en-GB"/>
        </w:rPr>
        <w:t>March</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9970DD" w:rsidRDefault="009970DD" w:rsidP="009970DD">
      <w:pPr>
        <w:pStyle w:val="HChG"/>
        <w:rPr>
          <w:lang w:val="en-GB"/>
        </w:rPr>
      </w:pPr>
      <w:r>
        <w:rPr>
          <w:lang w:val="en-GB"/>
        </w:rPr>
        <w:lastRenderedPageBreak/>
        <w:tab/>
      </w:r>
      <w:r>
        <w:rPr>
          <w:lang w:val="en-GB"/>
        </w:rPr>
        <w:tab/>
        <w:t xml:space="preserve">Supplement 15 to the 11 </w:t>
      </w:r>
      <w:r w:rsidRPr="00A90EA8">
        <w:rPr>
          <w:lang w:val="en-GB"/>
        </w:rPr>
        <w:t xml:space="preserve">series of amendments to </w:t>
      </w:r>
      <w:r w:rsidR="00DD1050">
        <w:rPr>
          <w:lang w:val="en-GB"/>
        </w:rPr>
        <w:t>UN </w:t>
      </w:r>
      <w:r w:rsidRPr="00A90EA8">
        <w:rPr>
          <w:lang w:val="en-GB"/>
        </w:rPr>
        <w:t>Regulation</w:t>
      </w:r>
      <w:r>
        <w:rPr>
          <w:lang w:val="en-GB"/>
        </w:rPr>
        <w:t xml:space="preserve"> </w:t>
      </w:r>
      <w:r w:rsidRPr="00A90EA8">
        <w:rPr>
          <w:lang w:val="en-GB"/>
        </w:rPr>
        <w:t>No.</w:t>
      </w:r>
      <w:r>
        <w:rPr>
          <w:lang w:val="en-GB"/>
        </w:rPr>
        <w:t xml:space="preserve"> 13 (Heavy vehicle braking)</w:t>
      </w:r>
    </w:p>
    <w:p w:rsidR="009970DD" w:rsidRDefault="009970DD" w:rsidP="009970DD">
      <w:pPr>
        <w:pStyle w:val="SingleTxtG"/>
        <w:rPr>
          <w:lang w:val="en-US"/>
        </w:rPr>
      </w:pPr>
      <w:r>
        <w:rPr>
          <w:i/>
          <w:lang w:val="en-US"/>
        </w:rPr>
        <w:t>Footnote 12</w:t>
      </w:r>
      <w:r>
        <w:rPr>
          <w:lang w:val="en-US"/>
        </w:rPr>
        <w:t>, amend to read:</w:t>
      </w:r>
    </w:p>
    <w:p w:rsidR="009970DD" w:rsidRDefault="009970DD" w:rsidP="009970DD">
      <w:pPr>
        <w:suppressAutoHyphens w:val="0"/>
        <w:autoSpaceDE w:val="0"/>
        <w:autoSpaceDN w:val="0"/>
        <w:adjustRightInd w:val="0"/>
        <w:spacing w:before="120" w:after="120" w:line="240" w:lineRule="auto"/>
        <w:ind w:left="1134" w:right="1134"/>
        <w:mirrorIndents/>
        <w:jc w:val="both"/>
        <w:rPr>
          <w:lang w:val="en-US"/>
        </w:rPr>
      </w:pPr>
      <w:r>
        <w:rPr>
          <w:vertAlign w:val="superscript"/>
          <w:lang w:val="en-US"/>
        </w:rPr>
        <w:t>"</w:t>
      </w:r>
      <w:r>
        <w:separator/>
      </w:r>
    </w:p>
    <w:p w:rsidR="009970DD" w:rsidRPr="009970DD" w:rsidRDefault="009970DD" w:rsidP="009970DD">
      <w:pPr>
        <w:suppressAutoHyphens w:val="0"/>
        <w:autoSpaceDE w:val="0"/>
        <w:autoSpaceDN w:val="0"/>
        <w:adjustRightInd w:val="0"/>
        <w:spacing w:before="120" w:after="120" w:line="240" w:lineRule="auto"/>
        <w:ind w:left="1701" w:right="1134"/>
        <w:jc w:val="both"/>
        <w:rPr>
          <w:sz w:val="18"/>
          <w:szCs w:val="18"/>
          <w:lang w:val="en-US"/>
        </w:rPr>
      </w:pPr>
      <w:r>
        <w:rPr>
          <w:sz w:val="18"/>
          <w:szCs w:val="18"/>
          <w:vertAlign w:val="superscript"/>
          <w:lang w:val="en-US"/>
        </w:rPr>
        <w:t>12</w:t>
      </w:r>
      <w:r>
        <w:rPr>
          <w:sz w:val="18"/>
          <w:szCs w:val="18"/>
          <w:lang w:val="en-US"/>
        </w:rPr>
        <w:t xml:space="preserve">  Off-road vehicles, special purpose vehicles (e.g. mobile plant using nonstandard vehicle chassis, mobile cranes, hydro-static driven vehicles in which the hydraulic drive system is also used for braking and auxiliary functions, </w:t>
      </w:r>
      <w:r w:rsidRPr="009970DD">
        <w:rPr>
          <w:bCs/>
          <w:sz w:val="18"/>
          <w:szCs w:val="18"/>
          <w:lang w:val="en-US"/>
        </w:rPr>
        <w:t>vehicles having a non-standard chassis where the installation of sensor(s) for values of lateral acceleration and/or yaw rate, necessary for the function of the stability control, cannot be installed within the specified area close to the center of gravity of the vehicle without compromising its special purpose),</w:t>
      </w:r>
      <w:r>
        <w:rPr>
          <w:b/>
          <w:bCs/>
          <w:sz w:val="18"/>
          <w:szCs w:val="18"/>
          <w:lang w:val="en-US"/>
        </w:rPr>
        <w:t xml:space="preserve"> </w:t>
      </w:r>
      <w:r>
        <w:rPr>
          <w:sz w:val="18"/>
          <w:szCs w:val="18"/>
          <w:lang w:val="en-US"/>
        </w:rPr>
        <w:t>N</w:t>
      </w:r>
      <w:r>
        <w:rPr>
          <w:sz w:val="18"/>
          <w:szCs w:val="18"/>
          <w:vertAlign w:val="subscript"/>
          <w:lang w:val="en-US"/>
        </w:rPr>
        <w:t>2</w:t>
      </w:r>
      <w:r>
        <w:rPr>
          <w:sz w:val="18"/>
          <w:szCs w:val="18"/>
          <w:lang w:val="en-US"/>
        </w:rPr>
        <w:t xml:space="preserve"> vehicles which have all of the following features: a gross vehicle mass between 3.5 and 7.5 tonnes, a non-standard low-frame chassis, more than two axles and hydraulic transmission, Class I and Class A buses of categories M</w:t>
      </w:r>
      <w:r>
        <w:rPr>
          <w:sz w:val="18"/>
          <w:szCs w:val="18"/>
          <w:vertAlign w:val="subscript"/>
          <w:lang w:val="en-US"/>
        </w:rPr>
        <w:t>2</w:t>
      </w:r>
      <w:r>
        <w:rPr>
          <w:sz w:val="18"/>
          <w:szCs w:val="18"/>
          <w:lang w:val="en-US"/>
        </w:rPr>
        <w:t xml:space="preserve"> and M</w:t>
      </w:r>
      <w:r>
        <w:rPr>
          <w:sz w:val="18"/>
          <w:szCs w:val="18"/>
          <w:vertAlign w:val="subscript"/>
          <w:lang w:val="en-US"/>
        </w:rPr>
        <w:t>3</w:t>
      </w:r>
      <w:r>
        <w:rPr>
          <w:sz w:val="18"/>
          <w:szCs w:val="18"/>
          <w:lang w:val="en-US"/>
        </w:rPr>
        <w:t>, articulated buses and coaches, N</w:t>
      </w:r>
      <w:r>
        <w:rPr>
          <w:sz w:val="18"/>
          <w:szCs w:val="18"/>
          <w:vertAlign w:val="subscript"/>
          <w:lang w:val="en-US"/>
        </w:rPr>
        <w:t>2</w:t>
      </w:r>
      <w:r>
        <w:rPr>
          <w:sz w:val="18"/>
          <w:szCs w:val="18"/>
          <w:lang w:val="en-US"/>
        </w:rPr>
        <w:t xml:space="preserve"> tractors for semi-trailer with a gross vehicle mass (GVM) between 3.5 and 7.5 tonnes shall be excluded from this requirement."</w:t>
      </w:r>
    </w:p>
    <w:p w:rsidR="009970DD" w:rsidRPr="009970DD" w:rsidRDefault="009970DD" w:rsidP="009970DD">
      <w:pPr>
        <w:pStyle w:val="SingleTxtG"/>
        <w:rPr>
          <w:i/>
          <w:lang w:val="en-US"/>
        </w:rPr>
      </w:pPr>
      <w:r w:rsidRPr="009970DD">
        <w:rPr>
          <w:i/>
          <w:lang w:val="en-US"/>
        </w:rPr>
        <w:t>Annex 5,</w:t>
      </w:r>
    </w:p>
    <w:p w:rsidR="009970DD" w:rsidRPr="009970DD" w:rsidRDefault="009970DD" w:rsidP="009970DD">
      <w:pPr>
        <w:pStyle w:val="SingleTxtG"/>
        <w:rPr>
          <w:lang w:val="en-US"/>
        </w:rPr>
      </w:pPr>
      <w:r w:rsidRPr="009970DD">
        <w:rPr>
          <w:i/>
          <w:lang w:val="en-US"/>
        </w:rPr>
        <w:t>Paragraph 2.2. and 2.2.1.</w:t>
      </w:r>
      <w:r w:rsidRPr="009970DD">
        <w:rPr>
          <w:lang w:val="en-US"/>
        </w:rPr>
        <w:t>, shall be deleted</w:t>
      </w:r>
    </w:p>
    <w:p w:rsidR="009970DD" w:rsidRDefault="009970DD" w:rsidP="009970DD">
      <w:pPr>
        <w:pStyle w:val="SingleTxtG"/>
        <w:rPr>
          <w:lang w:val="en-US"/>
        </w:rPr>
      </w:pPr>
      <w:r w:rsidRPr="009970DD">
        <w:rPr>
          <w:i/>
          <w:lang w:val="en-US"/>
        </w:rPr>
        <w:t>Paragraphs. 2.3. to 2.4.1.</w:t>
      </w:r>
      <w:r w:rsidRPr="009970DD">
        <w:rPr>
          <w:lang w:val="en-US"/>
        </w:rPr>
        <w:t xml:space="preserve"> </w:t>
      </w:r>
      <w:r w:rsidRPr="009970DD">
        <w:rPr>
          <w:i/>
          <w:lang w:val="en-US"/>
        </w:rPr>
        <w:t>(former),</w:t>
      </w:r>
      <w:r w:rsidRPr="009970DD">
        <w:rPr>
          <w:lang w:val="en-US"/>
        </w:rPr>
        <w:t xml:space="preserve"> shall be renumber as paragraphs 2.2. to 2.3.1.</w:t>
      </w:r>
    </w:p>
    <w:p w:rsidR="009970DD" w:rsidRDefault="009970DD" w:rsidP="009970DD">
      <w:pPr>
        <w:spacing w:after="120"/>
        <w:ind w:left="1134" w:right="1134"/>
        <w:jc w:val="both"/>
        <w:rPr>
          <w:i/>
          <w:lang w:val="en-US"/>
        </w:rPr>
      </w:pPr>
      <w:r>
        <w:rPr>
          <w:i/>
          <w:lang w:val="en-US"/>
        </w:rPr>
        <w:t xml:space="preserve">Annex 12, </w:t>
      </w:r>
    </w:p>
    <w:p w:rsidR="009970DD" w:rsidRDefault="009970DD" w:rsidP="009970DD">
      <w:pPr>
        <w:spacing w:after="120"/>
        <w:ind w:left="2268" w:right="1134" w:hanging="1134"/>
        <w:jc w:val="both"/>
        <w:rPr>
          <w:lang w:val="en-US"/>
        </w:rPr>
      </w:pPr>
      <w:r>
        <w:rPr>
          <w:i/>
          <w:lang w:val="en-US"/>
        </w:rPr>
        <w:t>Paragraphs 2.3.10. and 2.3.11.,</w:t>
      </w:r>
      <w:r>
        <w:rPr>
          <w:lang w:val="en-US"/>
        </w:rPr>
        <w:t xml:space="preserve"> shall be deleted.</w:t>
      </w:r>
    </w:p>
    <w:p w:rsidR="009970DD" w:rsidRDefault="009970DD" w:rsidP="009970DD">
      <w:pPr>
        <w:spacing w:after="120"/>
        <w:ind w:left="2268" w:right="1134" w:hanging="1134"/>
        <w:jc w:val="both"/>
        <w:rPr>
          <w:lang w:val="en-US"/>
        </w:rPr>
      </w:pPr>
      <w:r>
        <w:rPr>
          <w:i/>
          <w:lang w:val="en-US"/>
        </w:rPr>
        <w:t xml:space="preserve">Paragraph 2.3.12. (former), </w:t>
      </w:r>
      <w:r>
        <w:rPr>
          <w:lang w:val="en-US"/>
        </w:rPr>
        <w:t>amend to read and renumber:</w:t>
      </w:r>
    </w:p>
    <w:p w:rsidR="009970DD" w:rsidRDefault="009970DD" w:rsidP="009970DD">
      <w:pPr>
        <w:tabs>
          <w:tab w:val="left" w:pos="2268"/>
        </w:tabs>
        <w:spacing w:after="120"/>
        <w:ind w:left="2835" w:right="1134" w:hanging="1701"/>
        <w:jc w:val="both"/>
        <w:rPr>
          <w:lang w:val="en-US"/>
        </w:rPr>
      </w:pPr>
      <w:r>
        <w:rPr>
          <w:lang w:val="en-US"/>
        </w:rPr>
        <w:t xml:space="preserve">"2.3.10. </w:t>
      </w:r>
      <w:r>
        <w:rPr>
          <w:lang w:val="en-US"/>
        </w:rPr>
        <w:tab/>
        <w:t>s</w:t>
      </w:r>
      <w:r>
        <w:rPr>
          <w:vertAlign w:val="subscript"/>
          <w:lang w:val="en-US"/>
        </w:rPr>
        <w:t>cd</w:t>
      </w:r>
      <w:r>
        <w:rPr>
          <w:lang w:val="en-US"/>
        </w:rPr>
        <w:tab/>
      </w:r>
      <w:r w:rsidRPr="009970DD">
        <w:rPr>
          <w:lang w:val="en-US"/>
        </w:rPr>
        <w:t>Maximum differential travel that the compensator is capable to  accommodate, due to its geometric and constructive properties, when only one brake operates in the forward direction and the other in reverse direction, while allowing equal tension in both cables/rods.</w:t>
      </w:r>
    </w:p>
    <w:p w:rsidR="009970DD" w:rsidRDefault="009970DD" w:rsidP="009970DD">
      <w:pPr>
        <w:spacing w:after="120"/>
        <w:ind w:left="2835" w:right="1134"/>
        <w:jc w:val="both"/>
        <w:rPr>
          <w:strike/>
          <w:lang w:val="en-US"/>
        </w:rPr>
      </w:pPr>
      <w:r>
        <w:rPr>
          <w:lang w:val="en-US"/>
        </w:rPr>
        <w:t>(See Figure 5A of appendix 1)"</w:t>
      </w:r>
    </w:p>
    <w:p w:rsidR="009970DD" w:rsidRDefault="009970DD" w:rsidP="009970DD">
      <w:pPr>
        <w:spacing w:after="120"/>
        <w:ind w:left="2268" w:right="1134" w:hanging="1134"/>
        <w:jc w:val="both"/>
        <w:rPr>
          <w:lang w:val="en-US"/>
        </w:rPr>
      </w:pPr>
      <w:r>
        <w:rPr>
          <w:i/>
          <w:lang w:val="en-US"/>
        </w:rPr>
        <w:t>Footnote 1</w:t>
      </w:r>
      <w:r>
        <w:rPr>
          <w:lang w:val="en-US"/>
        </w:rPr>
        <w:t>, shall be deleted.</w:t>
      </w:r>
    </w:p>
    <w:p w:rsidR="009970DD" w:rsidRDefault="009970DD" w:rsidP="009970DD">
      <w:pPr>
        <w:spacing w:after="120"/>
        <w:ind w:left="1134" w:right="1134"/>
        <w:rPr>
          <w:lang w:val="en-US"/>
        </w:rPr>
      </w:pPr>
      <w:r>
        <w:rPr>
          <w:i/>
          <w:lang w:val="en-US"/>
        </w:rPr>
        <w:t xml:space="preserve">Paragraph 8.1.2., </w:t>
      </w:r>
      <w:r>
        <w:rPr>
          <w:lang w:val="en-US"/>
        </w:rPr>
        <w:t>amend to read:</w:t>
      </w:r>
    </w:p>
    <w:p w:rsidR="009970DD" w:rsidRDefault="009970DD" w:rsidP="009970DD">
      <w:pPr>
        <w:spacing w:after="120"/>
        <w:ind w:left="2268" w:right="1134" w:hanging="1134"/>
        <w:jc w:val="both"/>
        <w:rPr>
          <w:lang w:val="en-US"/>
        </w:rPr>
      </w:pPr>
      <w:r>
        <w:rPr>
          <w:lang w:val="en-US"/>
        </w:rPr>
        <w:t>"8.1.2.</w:t>
      </w:r>
      <w:r>
        <w:rPr>
          <w:lang w:val="en-US"/>
        </w:rPr>
        <w:tab/>
        <w:t>Drawing details are to be provided to demonstrate that the compensator articulation is sufficient to ensure equal cable tension is applied to each of the rear cables. The compensator needs to have sufficient distance across the width to facilitate the differential travels left to right. The jaws of the yokes also need to be deep enough relative to their width to make sure that they do not prevent articulation when the compensator is at an angle.</w:t>
      </w:r>
    </w:p>
    <w:p w:rsidR="009970DD" w:rsidRDefault="009970DD" w:rsidP="009970DD">
      <w:pPr>
        <w:spacing w:after="120"/>
        <w:ind w:left="2268" w:right="1134" w:hanging="1"/>
        <w:jc w:val="both"/>
        <w:rPr>
          <w:strike/>
          <w:color w:val="000000"/>
          <w:lang w:val="en-US"/>
        </w:rPr>
      </w:pPr>
      <w:r>
        <w:rPr>
          <w:color w:val="000000"/>
          <w:lang w:val="en-US"/>
        </w:rPr>
        <w:t>Differential travel at compensator (s</w:t>
      </w:r>
      <w:r>
        <w:rPr>
          <w:color w:val="000000"/>
          <w:vertAlign w:val="subscript"/>
          <w:lang w:val="en-US"/>
        </w:rPr>
        <w:t>cd</w:t>
      </w:r>
      <w:r>
        <w:rPr>
          <w:color w:val="000000"/>
          <w:lang w:val="en-US"/>
        </w:rPr>
        <w:t>) shall be derived from:</w:t>
      </w:r>
    </w:p>
    <w:p w:rsidR="009970DD" w:rsidRPr="009970DD" w:rsidRDefault="009970DD" w:rsidP="009970DD">
      <w:pPr>
        <w:tabs>
          <w:tab w:val="left" w:pos="851"/>
        </w:tabs>
        <w:spacing w:after="120"/>
        <w:ind w:left="2268"/>
        <w:jc w:val="both"/>
        <w:rPr>
          <w:b/>
          <w:vertAlign w:val="subscript"/>
          <w:lang w:val="en-US" w:eastAsia="en-GB"/>
        </w:rPr>
      </w:pPr>
      <w:r w:rsidRPr="009970DD">
        <w:rPr>
          <w:lang w:val="en-US" w:eastAsia="en-GB"/>
        </w:rPr>
        <w:t>S</w:t>
      </w:r>
      <w:r w:rsidRPr="009970DD">
        <w:rPr>
          <w:vertAlign w:val="subscript"/>
          <w:lang w:val="en-US" w:eastAsia="en-GB"/>
        </w:rPr>
        <w:t>cd</w:t>
      </w:r>
      <w:r w:rsidRPr="009970DD">
        <w:rPr>
          <w:color w:val="000000"/>
          <w:lang w:val="en-US"/>
        </w:rPr>
        <w:t xml:space="preserve"> ≥ 1.2 • </w:t>
      </w:r>
      <w:r w:rsidRPr="009970DD">
        <w:rPr>
          <w:lang w:val="en-US" w:eastAsia="en-GB"/>
        </w:rPr>
        <w:t>S</w:t>
      </w:r>
      <w:r w:rsidRPr="009970DD">
        <w:rPr>
          <w:vertAlign w:val="subscript"/>
          <w:lang w:val="en-US" w:eastAsia="en-GB"/>
        </w:rPr>
        <w:t>r</w:t>
      </w:r>
      <w:r>
        <w:rPr>
          <w:color w:val="000000"/>
          <w:lang w:val="en-US"/>
        </w:rPr>
        <w:t>"</w:t>
      </w:r>
    </w:p>
    <w:p w:rsidR="009970DD" w:rsidRDefault="009970DD" w:rsidP="009970DD">
      <w:pPr>
        <w:keepNext/>
        <w:keepLines/>
        <w:tabs>
          <w:tab w:val="right" w:pos="851"/>
        </w:tabs>
        <w:spacing w:before="360" w:after="240" w:line="300" w:lineRule="exact"/>
        <w:ind w:left="1134" w:right="1134"/>
        <w:rPr>
          <w:b/>
          <w:sz w:val="22"/>
          <w:szCs w:val="22"/>
          <w:lang w:val="en-US"/>
        </w:rPr>
      </w:pPr>
      <w:r>
        <w:rPr>
          <w:i/>
          <w:lang w:val="en-US"/>
        </w:rPr>
        <w:lastRenderedPageBreak/>
        <w:t>Annex 12, Appendix 1,</w:t>
      </w:r>
      <w:r>
        <w:rPr>
          <w:b/>
          <w:i/>
          <w:lang w:val="en-US"/>
        </w:rPr>
        <w:t xml:space="preserve"> </w:t>
      </w:r>
      <w:r>
        <w:rPr>
          <w:i/>
          <w:lang w:val="en-US"/>
        </w:rPr>
        <w:t>Figure 5A</w:t>
      </w:r>
      <w:r>
        <w:rPr>
          <w:sz w:val="22"/>
          <w:szCs w:val="22"/>
          <w:lang w:val="en-US"/>
        </w:rPr>
        <w:t>, amend to read:</w:t>
      </w:r>
    </w:p>
    <w:p w:rsidR="009970DD" w:rsidRDefault="009970DD" w:rsidP="009970DD">
      <w:pPr>
        <w:spacing w:after="120"/>
        <w:ind w:left="284" w:right="1134"/>
        <w:rPr>
          <w:lang w:val="en-US"/>
        </w:rPr>
      </w:pPr>
      <w:r>
        <w:rPr>
          <w:noProof/>
          <w:lang w:val="en-GB" w:eastAsia="en-GB"/>
        </w:rPr>
        <w:drawing>
          <wp:inline distT="0" distB="0" distL="0" distR="0">
            <wp:extent cx="5781675" cy="4457700"/>
            <wp:effectExtent l="0" t="0" r="9525" b="0"/>
            <wp:docPr id="2" name="Picture 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
                    <pic:cNvPicPr>
                      <a:picLocks noChangeAspect="1" noChangeArrowheads="1"/>
                    </pic:cNvPicPr>
                  </pic:nvPicPr>
                  <pic:blipFill>
                    <a:blip r:embed="rId9">
                      <a:extLst>
                        <a:ext uri="{28A0092B-C50C-407E-A947-70E740481C1C}">
                          <a14:useLocalDpi xmlns:a14="http://schemas.microsoft.com/office/drawing/2010/main" val="0"/>
                        </a:ext>
                      </a:extLst>
                    </a:blip>
                    <a:srcRect t="510"/>
                    <a:stretch>
                      <a:fillRect/>
                    </a:stretch>
                  </pic:blipFill>
                  <pic:spPr bwMode="auto">
                    <a:xfrm>
                      <a:off x="0" y="0"/>
                      <a:ext cx="5781675" cy="4457700"/>
                    </a:xfrm>
                    <a:prstGeom prst="rect">
                      <a:avLst/>
                    </a:prstGeom>
                    <a:noFill/>
                    <a:ln>
                      <a:noFill/>
                    </a:ln>
                  </pic:spPr>
                </pic:pic>
              </a:graphicData>
            </a:graphic>
          </wp:inline>
        </w:drawing>
      </w:r>
    </w:p>
    <w:p w:rsidR="009970DD" w:rsidRDefault="009970DD" w:rsidP="009970DD">
      <w:pPr>
        <w:keepNext/>
        <w:keepLines/>
        <w:tabs>
          <w:tab w:val="right" w:pos="851"/>
        </w:tabs>
        <w:spacing w:after="120" w:line="300" w:lineRule="exact"/>
        <w:ind w:left="1134" w:right="1134"/>
        <w:rPr>
          <w:i/>
          <w:color w:val="0070C0"/>
          <w:lang w:val="en-US"/>
        </w:rPr>
      </w:pPr>
      <w:r>
        <w:rPr>
          <w:i/>
          <w:lang w:val="en-US"/>
        </w:rPr>
        <w:t>Annex 12, Appendix 4,</w:t>
      </w:r>
    </w:p>
    <w:p w:rsidR="009970DD" w:rsidRDefault="009970DD" w:rsidP="009970DD">
      <w:pPr>
        <w:keepNext/>
        <w:keepLines/>
        <w:tabs>
          <w:tab w:val="right" w:pos="851"/>
        </w:tabs>
        <w:spacing w:after="120" w:line="300" w:lineRule="exact"/>
        <w:ind w:left="1134" w:right="1134"/>
        <w:rPr>
          <w:lang w:val="en-US"/>
        </w:rPr>
      </w:pPr>
      <w:r>
        <w:rPr>
          <w:i/>
          <w:lang w:val="en-US"/>
        </w:rPr>
        <w:t>Paragraphs 6.1.1. to 6.1.3.,</w:t>
      </w:r>
      <w:r>
        <w:rPr>
          <w:lang w:val="en-US"/>
        </w:rPr>
        <w:t xml:space="preserve"> shall be deleted</w:t>
      </w:r>
    </w:p>
    <w:p w:rsidR="009970DD" w:rsidRDefault="009970DD" w:rsidP="009970DD">
      <w:pPr>
        <w:keepNext/>
        <w:keepLines/>
        <w:tabs>
          <w:tab w:val="right" w:pos="851"/>
        </w:tabs>
        <w:spacing w:after="120" w:line="300" w:lineRule="exact"/>
        <w:ind w:left="1134" w:right="1134"/>
        <w:rPr>
          <w:lang w:val="en-US"/>
        </w:rPr>
      </w:pPr>
      <w:r>
        <w:rPr>
          <w:i/>
          <w:lang w:val="en-US"/>
        </w:rPr>
        <w:t>Insert new paragraphs 6.1.1. and 6.1.2.,</w:t>
      </w:r>
      <w:r>
        <w:rPr>
          <w:lang w:val="en-US"/>
        </w:rPr>
        <w:t xml:space="preserve"> to read:</w:t>
      </w:r>
    </w:p>
    <w:p w:rsidR="009970DD" w:rsidRPr="009970DD" w:rsidRDefault="009970DD" w:rsidP="009970DD">
      <w:pPr>
        <w:keepNext/>
        <w:keepLines/>
        <w:tabs>
          <w:tab w:val="right" w:pos="851"/>
        </w:tabs>
        <w:spacing w:after="120" w:line="300" w:lineRule="exact"/>
        <w:ind w:left="2268" w:right="1134" w:hanging="1134"/>
        <w:rPr>
          <w:lang w:val="en-US"/>
        </w:rPr>
      </w:pPr>
      <w:r w:rsidRPr="009970DD">
        <w:rPr>
          <w:lang w:val="en-US"/>
        </w:rPr>
        <w:t>"6.1.1.</w:t>
      </w:r>
      <w:r w:rsidRPr="009970DD">
        <w:rPr>
          <w:lang w:val="en-US"/>
        </w:rPr>
        <w:tab/>
        <w:t>Maximum possible differential compensator travel capacity</w:t>
      </w:r>
      <w:r w:rsidRPr="009970DD">
        <w:rPr>
          <w:lang w:val="en-US"/>
        </w:rPr>
        <w:tab/>
        <w:t xml:space="preserve"> </w:t>
      </w:r>
      <w:r w:rsidRPr="009970DD">
        <w:rPr>
          <w:lang w:val="en-US"/>
        </w:rPr>
        <w:br/>
        <w:t>s</w:t>
      </w:r>
      <w:r w:rsidRPr="009970DD">
        <w:rPr>
          <w:vertAlign w:val="subscript"/>
          <w:lang w:val="en-US"/>
        </w:rPr>
        <w:t>cd</w:t>
      </w:r>
      <w:r w:rsidRPr="009970DD">
        <w:rPr>
          <w:lang w:val="en-US"/>
        </w:rPr>
        <w:t>=</w:t>
      </w:r>
      <w:r w:rsidRPr="009970DD">
        <w:rPr>
          <w:lang w:val="en-US"/>
        </w:rPr>
        <w:tab/>
      </w:r>
      <w:r w:rsidRPr="009970DD">
        <w:rPr>
          <w:lang w:val="en-US"/>
        </w:rPr>
        <w:tab/>
        <w:t>mm</w:t>
      </w:r>
    </w:p>
    <w:p w:rsidR="009970DD" w:rsidRPr="009970DD" w:rsidRDefault="009970DD" w:rsidP="009970DD">
      <w:pPr>
        <w:spacing w:after="120"/>
        <w:ind w:left="1134" w:right="1134"/>
        <w:rPr>
          <w:lang w:val="en-US"/>
        </w:rPr>
      </w:pPr>
      <w:r w:rsidRPr="009970DD">
        <w:rPr>
          <w:lang w:val="en-US"/>
        </w:rPr>
        <w:t>6.1.2.</w:t>
      </w:r>
      <w:r w:rsidRPr="009970DD">
        <w:rPr>
          <w:lang w:val="en-US"/>
        </w:rPr>
        <w:tab/>
      </w:r>
      <w:r w:rsidRPr="009970DD">
        <w:rPr>
          <w:lang w:val="en-US"/>
        </w:rPr>
        <w:tab/>
        <w:t>Ratio 1.2 * s</w:t>
      </w:r>
      <w:r w:rsidRPr="009970DD">
        <w:rPr>
          <w:vertAlign w:val="subscript"/>
          <w:lang w:val="en-US"/>
        </w:rPr>
        <w:t>R</w:t>
      </w:r>
      <w:r w:rsidRPr="009970DD">
        <w:rPr>
          <w:lang w:val="en-US"/>
        </w:rPr>
        <w:t xml:space="preserve"> = ___________ mm</w:t>
      </w:r>
      <w:r w:rsidRPr="009970DD">
        <w:rPr>
          <w:lang w:val="en-US"/>
        </w:rPr>
        <w:br/>
      </w:r>
      <w:r w:rsidRPr="009970DD">
        <w:rPr>
          <w:lang w:val="en-US"/>
        </w:rPr>
        <w:tab/>
      </w:r>
      <w:r w:rsidRPr="009970DD">
        <w:rPr>
          <w:lang w:val="en-US"/>
        </w:rPr>
        <w:tab/>
        <w:t>(shall not be greater than s</w:t>
      </w:r>
      <w:r w:rsidRPr="009970DD">
        <w:rPr>
          <w:vertAlign w:val="subscript"/>
          <w:lang w:val="en-US"/>
        </w:rPr>
        <w:t>cd</w:t>
      </w:r>
      <w:r w:rsidRPr="009970DD">
        <w:rPr>
          <w:lang w:val="en-US"/>
        </w:rPr>
        <w: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A6C5D">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A6C5D">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6636B2">
        <w:rPr>
          <w:szCs w:val="18"/>
          <w:lang w:val="en-US"/>
        </w:rPr>
        <w:t xml:space="preserve">In accordance with the programme of work of the Inland Transport Committee for </w:t>
      </w:r>
      <w:r w:rsidRPr="00DD1050">
        <w:rPr>
          <w:szCs w:val="18"/>
          <w:lang w:val="en-US"/>
        </w:rPr>
        <w:t>2016–2017 (ECE/TRANS/254, para. 159 and ECE/TRANS/2016/28/Add.1, cluster 3.1)</w:t>
      </w:r>
      <w:r w:rsidRPr="006636B2">
        <w:rPr>
          <w:szCs w:val="18"/>
          <w:lang w:val="en-US"/>
        </w:rPr>
        <w:t xml:space="preserve">, the World Forum will develop, harmonize and update </w:t>
      </w:r>
      <w:r w:rsidR="00103158" w:rsidRPr="00DD1050">
        <w:rPr>
          <w:szCs w:val="18"/>
          <w:lang w:val="en-US"/>
        </w:rPr>
        <w:t>UN</w:t>
      </w:r>
      <w:r w:rsidR="00103158">
        <w:rPr>
          <w:szCs w:val="18"/>
          <w:lang w:val="en-US"/>
        </w:rPr>
        <w:t xml:space="preserve"> </w:t>
      </w:r>
      <w:r w:rsidR="00F67B55">
        <w:rPr>
          <w:szCs w:val="18"/>
          <w:lang w:val="en-US"/>
        </w:rPr>
        <w:t>r</w:t>
      </w:r>
      <w:r w:rsidRPr="006636B2">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E02A4F" w:rsidRDefault="00F804D4" w:rsidP="009556DB">
    <w:pPr>
      <w:pStyle w:val="Header"/>
      <w:rPr>
        <w:lang w:val="en-US"/>
      </w:rPr>
    </w:pPr>
    <w:r>
      <w:rPr>
        <w:lang w:val="en-US"/>
      </w:rPr>
      <w:t>ECE/TRANS/WP.29/2018</w:t>
    </w:r>
    <w:r w:rsidR="00434D73">
      <w:rPr>
        <w:lang w:val="en-US"/>
      </w:rPr>
      <w:t>/</w:t>
    </w:r>
    <w:r w:rsidR="009970DD">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E02A4F" w:rsidRDefault="00434D73" w:rsidP="009A6A9E">
    <w:pPr>
      <w:pStyle w:val="Header"/>
      <w:jc w:val="right"/>
      <w:rPr>
        <w:lang w:val="en-US"/>
      </w:rPr>
    </w:pPr>
    <w:r>
      <w:rPr>
        <w:lang w:val="en-US"/>
      </w:rPr>
      <w:t>ECE/TRANS/WP.29/201</w:t>
    </w:r>
    <w:r w:rsidR="00C02647">
      <w:rPr>
        <w:lang w:val="en-US"/>
      </w:rPr>
      <w:t>8</w:t>
    </w:r>
    <w:r>
      <w:rPr>
        <w:lang w:val="en-US"/>
      </w:rPr>
      <w:t>/</w:t>
    </w:r>
    <w:r w:rsidR="00C02647">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CAC"/>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0DD"/>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647"/>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1050"/>
    <w:rsid w:val="00DD15DE"/>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C5D"/>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6B9C7291"/>
  <w15:docId w15:val="{A376FC82-B62D-48DF-962F-BB19B87A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56202478">
      <w:bodyDiv w:val="1"/>
      <w:marLeft w:val="0"/>
      <w:marRight w:val="0"/>
      <w:marTop w:val="0"/>
      <w:marBottom w:val="0"/>
      <w:divBdr>
        <w:top w:val="none" w:sz="0" w:space="0" w:color="auto"/>
        <w:left w:val="none" w:sz="0" w:space="0" w:color="auto"/>
        <w:bottom w:val="none" w:sz="0" w:space="0" w:color="auto"/>
        <w:right w:val="none" w:sz="0" w:space="0" w:color="auto"/>
      </w:divBdr>
    </w:div>
    <w:div w:id="1138105840">
      <w:bodyDiv w:val="1"/>
      <w:marLeft w:val="0"/>
      <w:marRight w:val="0"/>
      <w:marTop w:val="0"/>
      <w:marBottom w:val="0"/>
      <w:divBdr>
        <w:top w:val="none" w:sz="0" w:space="0" w:color="auto"/>
        <w:left w:val="none" w:sz="0" w:space="0" w:color="auto"/>
        <w:bottom w:val="none" w:sz="0" w:space="0" w:color="auto"/>
        <w:right w:val="none" w:sz="0" w:space="0" w:color="auto"/>
      </w:divBdr>
    </w:div>
    <w:div w:id="13608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3E46-570B-4DEB-A75F-FD186B7D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8</cp:revision>
  <cp:lastPrinted>2017-12-28T13:11:00Z</cp:lastPrinted>
  <dcterms:created xsi:type="dcterms:W3CDTF">2017-12-11T11:47:00Z</dcterms:created>
  <dcterms:modified xsi:type="dcterms:W3CDTF">2017-12-28T13:11:00Z</dcterms:modified>
</cp:coreProperties>
</file>