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D605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D6057" w:rsidP="00AD6057">
            <w:pPr>
              <w:jc w:val="right"/>
            </w:pPr>
            <w:r w:rsidRPr="00AD6057">
              <w:rPr>
                <w:sz w:val="40"/>
              </w:rPr>
              <w:t>ECE</w:t>
            </w:r>
            <w:r>
              <w:t>/TRANS/WP.29/2018/8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D6057" w:rsidP="00C97039">
            <w:pPr>
              <w:spacing w:before="240"/>
            </w:pPr>
            <w:r>
              <w:t>Distr. générale</w:t>
            </w:r>
          </w:p>
          <w:p w:rsidR="00AD6057" w:rsidRDefault="00AD6057" w:rsidP="00AD6057">
            <w:pPr>
              <w:spacing w:line="240" w:lineRule="exact"/>
            </w:pPr>
            <w:r>
              <w:t>26 décembre 2017</w:t>
            </w:r>
          </w:p>
          <w:p w:rsidR="00AD6057" w:rsidRDefault="00AD6057" w:rsidP="00AD6057">
            <w:pPr>
              <w:spacing w:line="240" w:lineRule="exact"/>
            </w:pPr>
            <w:r>
              <w:t>Français</w:t>
            </w:r>
          </w:p>
          <w:p w:rsidR="00AD6057" w:rsidRPr="00DB58B5" w:rsidRDefault="00AD6057" w:rsidP="00AD605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D6057" w:rsidRPr="00C74F23" w:rsidRDefault="00AD6057" w:rsidP="00C74F23">
      <w:pPr>
        <w:kinsoku/>
        <w:overflowPunct/>
        <w:autoSpaceDE/>
        <w:autoSpaceDN/>
        <w:adjustRightInd/>
        <w:snapToGrid/>
        <w:spacing w:before="120" w:line="260" w:lineRule="atLeast"/>
        <w:ind w:right="2977"/>
        <w:rPr>
          <w:rFonts w:eastAsia="Times New Roman"/>
          <w:b/>
          <w:sz w:val="24"/>
          <w:szCs w:val="24"/>
        </w:rPr>
      </w:pPr>
      <w:r w:rsidRPr="00C74F23">
        <w:rPr>
          <w:b/>
          <w:sz w:val="24"/>
          <w:szCs w:val="24"/>
        </w:rPr>
        <w:t xml:space="preserve">Forum mondial de l’harmonisation </w:t>
      </w:r>
      <w:r w:rsidRPr="00C74F23">
        <w:rPr>
          <w:b/>
          <w:sz w:val="24"/>
          <w:szCs w:val="24"/>
        </w:rPr>
        <w:br/>
        <w:t>des Règlements concernant les véhicules</w:t>
      </w:r>
    </w:p>
    <w:p w:rsidR="00AD6057" w:rsidRPr="001331AA" w:rsidRDefault="00AD6057" w:rsidP="00AD6057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1331AA">
        <w:rPr>
          <w:b/>
        </w:rPr>
        <w:t>174</w:t>
      </w:r>
      <w:r w:rsidRPr="001331AA">
        <w:rPr>
          <w:b/>
          <w:vertAlign w:val="superscript"/>
        </w:rPr>
        <w:t>e</w:t>
      </w:r>
      <w:r w:rsidRPr="001331AA">
        <w:rPr>
          <w:b/>
        </w:rPr>
        <w:t xml:space="preserve"> session</w:t>
      </w:r>
    </w:p>
    <w:p w:rsidR="00AD6057" w:rsidRPr="001331AA" w:rsidRDefault="00AD6057" w:rsidP="00AD6057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1331AA">
        <w:t>Genève, 13-16 mars 2018</w:t>
      </w:r>
    </w:p>
    <w:p w:rsidR="00AD6057" w:rsidRPr="001331AA" w:rsidRDefault="00AD6057" w:rsidP="00AD6057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1331AA">
        <w:t>Point 4.7.1 de l</w:t>
      </w:r>
      <w:r>
        <w:t>’</w:t>
      </w:r>
      <w:r w:rsidRPr="001331AA">
        <w:t>ordre du jour provisoire</w:t>
      </w:r>
    </w:p>
    <w:p w:rsidR="00AD6057" w:rsidRPr="001331AA" w:rsidRDefault="00AD6057" w:rsidP="00AD6057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1331AA">
        <w:rPr>
          <w:b/>
        </w:rPr>
        <w:t>Accord de 1958 :</w:t>
      </w:r>
      <w:r w:rsidRPr="001331AA">
        <w:rPr>
          <w:b/>
        </w:rPr>
        <w:br/>
        <w:t>Examen de projets d</w:t>
      </w:r>
      <w:r>
        <w:rPr>
          <w:b/>
        </w:rPr>
        <w:t>’</w:t>
      </w:r>
      <w:r w:rsidRPr="001331AA">
        <w:rPr>
          <w:b/>
        </w:rPr>
        <w:t>amendements</w:t>
      </w:r>
    </w:p>
    <w:p w:rsidR="00AD6057" w:rsidRPr="001331AA" w:rsidRDefault="00AD6057" w:rsidP="00AD6057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1331AA">
        <w:rPr>
          <w:b/>
        </w:rPr>
        <w:t>à des Règlements existants, soumis par le GRRF</w:t>
      </w:r>
    </w:p>
    <w:p w:rsidR="00AD6057" w:rsidRPr="001331AA" w:rsidRDefault="00AD6057" w:rsidP="00AD6057">
      <w:pPr>
        <w:pStyle w:val="HChG"/>
        <w:rPr>
          <w:rFonts w:eastAsia="Times New Roman"/>
        </w:rPr>
      </w:pPr>
      <w:r>
        <w:tab/>
      </w:r>
      <w:r>
        <w:tab/>
      </w:r>
      <w:r w:rsidRPr="001331AA">
        <w:t>Proposition de complément 1 à la série 01 d</w:t>
      </w:r>
      <w:r>
        <w:t>’</w:t>
      </w:r>
      <w:r w:rsidRPr="001331AA">
        <w:t xml:space="preserve">amendements </w:t>
      </w:r>
      <w:r>
        <w:br/>
      </w:r>
      <w:r w:rsidRPr="001331AA">
        <w:t>au</w:t>
      </w:r>
      <w:r>
        <w:t xml:space="preserve"> </w:t>
      </w:r>
      <w:r w:rsidRPr="001331AA">
        <w:t>Règlement n</w:t>
      </w:r>
      <w:r w:rsidRPr="001331AA">
        <w:rPr>
          <w:vertAlign w:val="superscript"/>
        </w:rPr>
        <w:t>o</w:t>
      </w:r>
      <w:r w:rsidRPr="001331AA">
        <w:t xml:space="preserve"> 13-H (Freins des véhicules des catégories </w:t>
      </w:r>
      <w:r>
        <w:br/>
      </w:r>
      <w:r w:rsidRPr="001331AA">
        <w:t>M</w:t>
      </w:r>
      <w:r w:rsidRPr="001331AA">
        <w:rPr>
          <w:vertAlign w:val="subscript"/>
        </w:rPr>
        <w:t>1</w:t>
      </w:r>
      <w:r w:rsidRPr="001331AA">
        <w:t xml:space="preserve"> et N</w:t>
      </w:r>
      <w:r w:rsidRPr="001331AA">
        <w:rPr>
          <w:vertAlign w:val="subscript"/>
        </w:rPr>
        <w:t>1</w:t>
      </w:r>
      <w:r w:rsidRPr="001331AA">
        <w:t>)</w:t>
      </w:r>
    </w:p>
    <w:p w:rsidR="00AD6057" w:rsidRPr="001331AA" w:rsidRDefault="00AD6057" w:rsidP="00AD6057">
      <w:pPr>
        <w:pStyle w:val="H1G"/>
        <w:rPr>
          <w:rFonts w:eastAsia="Times New Roman"/>
        </w:rPr>
      </w:pPr>
      <w:r>
        <w:tab/>
      </w:r>
      <w:r>
        <w:tab/>
      </w:r>
      <w:r w:rsidRPr="001331AA">
        <w:t xml:space="preserve">Communication du Groupe de travail en matière de roulement </w:t>
      </w:r>
      <w:r>
        <w:br/>
      </w:r>
      <w:r w:rsidRPr="001331AA">
        <w:t>et de freinage</w:t>
      </w:r>
      <w:r w:rsidRPr="006347A2">
        <w:rPr>
          <w:rFonts w:eastAsia="Times New Roman"/>
          <w:b w:val="0"/>
          <w:sz w:val="20"/>
        </w:rPr>
        <w:footnoteReference w:customMarkFollows="1" w:id="2"/>
        <w:t>*</w:t>
      </w:r>
    </w:p>
    <w:p w:rsidR="00AD6057" w:rsidRPr="001331AA" w:rsidRDefault="00AD6057" w:rsidP="00AD6057">
      <w:pPr>
        <w:kinsoku/>
        <w:overflowPunct/>
        <w:autoSpaceDE/>
        <w:autoSpaceDN/>
        <w:adjustRightInd/>
        <w:snapToGrid/>
        <w:spacing w:after="120"/>
        <w:ind w:left="1134" w:right="1134" w:firstLine="567"/>
        <w:jc w:val="both"/>
        <w:rPr>
          <w:rFonts w:eastAsia="Times New Roman"/>
        </w:rPr>
      </w:pPr>
      <w:r w:rsidRPr="001331AA">
        <w:t xml:space="preserve">Le texte reproduit ci-après, adopté par le Groupe de travail en matière de roulement et de freinage (GRRF) à sa quatre-vingt-quatrième session (ECE/TRANS/WP.29/GRRF/84, par. 49), est fondé sur le </w:t>
      </w:r>
      <w:r w:rsidRPr="00B368B2">
        <w:t>texte de l</w:t>
      </w:r>
      <w:r>
        <w:t>’</w:t>
      </w:r>
      <w:r w:rsidRPr="00B368B2">
        <w:t>annexe</w:t>
      </w:r>
      <w:r>
        <w:t> </w:t>
      </w:r>
      <w:r w:rsidRPr="00B368B2">
        <w:t xml:space="preserve">V du </w:t>
      </w:r>
      <w:r w:rsidRPr="001331AA">
        <w:t>document ECE/TRANS/WP.29/GRRF/84. Il est soumis au Forum mondial de l</w:t>
      </w:r>
      <w:r>
        <w:t>’</w:t>
      </w:r>
      <w:r w:rsidRPr="001331AA">
        <w:t>harmonisation des Règlements concernant les véhicules (WP.29) et au Comité d</w:t>
      </w:r>
      <w:r>
        <w:t>’</w:t>
      </w:r>
      <w:r w:rsidRPr="001331AA">
        <w:t>administration (AC.1) pour examen à leurs sessions de mars 2018.</w:t>
      </w:r>
    </w:p>
    <w:p w:rsidR="00AD6057" w:rsidRPr="004229EB" w:rsidRDefault="00AD6057" w:rsidP="00DE5549">
      <w:pPr>
        <w:pStyle w:val="HChG"/>
        <w:rPr>
          <w:rFonts w:eastAsia="Times New Roman"/>
          <w:sz w:val="20"/>
        </w:rPr>
      </w:pPr>
      <w:r w:rsidRPr="001331AA">
        <w:rPr>
          <w:sz w:val="32"/>
        </w:rPr>
        <w:br w:type="page"/>
      </w:r>
      <w:r w:rsidRPr="001331AA">
        <w:lastRenderedPageBreak/>
        <w:tab/>
      </w:r>
      <w:r w:rsidRPr="001331AA">
        <w:tab/>
        <w:t>Complément 1 à la série 01 d</w:t>
      </w:r>
      <w:r>
        <w:t>’</w:t>
      </w:r>
      <w:r w:rsidRPr="001331AA">
        <w:t>amendements au Règlement n</w:t>
      </w:r>
      <w:r w:rsidRPr="001331AA">
        <w:rPr>
          <w:vertAlign w:val="superscript"/>
        </w:rPr>
        <w:t>o</w:t>
      </w:r>
      <w:r w:rsidRPr="001331AA">
        <w:t> 13-H (Freins des véhicules des catégories M</w:t>
      </w:r>
      <w:r w:rsidRPr="001331AA">
        <w:rPr>
          <w:vertAlign w:val="subscript"/>
        </w:rPr>
        <w:t>1</w:t>
      </w:r>
      <w:r w:rsidRPr="001331AA">
        <w:t xml:space="preserve"> et N</w:t>
      </w:r>
      <w:r w:rsidRPr="001331AA">
        <w:rPr>
          <w:vertAlign w:val="subscript"/>
        </w:rPr>
        <w:t>1</w:t>
      </w:r>
      <w:r w:rsidRPr="001331AA">
        <w:t>)</w:t>
      </w:r>
    </w:p>
    <w:p w:rsidR="00AD6057" w:rsidRPr="001331AA" w:rsidRDefault="00AD6057" w:rsidP="00AD6057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  <w:i/>
        </w:rPr>
      </w:pPr>
      <w:r w:rsidRPr="001331AA">
        <w:rPr>
          <w:i/>
        </w:rPr>
        <w:t>Annexe 9</w:t>
      </w:r>
      <w:r w:rsidRPr="00E76E59">
        <w:t>,</w:t>
      </w:r>
      <w:r w:rsidRPr="001331AA">
        <w:rPr>
          <w:i/>
        </w:rPr>
        <w:t xml:space="preserve"> </w:t>
      </w:r>
    </w:p>
    <w:p w:rsidR="00AD6057" w:rsidRPr="001331AA" w:rsidRDefault="00AD6057" w:rsidP="00AD6057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  <w:b/>
          <w:i/>
        </w:rPr>
      </w:pPr>
      <w:r w:rsidRPr="001331AA">
        <w:rPr>
          <w:i/>
        </w:rPr>
        <w:t>Partie A</w:t>
      </w:r>
      <w:r w:rsidRPr="00E76E59">
        <w:t>,</w:t>
      </w:r>
      <w:r w:rsidRPr="001331AA">
        <w:rPr>
          <w:i/>
        </w:rPr>
        <w:t xml:space="preserve"> </w:t>
      </w:r>
    </w:p>
    <w:p w:rsidR="00AD6057" w:rsidRPr="001331AA" w:rsidRDefault="00AD6057" w:rsidP="004229EB">
      <w:pPr>
        <w:pStyle w:val="SingleTxtG"/>
        <w:rPr>
          <w:rFonts w:eastAsia="Times New Roman"/>
        </w:rPr>
      </w:pPr>
      <w:r w:rsidRPr="004229EB">
        <w:rPr>
          <w:i/>
        </w:rPr>
        <w:t>Paragraphe 3.4</w:t>
      </w:r>
      <w:r w:rsidRPr="001331AA">
        <w:t>, lire</w:t>
      </w:r>
      <w:r w:rsidR="004229EB">
        <w:t> </w:t>
      </w:r>
      <w:r w:rsidRPr="001331AA">
        <w:t xml:space="preserve">: </w:t>
      </w:r>
    </w:p>
    <w:p w:rsidR="00AD6057" w:rsidRPr="001331AA" w:rsidRDefault="00AD6057" w:rsidP="004229EB">
      <w:pPr>
        <w:pStyle w:val="SingleTxtG"/>
        <w:keepNext/>
        <w:ind w:left="2268" w:hanging="1134"/>
        <w:jc w:val="left"/>
        <w:rPr>
          <w:rFonts w:eastAsia="Times New Roman"/>
        </w:rPr>
      </w:pPr>
      <w:r w:rsidRPr="001331AA">
        <w:t xml:space="preserve">« 3.4 </w:t>
      </w:r>
      <w:r w:rsidRPr="001331AA">
        <w:tab/>
        <w:t>Détection d</w:t>
      </w:r>
      <w:r>
        <w:t>’</w:t>
      </w:r>
      <w:r w:rsidRPr="001331AA">
        <w:t>un défaut de fonctionnement d</w:t>
      </w:r>
      <w:r>
        <w:t>e l’ESC</w:t>
      </w:r>
    </w:p>
    <w:p w:rsidR="00AD6057" w:rsidRPr="001331AA" w:rsidRDefault="00AD6057" w:rsidP="004229EB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1331AA">
        <w:tab/>
        <w:t>Le véhicule doit être équipé d</w:t>
      </w:r>
      <w:r>
        <w:t>’</w:t>
      </w:r>
      <w:r w:rsidRPr="001331AA">
        <w:t>un témoin qui prévienne le conducteur de l</w:t>
      </w:r>
      <w:r>
        <w:t>’</w:t>
      </w:r>
      <w:r w:rsidRPr="001331AA">
        <w:t>apparition de tout défaut de fonctionnement qui affecte la génération ou la transmission des signaux de commande ou de réponse dans le système de contrôle de stabilité du véhicule.</w:t>
      </w:r>
    </w:p>
    <w:p w:rsidR="00AD6057" w:rsidRPr="001331AA" w:rsidRDefault="00AD6057" w:rsidP="004229EB">
      <w:pPr>
        <w:pStyle w:val="SingleTxtG"/>
        <w:keepNext/>
        <w:ind w:left="2268" w:hanging="1134"/>
        <w:jc w:val="left"/>
        <w:rPr>
          <w:rFonts w:eastAsia="Times New Roman"/>
        </w:rPr>
      </w:pPr>
      <w:r w:rsidRPr="001331AA">
        <w:t xml:space="preserve">3.4.1 </w:t>
      </w:r>
      <w:r w:rsidRPr="001331AA">
        <w:tab/>
        <w:t>Ce témoin :</w:t>
      </w:r>
    </w:p>
    <w:p w:rsidR="00AD6057" w:rsidRPr="001331AA" w:rsidRDefault="00AD6057" w:rsidP="00437102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1331AA">
        <w:tab/>
        <w:t>…</w:t>
      </w:r>
    </w:p>
    <w:p w:rsidR="00AD6057" w:rsidRPr="001331AA" w:rsidRDefault="00AD6057" w:rsidP="008B6AF7">
      <w:pPr>
        <w:pStyle w:val="SingleTxtG"/>
        <w:keepNext/>
        <w:ind w:left="2268" w:hanging="1134"/>
        <w:rPr>
          <w:rFonts w:eastAsia="Times New Roman"/>
        </w:rPr>
      </w:pPr>
      <w:r w:rsidRPr="001331AA">
        <w:t xml:space="preserve">3.4.1.5 </w:t>
      </w:r>
      <w:r w:rsidRPr="001331AA">
        <w:tab/>
        <w:t>Doit pouvoir aussi servir à indiquer un défaut de fonctionnement d</w:t>
      </w:r>
      <w:r>
        <w:t>’</w:t>
      </w:r>
      <w:r w:rsidRPr="001331AA">
        <w:t>un système ou d</w:t>
      </w:r>
      <w:r>
        <w:t>’</w:t>
      </w:r>
      <w:r w:rsidRPr="001331AA">
        <w:t>une fonction connexe, comme l</w:t>
      </w:r>
      <w:r>
        <w:t>’</w:t>
      </w:r>
      <w:r w:rsidRPr="001331AA">
        <w:t>antipatinage, le système de stabilisation de la remorque, le contrôle des freins en virage ou d</w:t>
      </w:r>
      <w:r>
        <w:t>’</w:t>
      </w:r>
      <w:r w:rsidRPr="001331AA">
        <w:t>autres fonctions semblables qui font appel à la commande des gaz et/ou au dispositif de régulation du couple roue par roue pour actionner des éléments qu</w:t>
      </w:r>
      <w:r>
        <w:t>’</w:t>
      </w:r>
      <w:r w:rsidRPr="001331AA">
        <w:t>elles partagent avec l</w:t>
      </w:r>
      <w:r>
        <w:t>’ESC</w:t>
      </w:r>
      <w:r w:rsidRPr="001331AA">
        <w:t>.</w:t>
      </w:r>
    </w:p>
    <w:p w:rsidR="00AD6057" w:rsidRPr="001331AA" w:rsidRDefault="00AD6057" w:rsidP="00437102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1331AA">
        <w:tab/>
        <w:t>…</w:t>
      </w:r>
    </w:p>
    <w:p w:rsidR="00F9573C" w:rsidRDefault="00AD6057" w:rsidP="008B6AF7">
      <w:pPr>
        <w:pStyle w:val="SingleTxtG"/>
        <w:keepNext/>
        <w:ind w:left="2268" w:hanging="1134"/>
        <w:rPr>
          <w:lang w:val="fr-FR"/>
        </w:rPr>
      </w:pPr>
      <w:r w:rsidRPr="001331AA">
        <w:t xml:space="preserve">3.4.4 </w:t>
      </w:r>
      <w:r w:rsidRPr="001331AA">
        <w:tab/>
      </w:r>
      <w:r w:rsidRPr="001331AA">
        <w:rPr>
          <w:lang w:val="fr-FR"/>
        </w:rPr>
        <w:t xml:space="preserve">Le constructeur peut utiliser le témoin de défaillance </w:t>
      </w:r>
      <w:r>
        <w:rPr>
          <w:lang w:val="fr-FR"/>
        </w:rPr>
        <w:t>de l’ESC</w:t>
      </w:r>
      <w:r w:rsidRPr="001331AA">
        <w:rPr>
          <w:lang w:val="fr-FR"/>
        </w:rPr>
        <w:t xml:space="preserve"> en mode clignotant pour indiquer l</w:t>
      </w:r>
      <w:r>
        <w:rPr>
          <w:lang w:val="fr-FR"/>
        </w:rPr>
        <w:t>’</w:t>
      </w:r>
      <w:r w:rsidRPr="001331AA">
        <w:rPr>
          <w:lang w:val="fr-FR"/>
        </w:rPr>
        <w:t xml:space="preserve">intervention </w:t>
      </w:r>
      <w:r>
        <w:rPr>
          <w:lang w:val="fr-FR"/>
        </w:rPr>
        <w:t>de l’ESC</w:t>
      </w:r>
      <w:r w:rsidRPr="001331AA">
        <w:rPr>
          <w:lang w:val="fr-FR"/>
        </w:rPr>
        <w:t xml:space="preserve"> ou de systèmes connexes (énumérés au paragraphe </w:t>
      </w:r>
      <w:r w:rsidRPr="001331AA">
        <w:t>3.4.1.5</w:t>
      </w:r>
      <w:r w:rsidRPr="001331AA">
        <w:rPr>
          <w:lang w:val="fr-FR"/>
        </w:rPr>
        <w:t>), ou pour indiquer l</w:t>
      </w:r>
      <w:r>
        <w:rPr>
          <w:lang w:val="fr-FR"/>
        </w:rPr>
        <w:t>’</w:t>
      </w:r>
      <w:r w:rsidRPr="001331AA">
        <w:rPr>
          <w:lang w:val="fr-FR"/>
        </w:rPr>
        <w:t xml:space="preserve">intervention </w:t>
      </w:r>
      <w:r>
        <w:rPr>
          <w:lang w:val="fr-FR"/>
        </w:rPr>
        <w:t>de l’ESC</w:t>
      </w:r>
      <w:r w:rsidRPr="001331AA">
        <w:rPr>
          <w:lang w:val="fr-FR"/>
        </w:rPr>
        <w:t xml:space="preserve"> sur l</w:t>
      </w:r>
      <w:r>
        <w:rPr>
          <w:lang w:val="fr-FR"/>
        </w:rPr>
        <w:t>’</w:t>
      </w:r>
      <w:r w:rsidRPr="001331AA">
        <w:rPr>
          <w:lang w:val="fr-FR"/>
        </w:rPr>
        <w:t>angle de braquage d</w:t>
      </w:r>
      <w:r>
        <w:rPr>
          <w:lang w:val="fr-FR"/>
        </w:rPr>
        <w:t>’</w:t>
      </w:r>
      <w:r w:rsidRPr="001331AA">
        <w:rPr>
          <w:lang w:val="fr-FR"/>
        </w:rPr>
        <w:t>une ou plusieurs roues afin d</w:t>
      </w:r>
      <w:r>
        <w:rPr>
          <w:lang w:val="fr-FR"/>
        </w:rPr>
        <w:t>’</w:t>
      </w:r>
      <w:r w:rsidRPr="001331AA">
        <w:rPr>
          <w:lang w:val="fr-FR"/>
        </w:rPr>
        <w:t>assurer la stabilité du véhicule. ».</w:t>
      </w:r>
    </w:p>
    <w:p w:rsidR="008B6AF7" w:rsidRPr="008B6AF7" w:rsidRDefault="008B6AF7" w:rsidP="008B6A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6AF7" w:rsidRPr="008B6AF7" w:rsidSect="00AD60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C8" w:rsidRDefault="001B70C8" w:rsidP="00F95C08">
      <w:pPr>
        <w:spacing w:line="240" w:lineRule="auto"/>
      </w:pPr>
    </w:p>
  </w:endnote>
  <w:endnote w:type="continuationSeparator" w:id="0">
    <w:p w:rsidR="001B70C8" w:rsidRPr="00AC3823" w:rsidRDefault="001B70C8" w:rsidP="00AC3823">
      <w:pPr>
        <w:pStyle w:val="Footer"/>
      </w:pPr>
    </w:p>
  </w:endnote>
  <w:endnote w:type="continuationNotice" w:id="1">
    <w:p w:rsidR="001B70C8" w:rsidRDefault="001B70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57" w:rsidRPr="00AD6057" w:rsidRDefault="00AD6057" w:rsidP="00AD6057">
    <w:pPr>
      <w:pStyle w:val="Footer"/>
      <w:tabs>
        <w:tab w:val="right" w:pos="9638"/>
      </w:tabs>
    </w:pPr>
    <w:r w:rsidRPr="00AD6057">
      <w:rPr>
        <w:b/>
        <w:sz w:val="18"/>
      </w:rPr>
      <w:fldChar w:fldCharType="begin"/>
    </w:r>
    <w:r w:rsidRPr="00AD6057">
      <w:rPr>
        <w:b/>
        <w:sz w:val="18"/>
      </w:rPr>
      <w:instrText xml:space="preserve"> PAGE  \* MERGEFORMAT </w:instrText>
    </w:r>
    <w:r w:rsidRPr="00AD6057">
      <w:rPr>
        <w:b/>
        <w:sz w:val="18"/>
      </w:rPr>
      <w:fldChar w:fldCharType="separate"/>
    </w:r>
    <w:r w:rsidR="00EE0965">
      <w:rPr>
        <w:b/>
        <w:noProof/>
        <w:sz w:val="18"/>
      </w:rPr>
      <w:t>2</w:t>
    </w:r>
    <w:r w:rsidRPr="00AD6057">
      <w:rPr>
        <w:b/>
        <w:sz w:val="18"/>
      </w:rPr>
      <w:fldChar w:fldCharType="end"/>
    </w:r>
    <w:r>
      <w:rPr>
        <w:b/>
        <w:sz w:val="18"/>
      </w:rPr>
      <w:tab/>
    </w:r>
    <w:r>
      <w:t>GE.17-23233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57" w:rsidRPr="00AD6057" w:rsidRDefault="00AD6057" w:rsidP="00AD6057">
    <w:pPr>
      <w:pStyle w:val="Footer"/>
      <w:tabs>
        <w:tab w:val="right" w:pos="9638"/>
      </w:tabs>
      <w:rPr>
        <w:b/>
        <w:sz w:val="18"/>
      </w:rPr>
    </w:pPr>
    <w:r>
      <w:t>GE.17-23233</w:t>
    </w:r>
    <w:r>
      <w:tab/>
    </w:r>
    <w:r w:rsidRPr="00AD6057">
      <w:rPr>
        <w:b/>
        <w:sz w:val="18"/>
      </w:rPr>
      <w:fldChar w:fldCharType="begin"/>
    </w:r>
    <w:r w:rsidRPr="00AD6057">
      <w:rPr>
        <w:b/>
        <w:sz w:val="18"/>
      </w:rPr>
      <w:instrText xml:space="preserve"> PAGE  \* MERGEFORMAT </w:instrText>
    </w:r>
    <w:r w:rsidRPr="00AD6057">
      <w:rPr>
        <w:b/>
        <w:sz w:val="18"/>
      </w:rPr>
      <w:fldChar w:fldCharType="separate"/>
    </w:r>
    <w:r w:rsidR="00C74F23">
      <w:rPr>
        <w:b/>
        <w:noProof/>
        <w:sz w:val="18"/>
      </w:rPr>
      <w:t>2</w:t>
    </w:r>
    <w:r w:rsidRPr="00AD60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D6057" w:rsidRDefault="00AD6057" w:rsidP="00AD605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17-23233  (F)    310118    310118</w:t>
    </w:r>
    <w:r>
      <w:rPr>
        <w:sz w:val="20"/>
      </w:rPr>
      <w:br/>
    </w:r>
    <w:r w:rsidRPr="00AD6057">
      <w:rPr>
        <w:rFonts w:ascii="C39T30Lfz" w:hAnsi="C39T30Lfz"/>
        <w:sz w:val="56"/>
      </w:rPr>
      <w:t></w:t>
    </w:r>
    <w:r w:rsidRPr="00AD6057">
      <w:rPr>
        <w:rFonts w:ascii="C39T30Lfz" w:hAnsi="C39T30Lfz"/>
        <w:sz w:val="56"/>
      </w:rPr>
      <w:t></w:t>
    </w:r>
    <w:r w:rsidRPr="00AD6057">
      <w:rPr>
        <w:rFonts w:ascii="C39T30Lfz" w:hAnsi="C39T30Lfz"/>
        <w:sz w:val="56"/>
      </w:rPr>
      <w:t></w:t>
    </w:r>
    <w:r w:rsidRPr="00AD6057">
      <w:rPr>
        <w:rFonts w:ascii="C39T30Lfz" w:hAnsi="C39T30Lfz"/>
        <w:sz w:val="56"/>
      </w:rPr>
      <w:t></w:t>
    </w:r>
    <w:r w:rsidRPr="00AD6057">
      <w:rPr>
        <w:rFonts w:ascii="C39T30Lfz" w:hAnsi="C39T30Lfz"/>
        <w:sz w:val="56"/>
      </w:rPr>
      <w:t></w:t>
    </w:r>
    <w:r w:rsidRPr="00AD6057">
      <w:rPr>
        <w:rFonts w:ascii="C39T30Lfz" w:hAnsi="C39T30Lfz"/>
        <w:sz w:val="56"/>
      </w:rPr>
      <w:t></w:t>
    </w:r>
    <w:r w:rsidRPr="00AD6057">
      <w:rPr>
        <w:rFonts w:ascii="C39T30Lfz" w:hAnsi="C39T30Lfz"/>
        <w:sz w:val="56"/>
      </w:rPr>
      <w:t></w:t>
    </w:r>
    <w:r w:rsidRPr="00AD6057">
      <w:rPr>
        <w:rFonts w:ascii="C39T30Lfz" w:hAnsi="C39T30Lfz"/>
        <w:sz w:val="56"/>
      </w:rPr>
      <w:t></w:t>
    </w:r>
    <w:r w:rsidRPr="00AD605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C8" w:rsidRPr="00AC3823" w:rsidRDefault="001B70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70C8" w:rsidRPr="00AC3823" w:rsidRDefault="001B70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B70C8" w:rsidRPr="00AC3823" w:rsidRDefault="001B70C8">
      <w:pPr>
        <w:spacing w:line="240" w:lineRule="auto"/>
        <w:rPr>
          <w:sz w:val="2"/>
          <w:szCs w:val="2"/>
        </w:rPr>
      </w:pPr>
    </w:p>
  </w:footnote>
  <w:footnote w:id="2">
    <w:p w:rsidR="00AD6057" w:rsidRPr="00706101" w:rsidRDefault="00AD6057" w:rsidP="00AD6057">
      <w:pPr>
        <w:pStyle w:val="FootnoteText"/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>
        <w:t>Conformément au programme de travail du Comité des transports intérieurs pour la période 2016</w:t>
      </w:r>
      <w:r>
        <w:noBreakHyphen/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 vertu 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57" w:rsidRPr="00AD6057" w:rsidRDefault="00EE096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D4757">
      <w:t>ECE/TRANS/WP.29/2018/8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57" w:rsidRPr="00AD6057" w:rsidRDefault="00EE0965" w:rsidP="00AD605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D4757">
      <w:t>ECE/TRANS/WP.29/2018/8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C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70C8"/>
    <w:rsid w:val="001D4757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533B"/>
    <w:rsid w:val="004229EB"/>
    <w:rsid w:val="00437102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B6AF7"/>
    <w:rsid w:val="009446C0"/>
    <w:rsid w:val="009705C8"/>
    <w:rsid w:val="009C1CF4"/>
    <w:rsid w:val="009F6B74"/>
    <w:rsid w:val="00A30353"/>
    <w:rsid w:val="00AC3823"/>
    <w:rsid w:val="00AD6057"/>
    <w:rsid w:val="00AE323C"/>
    <w:rsid w:val="00AF0CB5"/>
    <w:rsid w:val="00B00181"/>
    <w:rsid w:val="00B00B0D"/>
    <w:rsid w:val="00B765F7"/>
    <w:rsid w:val="00BA0CA9"/>
    <w:rsid w:val="00C02897"/>
    <w:rsid w:val="00C74F23"/>
    <w:rsid w:val="00C97039"/>
    <w:rsid w:val="00D3439C"/>
    <w:rsid w:val="00DB1831"/>
    <w:rsid w:val="00DD3BFD"/>
    <w:rsid w:val="00DE5549"/>
    <w:rsid w:val="00DF6678"/>
    <w:rsid w:val="00E0299A"/>
    <w:rsid w:val="00E76E59"/>
    <w:rsid w:val="00E85C74"/>
    <w:rsid w:val="00EA6547"/>
    <w:rsid w:val="00EE0965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E4EE75-6BEC-45F3-9F6A-F25E752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</vt:lpstr>
      <vt:lpstr/>
    </vt:vector>
  </TitlesOfParts>
  <Company>DCM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</dc:title>
  <dc:subject/>
  <dc:creator>Nathalie VITTOZ</dc:creator>
  <cp:keywords/>
  <cp:lastModifiedBy>Rev.26</cp:lastModifiedBy>
  <cp:revision>2</cp:revision>
  <cp:lastPrinted>2018-01-31T08:50:00Z</cp:lastPrinted>
  <dcterms:created xsi:type="dcterms:W3CDTF">2018-02-12T17:22:00Z</dcterms:created>
  <dcterms:modified xsi:type="dcterms:W3CDTF">2018-02-12T17:22:00Z</dcterms:modified>
</cp:coreProperties>
</file>