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A40B4" w:rsidP="00EA40B4">
            <w:pPr>
              <w:suppressAutoHyphens w:val="0"/>
              <w:spacing w:after="20"/>
              <w:jc w:val="right"/>
            </w:pPr>
            <w:r w:rsidRPr="00EA40B4">
              <w:rPr>
                <w:sz w:val="40"/>
              </w:rPr>
              <w:t>ECE</w:t>
            </w:r>
            <w:r>
              <w:t>/TRANS/WP.11/2018/26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A40B4" w:rsidP="00EA40B4">
            <w:pPr>
              <w:spacing w:before="240"/>
            </w:pPr>
            <w:r>
              <w:t>Distr.: General</w:t>
            </w:r>
          </w:p>
          <w:p w:rsidR="00EA40B4" w:rsidRDefault="00EA40B4" w:rsidP="00EA40B4">
            <w:pPr>
              <w:suppressAutoHyphens w:val="0"/>
            </w:pPr>
            <w:r>
              <w:t>27 July 2018</w:t>
            </w:r>
          </w:p>
          <w:p w:rsidR="00EA40B4" w:rsidRDefault="00EA40B4" w:rsidP="00EA40B4">
            <w:pPr>
              <w:suppressAutoHyphens w:val="0"/>
            </w:pPr>
            <w:r>
              <w:t>English</w:t>
            </w:r>
          </w:p>
          <w:p w:rsidR="00EA40B4" w:rsidRDefault="00EA40B4" w:rsidP="00EA40B4">
            <w:pPr>
              <w:suppressAutoHyphens w:val="0"/>
            </w:pPr>
            <w:r>
              <w:t>Original: Russian</w:t>
            </w:r>
          </w:p>
        </w:tc>
      </w:tr>
    </w:tbl>
    <w:p w:rsidR="006E6E27" w:rsidRDefault="006E6E27" w:rsidP="006E6E27">
      <w:pPr>
        <w:spacing w:before="120"/>
        <w:rPr>
          <w:b/>
          <w:sz w:val="28"/>
          <w:szCs w:val="28"/>
        </w:rPr>
      </w:pPr>
      <w:r>
        <w:rPr>
          <w:b/>
          <w:sz w:val="28"/>
          <w:szCs w:val="28"/>
        </w:rPr>
        <w:t>Economic Commission for Europe</w:t>
      </w:r>
    </w:p>
    <w:p w:rsidR="006E6E27" w:rsidRDefault="006E6E27" w:rsidP="006E6E27">
      <w:pPr>
        <w:spacing w:before="120"/>
        <w:rPr>
          <w:sz w:val="28"/>
          <w:szCs w:val="28"/>
        </w:rPr>
      </w:pPr>
      <w:r>
        <w:rPr>
          <w:sz w:val="28"/>
          <w:szCs w:val="28"/>
        </w:rPr>
        <w:t>Inland Transport Committee</w:t>
      </w:r>
    </w:p>
    <w:p w:rsidR="006E6E27" w:rsidRPr="00EB6547" w:rsidRDefault="006E6E27" w:rsidP="006E6E27">
      <w:pPr>
        <w:spacing w:before="120" w:after="120"/>
        <w:rPr>
          <w:b/>
          <w:sz w:val="24"/>
          <w:szCs w:val="24"/>
        </w:rPr>
      </w:pPr>
      <w:r>
        <w:rPr>
          <w:b/>
          <w:sz w:val="24"/>
          <w:szCs w:val="24"/>
        </w:rPr>
        <w:t xml:space="preserve">Working Party on the Transport of </w:t>
      </w:r>
      <w:r w:rsidRPr="00EB6547">
        <w:rPr>
          <w:b/>
          <w:sz w:val="24"/>
          <w:szCs w:val="24"/>
        </w:rPr>
        <w:t>Perishable Foodstuffs</w:t>
      </w:r>
    </w:p>
    <w:p w:rsidR="006E6E27" w:rsidRPr="00570BF8" w:rsidRDefault="006E6E27" w:rsidP="006E6E27">
      <w:pPr>
        <w:rPr>
          <w:b/>
        </w:rPr>
      </w:pPr>
      <w:r w:rsidRPr="00570BF8">
        <w:rPr>
          <w:b/>
        </w:rPr>
        <w:t>Seventy-</w:t>
      </w:r>
      <w:r>
        <w:rPr>
          <w:b/>
        </w:rPr>
        <w:t xml:space="preserve">fourth </w:t>
      </w:r>
      <w:r w:rsidRPr="00570BF8">
        <w:rPr>
          <w:b/>
        </w:rPr>
        <w:t>session</w:t>
      </w:r>
    </w:p>
    <w:p w:rsidR="006E6E27" w:rsidRPr="00570BF8" w:rsidRDefault="006E6E27" w:rsidP="006E6E27">
      <w:r w:rsidRPr="00570BF8">
        <w:t xml:space="preserve">Geneva, </w:t>
      </w:r>
      <w:r w:rsidR="00213ECD">
        <w:t>8–</w:t>
      </w:r>
      <w:r>
        <w:t>12</w:t>
      </w:r>
      <w:r w:rsidRPr="00570BF8">
        <w:t xml:space="preserve"> October 201</w:t>
      </w:r>
      <w:r>
        <w:t>8</w:t>
      </w:r>
    </w:p>
    <w:p w:rsidR="006E6E27" w:rsidRPr="00570BF8" w:rsidRDefault="006E6E27" w:rsidP="006E6E27">
      <w:r w:rsidRPr="00570BF8">
        <w:t xml:space="preserve">Item </w:t>
      </w:r>
      <w:r>
        <w:t>6</w:t>
      </w:r>
      <w:r w:rsidRPr="00570BF8">
        <w:t xml:space="preserve"> (</w:t>
      </w:r>
      <w:r>
        <w:t>a</w:t>
      </w:r>
      <w:r w:rsidRPr="00570BF8">
        <w:t>) of the provisional agenda</w:t>
      </w:r>
    </w:p>
    <w:p w:rsidR="006E6E27" w:rsidRPr="00570BF8" w:rsidRDefault="006E6E27" w:rsidP="006E6E27">
      <w:pPr>
        <w:rPr>
          <w:b/>
        </w:rPr>
      </w:pPr>
      <w:r w:rsidRPr="00570BF8">
        <w:rPr>
          <w:b/>
        </w:rPr>
        <w:t xml:space="preserve">Proposals of amendments to ATP: </w:t>
      </w:r>
    </w:p>
    <w:p w:rsidR="006E6E27" w:rsidRPr="00570BF8" w:rsidRDefault="006E6E27" w:rsidP="006E6E27">
      <w:pPr>
        <w:rPr>
          <w:b/>
        </w:rPr>
      </w:pPr>
      <w:r>
        <w:rPr>
          <w:b/>
        </w:rPr>
        <w:t xml:space="preserve">Pending </w:t>
      </w:r>
      <w:r w:rsidRPr="00570BF8">
        <w:rPr>
          <w:b/>
        </w:rPr>
        <w:t>proposals</w:t>
      </w:r>
    </w:p>
    <w:p w:rsidR="006E6E27" w:rsidRDefault="006E6E27" w:rsidP="006E6E27">
      <w:pPr>
        <w:pStyle w:val="HChG"/>
      </w:pPr>
      <w:r>
        <w:tab/>
      </w:r>
      <w:r>
        <w:tab/>
        <w:t>Amendment to ATP concerning the assignment, at the stage of approval of new equipment, of a class to refrigerated equipment, mechanically refrigerated equipment, heated equipment, and mechanically refrigerated and heated equipment</w:t>
      </w:r>
    </w:p>
    <w:p w:rsidR="006E6E27" w:rsidRDefault="006E6E27" w:rsidP="006E6E27">
      <w:pPr>
        <w:pStyle w:val="H1G"/>
      </w:pPr>
      <w:r>
        <w:tab/>
      </w:r>
      <w:r>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6E6E27" w:rsidTr="00A308FA">
        <w:trPr>
          <w:jc w:val="center"/>
        </w:trPr>
        <w:tc>
          <w:tcPr>
            <w:tcW w:w="9637" w:type="dxa"/>
            <w:tcBorders>
              <w:bottom w:val="nil"/>
            </w:tcBorders>
          </w:tcPr>
          <w:p w:rsidR="006E6E27" w:rsidRPr="00F50760" w:rsidRDefault="006E6E27" w:rsidP="00A308FA">
            <w:pPr>
              <w:tabs>
                <w:tab w:val="left" w:pos="255"/>
              </w:tabs>
              <w:suppressAutoHyphens w:val="0"/>
              <w:spacing w:before="240" w:after="120"/>
              <w:rPr>
                <w:sz w:val="24"/>
              </w:rPr>
            </w:pPr>
            <w:r>
              <w:tab/>
            </w:r>
            <w:r>
              <w:rPr>
                <w:i/>
                <w:sz w:val="24"/>
              </w:rPr>
              <w:t>Summary</w:t>
            </w:r>
          </w:p>
        </w:tc>
      </w:tr>
      <w:tr w:rsidR="006E6E27" w:rsidTr="00A308FA">
        <w:trPr>
          <w:jc w:val="center"/>
        </w:trPr>
        <w:tc>
          <w:tcPr>
            <w:tcW w:w="9637" w:type="dxa"/>
            <w:tcBorders>
              <w:top w:val="nil"/>
              <w:bottom w:val="nil"/>
            </w:tcBorders>
            <w:shd w:val="clear" w:color="auto" w:fill="auto"/>
          </w:tcPr>
          <w:p w:rsidR="006E6E27" w:rsidRPr="004D7537" w:rsidRDefault="006E6E27" w:rsidP="00A308FA">
            <w:pPr>
              <w:pStyle w:val="SingleTxtG"/>
              <w:spacing w:after="60"/>
              <w:ind w:left="2552" w:hanging="2268"/>
              <w:rPr>
                <w:rFonts w:eastAsia="Times New Roman"/>
                <w:szCs w:val="22"/>
                <w:lang w:eastAsia="en-US"/>
              </w:rPr>
            </w:pPr>
            <w:r w:rsidRPr="004D7537">
              <w:rPr>
                <w:rFonts w:eastAsia="Times New Roman"/>
                <w:b/>
                <w:szCs w:val="22"/>
                <w:lang w:eastAsia="en-US"/>
              </w:rPr>
              <w:t>Executive summary</w:t>
            </w:r>
            <w:r w:rsidRPr="006D3800">
              <w:rPr>
                <w:lang w:eastAsia="en-US"/>
              </w:rPr>
              <w:t>:</w:t>
            </w:r>
            <w:r w:rsidRPr="004D7537">
              <w:rPr>
                <w:rFonts w:eastAsia="Times New Roman"/>
                <w:b/>
                <w:szCs w:val="22"/>
                <w:lang w:eastAsia="en-US"/>
              </w:rPr>
              <w:tab/>
            </w:r>
            <w:r w:rsidRPr="004D7537">
              <w:rPr>
                <w:rFonts w:eastAsia="Times New Roman"/>
                <w:szCs w:val="22"/>
                <w:lang w:eastAsia="en-US"/>
              </w:rPr>
              <w:t xml:space="preserve">There are no provisions in ATP concerning the assignment, at the stage of approval of new equipment, of a class to refrigerated equipment, mechanically refrigerated equipment, heated equipment, and mechanically refrigerated and heated equipment (hereinafter: special equipment with a thermal appliance). </w:t>
            </w:r>
          </w:p>
          <w:p w:rsidR="006E6E27" w:rsidRPr="004D7537" w:rsidRDefault="006E6E27" w:rsidP="00A308FA">
            <w:pPr>
              <w:pStyle w:val="SingleTxtG"/>
              <w:spacing w:after="60"/>
              <w:ind w:left="2552" w:hanging="2268"/>
              <w:rPr>
                <w:rFonts w:eastAsia="Times New Roman"/>
                <w:b/>
                <w:szCs w:val="22"/>
                <w:lang w:eastAsia="en-US"/>
              </w:rPr>
            </w:pPr>
            <w:r w:rsidRPr="004D7537">
              <w:rPr>
                <w:rFonts w:eastAsia="Times New Roman"/>
                <w:szCs w:val="22"/>
                <w:lang w:eastAsia="en-US"/>
              </w:rPr>
              <w:tab/>
              <w:t>However, it is clearly necessary to know the class of special equipment with a thermal appliance in order to select appropriate equipment and temperature conditions for the carriage of perishable foodstuffs.</w:t>
            </w:r>
          </w:p>
        </w:tc>
      </w:tr>
      <w:tr w:rsidR="006E6E27" w:rsidTr="00A308FA">
        <w:trPr>
          <w:jc w:val="center"/>
        </w:trPr>
        <w:tc>
          <w:tcPr>
            <w:tcW w:w="9637" w:type="dxa"/>
            <w:tcBorders>
              <w:top w:val="nil"/>
              <w:bottom w:val="nil"/>
            </w:tcBorders>
          </w:tcPr>
          <w:p w:rsidR="006E6E27" w:rsidRDefault="006E6E27" w:rsidP="00A308FA">
            <w:pPr>
              <w:pStyle w:val="SingleTxtG"/>
              <w:spacing w:after="60"/>
              <w:ind w:left="2552" w:hanging="2268"/>
            </w:pPr>
            <w:r w:rsidRPr="006D3800">
              <w:rPr>
                <w:rFonts w:eastAsia="Times New Roman"/>
                <w:b/>
                <w:szCs w:val="22"/>
                <w:lang w:eastAsia="en-US"/>
              </w:rPr>
              <w:t>Decision</w:t>
            </w:r>
            <w:r>
              <w:t xml:space="preserve"> </w:t>
            </w:r>
            <w:r w:rsidRPr="006D3800">
              <w:rPr>
                <w:b/>
              </w:rPr>
              <w:t>to be taken</w:t>
            </w:r>
            <w:r>
              <w:t>:</w:t>
            </w:r>
            <w:r>
              <w:tab/>
              <w:t>Include at the end of annex 1 of ATP an additional paragraph concerning the issuance of decisions regarding the class of new special equipment with a thermal appliance.</w:t>
            </w:r>
          </w:p>
        </w:tc>
      </w:tr>
      <w:tr w:rsidR="006E6E27" w:rsidTr="00A308FA">
        <w:trPr>
          <w:jc w:val="center"/>
        </w:trPr>
        <w:tc>
          <w:tcPr>
            <w:tcW w:w="9637" w:type="dxa"/>
            <w:tcBorders>
              <w:top w:val="nil"/>
              <w:bottom w:val="nil"/>
            </w:tcBorders>
          </w:tcPr>
          <w:p w:rsidR="006E6E27" w:rsidRDefault="006E6E27" w:rsidP="00A308FA">
            <w:pPr>
              <w:pStyle w:val="SingleTxtG"/>
              <w:spacing w:after="60"/>
              <w:ind w:left="2552" w:hanging="2268"/>
            </w:pPr>
            <w:r w:rsidRPr="006D3800">
              <w:rPr>
                <w:b/>
              </w:rPr>
              <w:t>Related documents</w:t>
            </w:r>
            <w:r w:rsidRPr="00B93EE3">
              <w:t>:</w:t>
            </w:r>
            <w:r>
              <w:tab/>
            </w:r>
            <w:r w:rsidRPr="00B93EE3">
              <w:t>None</w:t>
            </w:r>
            <w:r>
              <w:t>.</w:t>
            </w:r>
          </w:p>
        </w:tc>
      </w:tr>
      <w:tr w:rsidR="006E6E27" w:rsidTr="00A308FA">
        <w:trPr>
          <w:jc w:val="center"/>
        </w:trPr>
        <w:tc>
          <w:tcPr>
            <w:tcW w:w="9637" w:type="dxa"/>
            <w:tcBorders>
              <w:top w:val="nil"/>
            </w:tcBorders>
          </w:tcPr>
          <w:p w:rsidR="006E6E27" w:rsidRDefault="006E6E27" w:rsidP="00A308FA">
            <w:pPr>
              <w:suppressAutoHyphens w:val="0"/>
            </w:pPr>
          </w:p>
        </w:tc>
      </w:tr>
    </w:tbl>
    <w:p w:rsidR="006E6E27" w:rsidRDefault="006E6E27" w:rsidP="006E6E27">
      <w:pPr>
        <w:pStyle w:val="HChG"/>
      </w:pPr>
      <w:r>
        <w:lastRenderedPageBreak/>
        <w:tab/>
      </w:r>
      <w:r>
        <w:tab/>
        <w:t>Introduction</w:t>
      </w:r>
    </w:p>
    <w:p w:rsidR="006E6E27" w:rsidRDefault="006E6E27" w:rsidP="006E6E27">
      <w:pPr>
        <w:pStyle w:val="SingleTxtG"/>
        <w:keepNext/>
        <w:keepLines/>
      </w:pPr>
      <w:r>
        <w:t>1.</w:t>
      </w:r>
      <w:r>
        <w:tab/>
        <w:t>ATP, annex 1, contains definitions of and standards for special equipment for the carriage of perishable foodstuffs and identifies classes of special equipment.</w:t>
      </w:r>
    </w:p>
    <w:p w:rsidR="006E6E27" w:rsidRDefault="006E6E27" w:rsidP="006E6E27">
      <w:pPr>
        <w:pStyle w:val="SingleTxtG"/>
      </w:pPr>
      <w:r>
        <w:t>2.</w:t>
      </w:r>
      <w:r>
        <w:tab/>
        <w:t xml:space="preserve">ATP, annex 1, appendix 1, paragraph 6, describes the procedure for approving new equipment of a specific type serially produced, which involves testing one unit of this type. </w:t>
      </w:r>
    </w:p>
    <w:p w:rsidR="006E6E27" w:rsidRDefault="006E6E27" w:rsidP="006E6E27">
      <w:pPr>
        <w:pStyle w:val="SingleTxtG"/>
      </w:pPr>
      <w:r>
        <w:t>3.</w:t>
      </w:r>
      <w:r>
        <w:tab/>
        <w:t>Once a unit of equipment as specified in ATP, annex 1, appendix 1, paragraph 6 (c) (</w:t>
      </w:r>
      <w:proofErr w:type="spellStart"/>
      <w:r>
        <w:t>i</w:t>
      </w:r>
      <w:proofErr w:type="spellEnd"/>
      <w:r>
        <w:t>), has been tested, it is categorized as insulated equipment that is either IR (heavily insulated) or IN (normally insulated).</w:t>
      </w:r>
    </w:p>
    <w:p w:rsidR="006E6E27" w:rsidRDefault="006E6E27" w:rsidP="006E6E27">
      <w:pPr>
        <w:pStyle w:val="SingleTxtG"/>
      </w:pPr>
      <w:r>
        <w:t>4.</w:t>
      </w:r>
      <w:r>
        <w:tab/>
        <w:t>It is general practice in several Contracting Parties to issue a document (summary report or decision) on equipment that is complete in every detail, but there are no provisions in ATP concerning the assignment of a class to mechanically refrigerated equipment.</w:t>
      </w:r>
    </w:p>
    <w:p w:rsidR="006E6E27" w:rsidRDefault="006E6E27" w:rsidP="006E6E27">
      <w:pPr>
        <w:pStyle w:val="SingleTxtG"/>
      </w:pPr>
      <w:r>
        <w:t>5.</w:t>
      </w:r>
      <w:r>
        <w:tab/>
        <w:t>In light of the above, the Russian Federation prepared an official document on this issue for discussion at the seventy-third session of WP.11.</w:t>
      </w:r>
    </w:p>
    <w:p w:rsidR="006E6E27" w:rsidRDefault="006E6E27" w:rsidP="006E6E27">
      <w:pPr>
        <w:pStyle w:val="HChG"/>
      </w:pPr>
      <w:r>
        <w:tab/>
      </w:r>
      <w:r>
        <w:tab/>
        <w:t>Proposal for voting</w:t>
      </w:r>
    </w:p>
    <w:p w:rsidR="006E6E27" w:rsidRDefault="006E6E27" w:rsidP="006E6E27">
      <w:pPr>
        <w:pStyle w:val="SingleTxtG"/>
      </w:pPr>
      <w:r>
        <w:t>6.</w:t>
      </w:r>
      <w:r>
        <w:tab/>
        <w:t>Include in ATP an additional paragraph at the end of annex 1, as follows:</w:t>
      </w:r>
    </w:p>
    <w:p w:rsidR="006E6E27" w:rsidRDefault="006E6E27" w:rsidP="006E6E27">
      <w:pPr>
        <w:pStyle w:val="Bullet1G"/>
      </w:pPr>
      <w:r>
        <w:t xml:space="preserve">A class is assigned to refrigerated equipment, mechanically refrigerated equipment, heated equipment, and mechanically refrigerated and heated equipment by the testing station or expert designated by the competent authorities of the Contracting Party. </w:t>
      </w:r>
    </w:p>
    <w:p w:rsidR="006E6E27" w:rsidRDefault="006E6E27" w:rsidP="006E6E27">
      <w:pPr>
        <w:pStyle w:val="HChG"/>
      </w:pPr>
      <w:r>
        <w:tab/>
      </w:r>
      <w:r>
        <w:tab/>
        <w:t>Costs</w:t>
      </w:r>
    </w:p>
    <w:p w:rsidR="006E6E27" w:rsidRDefault="006E6E27" w:rsidP="006E6E27">
      <w:pPr>
        <w:pStyle w:val="SingleTxtG"/>
      </w:pPr>
      <w:r>
        <w:t>7.</w:t>
      </w:r>
      <w:r>
        <w:tab/>
        <w:t>No additional costs will be incurred.</w:t>
      </w:r>
    </w:p>
    <w:p w:rsidR="006E6E27" w:rsidRDefault="006E6E27" w:rsidP="006E6E27">
      <w:pPr>
        <w:pStyle w:val="HChG"/>
      </w:pPr>
      <w:r>
        <w:tab/>
      </w:r>
      <w:r>
        <w:tab/>
        <w:t>Feasibility</w:t>
      </w:r>
    </w:p>
    <w:p w:rsidR="006E6E27" w:rsidRDefault="006E6E27" w:rsidP="006E6E27">
      <w:pPr>
        <w:pStyle w:val="SingleTxtG"/>
      </w:pPr>
      <w:r>
        <w:t>8.</w:t>
      </w:r>
      <w:r>
        <w:tab/>
        <w:t>No problems with implementation of the proposal are foreseen.</w:t>
      </w:r>
    </w:p>
    <w:p w:rsidR="007268F9" w:rsidRPr="006E6E27" w:rsidRDefault="006E6E27" w:rsidP="006E6E27">
      <w:pPr>
        <w:spacing w:before="240"/>
        <w:jc w:val="center"/>
        <w:rPr>
          <w:u w:val="single"/>
        </w:rPr>
      </w:pPr>
      <w:r>
        <w:rPr>
          <w:u w:val="single"/>
        </w:rPr>
        <w:tab/>
      </w:r>
      <w:r>
        <w:rPr>
          <w:u w:val="single"/>
        </w:rPr>
        <w:tab/>
      </w:r>
      <w:r>
        <w:rPr>
          <w:u w:val="single"/>
        </w:rPr>
        <w:tab/>
      </w:r>
    </w:p>
    <w:sectPr w:rsidR="007268F9" w:rsidRPr="006E6E2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DB" w:rsidRPr="00FB1744" w:rsidRDefault="002E09DB" w:rsidP="00FB1744">
      <w:pPr>
        <w:pStyle w:val="Footer"/>
      </w:pPr>
    </w:p>
  </w:endnote>
  <w:endnote w:type="continuationSeparator" w:id="0">
    <w:p w:rsidR="002E09DB" w:rsidRPr="00FB1744" w:rsidRDefault="002E09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Footer"/>
      <w:tabs>
        <w:tab w:val="right" w:pos="9638"/>
      </w:tabs>
    </w:pP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850250">
      <w:rPr>
        <w:b/>
        <w:bCs/>
        <w:noProof/>
        <w:sz w:val="18"/>
      </w:rPr>
      <w:t>2</w:t>
    </w:r>
    <w:r w:rsidRPr="00EA40B4">
      <w:rPr>
        <w:b/>
        <w:bCs/>
        <w:sz w:val="18"/>
      </w:rPr>
      <w:fldChar w:fldCharType="end"/>
    </w:r>
    <w:r>
      <w:tab/>
      <w:t>GE.18-12431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Footer"/>
      <w:tabs>
        <w:tab w:val="right" w:pos="9638"/>
      </w:tabs>
    </w:pPr>
    <w:r>
      <w:t>GE.18-12431</w:t>
    </w:r>
    <w:r>
      <w:tab/>
    </w: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6E6E27">
      <w:rPr>
        <w:b/>
        <w:bCs/>
        <w:noProof/>
        <w:sz w:val="18"/>
      </w:rPr>
      <w:t>3</w:t>
    </w:r>
    <w:r w:rsidRPr="00EA40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EA40B4"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A40B4" w:rsidRDefault="00EA40B4" w:rsidP="00EA40B4">
    <w:r>
      <w:t>GE.18-12431  (E)</w:t>
    </w:r>
    <w:r w:rsidR="0095702A">
      <w:t xml:space="preserve">    100818    100818</w:t>
    </w:r>
  </w:p>
  <w:p w:rsidR="00EA40B4" w:rsidRPr="00EA40B4" w:rsidRDefault="00EA40B4" w:rsidP="00EA40B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DB" w:rsidRPr="00FB1744" w:rsidRDefault="002E09DB" w:rsidP="00FB1744">
      <w:pPr>
        <w:tabs>
          <w:tab w:val="right" w:pos="2155"/>
        </w:tabs>
        <w:spacing w:after="80" w:line="240" w:lineRule="auto"/>
        <w:ind w:left="680"/>
      </w:pPr>
      <w:r>
        <w:rPr>
          <w:u w:val="single"/>
        </w:rPr>
        <w:tab/>
      </w:r>
    </w:p>
  </w:footnote>
  <w:footnote w:type="continuationSeparator" w:id="0">
    <w:p w:rsidR="002E09DB" w:rsidRPr="00FB1744" w:rsidRDefault="002E09D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Header"/>
    </w:pPr>
    <w:r>
      <w:t>ECE/TRANS/WP.11/2018/26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B4" w:rsidRDefault="00EA40B4" w:rsidP="00EA40B4">
    <w:pPr>
      <w:pStyle w:val="Header"/>
      <w:jc w:val="right"/>
    </w:pPr>
    <w:r>
      <w:t>ECE/TRANS/WP.11/2018/26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E09DB"/>
    <w:rsid w:val="00046E92"/>
    <w:rsid w:val="000D1B89"/>
    <w:rsid w:val="001170DC"/>
    <w:rsid w:val="00213ECD"/>
    <w:rsid w:val="00247E2C"/>
    <w:rsid w:val="002D6C53"/>
    <w:rsid w:val="002E09DB"/>
    <w:rsid w:val="002F5595"/>
    <w:rsid w:val="00334F6A"/>
    <w:rsid w:val="00342AC8"/>
    <w:rsid w:val="003B4550"/>
    <w:rsid w:val="00461253"/>
    <w:rsid w:val="005042C2"/>
    <w:rsid w:val="00506C12"/>
    <w:rsid w:val="0056599A"/>
    <w:rsid w:val="00587690"/>
    <w:rsid w:val="00671529"/>
    <w:rsid w:val="006E6E27"/>
    <w:rsid w:val="00717266"/>
    <w:rsid w:val="007268F9"/>
    <w:rsid w:val="007C52B0"/>
    <w:rsid w:val="00850250"/>
    <w:rsid w:val="009411B4"/>
    <w:rsid w:val="0095702A"/>
    <w:rsid w:val="009D0139"/>
    <w:rsid w:val="009F5CDC"/>
    <w:rsid w:val="00A775CF"/>
    <w:rsid w:val="00AB3C7E"/>
    <w:rsid w:val="00B06045"/>
    <w:rsid w:val="00C35A27"/>
    <w:rsid w:val="00E02C2B"/>
    <w:rsid w:val="00EA40B4"/>
    <w:rsid w:val="00ED6C48"/>
    <w:rsid w:val="00F65F5D"/>
    <w:rsid w:val="00F86A3A"/>
    <w:rsid w:val="00FA0BF2"/>
    <w:rsid w:val="00FB1744"/>
    <w:rsid w:val="00FB4A5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C1D200-A709-4033-BFF7-72BE310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FAA9-AC0F-48F9-A5A3-FE080C44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ECE/TRANS/WP.11/2018/26</vt:lpstr>
    </vt:vector>
  </TitlesOfParts>
  <Company>DCM</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ECE/TRANS/WP.11/2018/26</dc:title>
  <dc:subject>1812431</dc:subject>
  <dc:creator>CPM</dc:creator>
  <cp:keywords/>
  <dc:description/>
  <cp:lastModifiedBy>Secretariat</cp:lastModifiedBy>
  <cp:revision>2</cp:revision>
  <cp:lastPrinted>2018-08-10T10:08:00Z</cp:lastPrinted>
  <dcterms:created xsi:type="dcterms:W3CDTF">2018-08-28T09:30:00Z</dcterms:created>
  <dcterms:modified xsi:type="dcterms:W3CDTF">2018-08-28T09:30:00Z</dcterms:modified>
</cp:coreProperties>
</file>