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F146E" w:rsidP="006F146E">
            <w:pPr>
              <w:jc w:val="right"/>
            </w:pPr>
            <w:r w:rsidRPr="006F146E">
              <w:rPr>
                <w:sz w:val="40"/>
              </w:rPr>
              <w:t>ECE</w:t>
            </w:r>
            <w:r>
              <w:t>/TRANS/SC.1/410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6842"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6F146E" w:rsidP="006F146E">
            <w:pPr>
              <w:spacing w:before="240" w:line="240" w:lineRule="exact"/>
            </w:pPr>
            <w:r>
              <w:t>Distr.: General</w:t>
            </w:r>
          </w:p>
          <w:p w:rsidR="006F146E" w:rsidRDefault="002D27C1" w:rsidP="006F146E">
            <w:pPr>
              <w:spacing w:line="240" w:lineRule="exact"/>
            </w:pPr>
            <w:r>
              <w:t>7</w:t>
            </w:r>
            <w:r w:rsidR="00091B72">
              <w:t xml:space="preserve"> November</w:t>
            </w:r>
            <w:r w:rsidR="006F146E">
              <w:t xml:space="preserve"> 2018</w:t>
            </w:r>
          </w:p>
          <w:p w:rsidR="006F146E" w:rsidRDefault="006F146E" w:rsidP="006F146E">
            <w:pPr>
              <w:spacing w:line="240" w:lineRule="exact"/>
            </w:pPr>
          </w:p>
          <w:p w:rsidR="006F146E" w:rsidRDefault="006F146E" w:rsidP="006F146E">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Default="008F31D2" w:rsidP="00C96DF2">
      <w:pPr>
        <w:spacing w:before="120"/>
        <w:rPr>
          <w:sz w:val="28"/>
          <w:szCs w:val="28"/>
        </w:rPr>
      </w:pPr>
      <w:r>
        <w:rPr>
          <w:sz w:val="28"/>
          <w:szCs w:val="28"/>
        </w:rPr>
        <w:t>Inland Transport Committee</w:t>
      </w:r>
    </w:p>
    <w:p w:rsidR="006C747B" w:rsidRDefault="006C747B" w:rsidP="006C747B">
      <w:pPr>
        <w:spacing w:before="120"/>
        <w:rPr>
          <w:b/>
          <w:sz w:val="24"/>
          <w:szCs w:val="24"/>
        </w:rPr>
      </w:pPr>
      <w:r>
        <w:rPr>
          <w:b/>
          <w:sz w:val="24"/>
          <w:szCs w:val="24"/>
        </w:rPr>
        <w:t xml:space="preserve">Working Party on Road Transport </w:t>
      </w:r>
    </w:p>
    <w:p w:rsidR="006F146E" w:rsidRDefault="006F146E" w:rsidP="006F146E">
      <w:pPr>
        <w:spacing w:before="120"/>
        <w:rPr>
          <w:b/>
        </w:rPr>
      </w:pPr>
      <w:r>
        <w:rPr>
          <w:b/>
        </w:rPr>
        <w:t>113th session</w:t>
      </w:r>
    </w:p>
    <w:p w:rsidR="006F146E" w:rsidRDefault="006F146E" w:rsidP="006F146E">
      <w:r>
        <w:t>Geneva, 16-18 October 2018</w:t>
      </w:r>
    </w:p>
    <w:p w:rsidR="006F146E" w:rsidRDefault="006F146E" w:rsidP="006F146E">
      <w:pPr>
        <w:pStyle w:val="HChG"/>
      </w:pPr>
      <w:r>
        <w:tab/>
      </w:r>
      <w:r>
        <w:tab/>
      </w:r>
      <w:r w:rsidRPr="00F864A1">
        <w:t xml:space="preserve">Report of the Working Party on Road Transport on its </w:t>
      </w:r>
      <w:r w:rsidRPr="00F864A1">
        <w:br/>
        <w:t>1</w:t>
      </w:r>
      <w:r>
        <w:t>13th</w:t>
      </w:r>
      <w:r w:rsidRPr="00F864A1">
        <w:t xml:space="preserve"> session</w:t>
      </w:r>
    </w:p>
    <w:p w:rsidR="006F146E" w:rsidRDefault="006F146E" w:rsidP="006F146E">
      <w:pPr>
        <w:spacing w:after="120"/>
        <w:rPr>
          <w:sz w:val="28"/>
        </w:rPr>
      </w:pPr>
      <w:r>
        <w:rPr>
          <w:sz w:val="28"/>
        </w:rPr>
        <w:t>Contents</w:t>
      </w:r>
    </w:p>
    <w:p w:rsidR="006F146E" w:rsidRDefault="006F146E" w:rsidP="006F146E">
      <w:pPr>
        <w:tabs>
          <w:tab w:val="right" w:pos="8929"/>
          <w:tab w:val="right" w:pos="9638"/>
        </w:tabs>
        <w:spacing w:after="120"/>
        <w:ind w:left="283"/>
      </w:pPr>
      <w:r>
        <w:rPr>
          <w:i/>
          <w:sz w:val="18"/>
        </w:rPr>
        <w:tab/>
        <w:t>Paragraphs</w:t>
      </w:r>
      <w:r>
        <w:rPr>
          <w:i/>
          <w:sz w:val="18"/>
        </w:rPr>
        <w:tab/>
        <w:t>Page</w:t>
      </w:r>
    </w:p>
    <w:p w:rsidR="006E2150" w:rsidRDefault="006E2150" w:rsidP="006F146E">
      <w:pPr>
        <w:tabs>
          <w:tab w:val="right" w:pos="850"/>
          <w:tab w:val="left" w:pos="1134"/>
          <w:tab w:val="left" w:pos="1559"/>
          <w:tab w:val="left" w:pos="1984"/>
          <w:tab w:val="left" w:leader="dot" w:pos="7654"/>
          <w:tab w:val="right" w:pos="8929"/>
          <w:tab w:val="right" w:pos="9638"/>
        </w:tabs>
        <w:spacing w:after="120"/>
      </w:pPr>
      <w:r>
        <w:tab/>
        <w:t>I.</w:t>
      </w:r>
      <w:r>
        <w:tab/>
        <w:t>Attendance</w:t>
      </w:r>
      <w:r>
        <w:tab/>
      </w:r>
      <w:r>
        <w:tab/>
      </w:r>
      <w:r w:rsidR="00EA688D">
        <w:t>1-2</w:t>
      </w:r>
      <w:r>
        <w:tab/>
      </w:r>
      <w:r w:rsidR="00EA688D">
        <w:t>3</w:t>
      </w:r>
    </w:p>
    <w:p w:rsidR="006E2150" w:rsidRDefault="006E2150" w:rsidP="006F146E">
      <w:pPr>
        <w:tabs>
          <w:tab w:val="right" w:pos="850"/>
          <w:tab w:val="left" w:pos="1134"/>
          <w:tab w:val="left" w:pos="1559"/>
          <w:tab w:val="left" w:pos="1984"/>
          <w:tab w:val="left" w:leader="dot" w:pos="7654"/>
          <w:tab w:val="right" w:pos="8929"/>
          <w:tab w:val="right" w:pos="9638"/>
        </w:tabs>
        <w:spacing w:after="120"/>
      </w:pPr>
      <w:r>
        <w:tab/>
        <w:t>II.</w:t>
      </w:r>
      <w:r>
        <w:tab/>
      </w:r>
      <w:r w:rsidRPr="00263FB3">
        <w:t>Adoption of the agenda</w:t>
      </w:r>
      <w:r>
        <w:t xml:space="preserve"> (agenda item 1)</w:t>
      </w:r>
      <w:r>
        <w:tab/>
      </w:r>
      <w:r>
        <w:tab/>
      </w:r>
      <w:r w:rsidR="00AF3989">
        <w:t>3</w:t>
      </w:r>
      <w:r>
        <w:tab/>
      </w:r>
      <w:r w:rsidR="00AF3989">
        <w:t>3</w:t>
      </w:r>
    </w:p>
    <w:p w:rsidR="004C6F1B" w:rsidRDefault="004C6F1B" w:rsidP="006F146E">
      <w:pPr>
        <w:tabs>
          <w:tab w:val="right" w:pos="850"/>
          <w:tab w:val="left" w:pos="1134"/>
          <w:tab w:val="left" w:pos="1559"/>
          <w:tab w:val="left" w:pos="1984"/>
          <w:tab w:val="left" w:leader="dot" w:pos="7654"/>
          <w:tab w:val="right" w:pos="8929"/>
          <w:tab w:val="right" w:pos="9638"/>
        </w:tabs>
        <w:spacing w:after="120"/>
      </w:pPr>
      <w:r>
        <w:tab/>
        <w:t>III.</w:t>
      </w:r>
      <w:r>
        <w:tab/>
      </w:r>
      <w:r w:rsidRPr="002B4560">
        <w:rPr>
          <w:rFonts w:asciiTheme="majorBidi" w:hAnsiTheme="majorBidi" w:cstheme="majorBidi"/>
        </w:rPr>
        <w:t>Activities of interest to the Working Party</w:t>
      </w:r>
      <w:r>
        <w:rPr>
          <w:rFonts w:asciiTheme="majorBidi" w:hAnsiTheme="majorBidi" w:cstheme="majorBidi"/>
        </w:rPr>
        <w:t xml:space="preserve"> (agenda item 2)</w:t>
      </w:r>
      <w:r>
        <w:rPr>
          <w:rFonts w:asciiTheme="majorBidi" w:hAnsiTheme="majorBidi" w:cstheme="majorBidi"/>
        </w:rPr>
        <w:tab/>
      </w:r>
      <w:r>
        <w:rPr>
          <w:rFonts w:asciiTheme="majorBidi" w:hAnsiTheme="majorBidi" w:cstheme="majorBidi"/>
        </w:rPr>
        <w:tab/>
      </w:r>
      <w:r w:rsidR="00AF3989">
        <w:rPr>
          <w:rFonts w:asciiTheme="majorBidi" w:hAnsiTheme="majorBidi" w:cstheme="majorBidi"/>
        </w:rPr>
        <w:t>4-1</w:t>
      </w:r>
      <w:r w:rsidR="00087B22">
        <w:rPr>
          <w:rFonts w:asciiTheme="majorBidi" w:hAnsiTheme="majorBidi" w:cstheme="majorBidi"/>
        </w:rPr>
        <w:t>2</w:t>
      </w:r>
      <w:r>
        <w:rPr>
          <w:rFonts w:asciiTheme="majorBidi" w:hAnsiTheme="majorBidi" w:cstheme="majorBidi"/>
        </w:rPr>
        <w:tab/>
      </w:r>
      <w:r w:rsidR="00AF3989">
        <w:rPr>
          <w:rFonts w:asciiTheme="majorBidi" w:hAnsiTheme="majorBidi" w:cstheme="majorBidi"/>
        </w:rPr>
        <w:t>3</w:t>
      </w:r>
    </w:p>
    <w:p w:rsidR="006E2150" w:rsidRDefault="006E2150" w:rsidP="006F146E">
      <w:pPr>
        <w:tabs>
          <w:tab w:val="right" w:pos="850"/>
          <w:tab w:val="left" w:pos="1134"/>
          <w:tab w:val="left" w:pos="1559"/>
          <w:tab w:val="left" w:pos="1984"/>
          <w:tab w:val="left" w:leader="dot" w:pos="7654"/>
          <w:tab w:val="right" w:pos="8929"/>
          <w:tab w:val="right" w:pos="9638"/>
        </w:tabs>
        <w:spacing w:after="120"/>
      </w:pPr>
      <w:r>
        <w:tab/>
      </w:r>
      <w:r>
        <w:tab/>
        <w:t>A.</w:t>
      </w:r>
      <w:r>
        <w:tab/>
      </w:r>
      <w:r w:rsidRPr="00263FB3">
        <w:t>National delegations</w:t>
      </w:r>
      <w:r>
        <w:t xml:space="preserve"> </w:t>
      </w:r>
      <w:r>
        <w:tab/>
      </w:r>
      <w:r>
        <w:tab/>
      </w:r>
      <w:r w:rsidR="00AF3989">
        <w:t>4</w:t>
      </w:r>
      <w:r>
        <w:tab/>
      </w:r>
      <w:r w:rsidR="00AF3989">
        <w:t>3</w:t>
      </w:r>
    </w:p>
    <w:p w:rsidR="006E2150" w:rsidRDefault="006E2150" w:rsidP="006F146E">
      <w:pPr>
        <w:tabs>
          <w:tab w:val="right" w:pos="850"/>
          <w:tab w:val="left" w:pos="1134"/>
          <w:tab w:val="left" w:pos="1559"/>
          <w:tab w:val="left" w:pos="1984"/>
          <w:tab w:val="left" w:leader="dot" w:pos="7654"/>
          <w:tab w:val="right" w:pos="8929"/>
          <w:tab w:val="right" w:pos="9638"/>
        </w:tabs>
        <w:spacing w:after="120"/>
      </w:pPr>
      <w:r>
        <w:tab/>
      </w:r>
      <w:r>
        <w:tab/>
        <w:t>B.</w:t>
      </w:r>
      <w:r>
        <w:tab/>
      </w:r>
      <w:r w:rsidRPr="00263FB3">
        <w:t>International organizations</w:t>
      </w:r>
      <w:r>
        <w:t xml:space="preserve"> </w:t>
      </w:r>
      <w:r>
        <w:tab/>
      </w:r>
      <w:r>
        <w:tab/>
      </w:r>
      <w:r w:rsidR="00AF3989">
        <w:t>5</w:t>
      </w:r>
      <w:r w:rsidR="00CF0B12">
        <w:t>-6</w:t>
      </w:r>
      <w:r>
        <w:tab/>
      </w:r>
      <w:r w:rsidR="00AF3989">
        <w:t>3</w:t>
      </w:r>
    </w:p>
    <w:p w:rsidR="006E2150" w:rsidRDefault="006E2150" w:rsidP="006F146E">
      <w:pPr>
        <w:tabs>
          <w:tab w:val="right" w:pos="850"/>
          <w:tab w:val="left" w:pos="1134"/>
          <w:tab w:val="left" w:pos="1559"/>
          <w:tab w:val="left" w:pos="1984"/>
          <w:tab w:val="left" w:leader="dot" w:pos="7654"/>
          <w:tab w:val="right" w:pos="8929"/>
          <w:tab w:val="right" w:pos="9638"/>
        </w:tabs>
        <w:spacing w:after="120"/>
      </w:pPr>
      <w:r>
        <w:tab/>
      </w:r>
      <w:r>
        <w:tab/>
      </w:r>
      <w:r w:rsidRPr="005173E1">
        <w:t>C.</w:t>
      </w:r>
      <w:r w:rsidRPr="005173E1">
        <w:tab/>
        <w:t xml:space="preserve">Activities of UNECE bodies and other United Nations organizations </w:t>
      </w:r>
      <w:r w:rsidRPr="005173E1">
        <w:tab/>
      </w:r>
      <w:r w:rsidRPr="005173E1">
        <w:tab/>
      </w:r>
      <w:r w:rsidR="005173E1" w:rsidRPr="005173E1">
        <w:t>7</w:t>
      </w:r>
      <w:r w:rsidR="00AF3989" w:rsidRPr="005173E1">
        <w:t>-</w:t>
      </w:r>
      <w:r w:rsidR="005173E1" w:rsidRPr="005173E1">
        <w:t>8</w:t>
      </w:r>
      <w:r w:rsidRPr="005173E1">
        <w:tab/>
      </w:r>
      <w:r w:rsidR="00AF3989" w:rsidRPr="005173E1">
        <w:t>3</w:t>
      </w:r>
    </w:p>
    <w:p w:rsidR="006E2150" w:rsidRDefault="006E2150" w:rsidP="006F146E">
      <w:pPr>
        <w:tabs>
          <w:tab w:val="right" w:pos="850"/>
          <w:tab w:val="left" w:pos="1134"/>
          <w:tab w:val="left" w:pos="1559"/>
          <w:tab w:val="left" w:pos="1984"/>
          <w:tab w:val="left" w:leader="dot" w:pos="7654"/>
          <w:tab w:val="right" w:pos="8929"/>
          <w:tab w:val="right" w:pos="9638"/>
        </w:tabs>
        <w:spacing w:after="120"/>
      </w:pPr>
      <w:r>
        <w:tab/>
      </w:r>
      <w:r>
        <w:tab/>
        <w:t>D.</w:t>
      </w:r>
      <w:r>
        <w:tab/>
      </w:r>
      <w:r w:rsidRPr="00557D90">
        <w:rPr>
          <w:rFonts w:asciiTheme="majorBidi" w:hAnsiTheme="majorBidi" w:cstheme="majorBidi"/>
        </w:rPr>
        <w:t>Digital/smart road infrastructure</w:t>
      </w:r>
      <w:r>
        <w:rPr>
          <w:rFonts w:asciiTheme="majorBidi" w:hAnsiTheme="majorBidi" w:cstheme="majorBidi"/>
        </w:rPr>
        <w:tab/>
      </w:r>
      <w:r>
        <w:rPr>
          <w:rFonts w:asciiTheme="majorBidi" w:hAnsiTheme="majorBidi" w:cstheme="majorBidi"/>
        </w:rPr>
        <w:tab/>
      </w:r>
      <w:r w:rsidR="009D3D67">
        <w:rPr>
          <w:rFonts w:asciiTheme="majorBidi" w:hAnsiTheme="majorBidi" w:cstheme="majorBidi"/>
        </w:rPr>
        <w:t>9</w:t>
      </w:r>
      <w:r w:rsidR="00AF3989">
        <w:rPr>
          <w:rFonts w:asciiTheme="majorBidi" w:hAnsiTheme="majorBidi" w:cstheme="majorBidi"/>
        </w:rPr>
        <w:t>-1</w:t>
      </w:r>
      <w:r w:rsidR="009D3D67">
        <w:rPr>
          <w:rFonts w:asciiTheme="majorBidi" w:hAnsiTheme="majorBidi" w:cstheme="majorBidi"/>
        </w:rPr>
        <w:t>2</w:t>
      </w:r>
      <w:r>
        <w:rPr>
          <w:rFonts w:asciiTheme="majorBidi" w:hAnsiTheme="majorBidi" w:cstheme="majorBidi"/>
        </w:rPr>
        <w:tab/>
      </w:r>
      <w:r w:rsidR="00AF3989">
        <w:rPr>
          <w:rFonts w:asciiTheme="majorBidi" w:hAnsiTheme="majorBidi" w:cstheme="majorBidi"/>
        </w:rPr>
        <w:t>4</w:t>
      </w:r>
    </w:p>
    <w:p w:rsidR="006E2150" w:rsidRDefault="006E2150" w:rsidP="006E2150">
      <w:pPr>
        <w:tabs>
          <w:tab w:val="right" w:pos="850"/>
          <w:tab w:val="left" w:pos="1134"/>
          <w:tab w:val="left" w:pos="1559"/>
          <w:tab w:val="left" w:pos="1984"/>
          <w:tab w:val="left" w:leader="dot" w:pos="7654"/>
          <w:tab w:val="right" w:pos="8929"/>
          <w:tab w:val="right" w:pos="9638"/>
        </w:tabs>
        <w:rPr>
          <w:rFonts w:asciiTheme="majorBidi" w:hAnsiTheme="majorBidi" w:cstheme="majorBidi"/>
        </w:rPr>
      </w:pPr>
      <w:r>
        <w:tab/>
      </w:r>
      <w:r w:rsidR="004C6F1B">
        <w:t>IV</w:t>
      </w:r>
      <w:r>
        <w:t>.</w:t>
      </w:r>
      <w:r>
        <w:tab/>
      </w:r>
      <w:r w:rsidRPr="002B4560">
        <w:rPr>
          <w:rFonts w:asciiTheme="majorBidi" w:hAnsiTheme="majorBidi" w:cstheme="majorBidi"/>
        </w:rPr>
        <w:t xml:space="preserve">European Agreement concerning the Work of Crews of Vehicles </w:t>
      </w:r>
      <w:r>
        <w:rPr>
          <w:rFonts w:asciiTheme="majorBidi" w:hAnsiTheme="majorBidi" w:cstheme="majorBidi"/>
        </w:rPr>
        <w:t xml:space="preserve">Engaged in </w:t>
      </w:r>
    </w:p>
    <w:p w:rsidR="006E2150" w:rsidRDefault="006E2150"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r>
      <w:r w:rsidRPr="002B4560">
        <w:rPr>
          <w:rFonts w:asciiTheme="majorBidi" w:hAnsiTheme="majorBidi" w:cstheme="majorBidi"/>
        </w:rPr>
        <w:t>International Road Transport (AETR)</w:t>
      </w:r>
      <w:r>
        <w:rPr>
          <w:rFonts w:asciiTheme="majorBidi" w:hAnsiTheme="majorBidi" w:cstheme="majorBidi"/>
        </w:rPr>
        <w:t xml:space="preserve"> (agenda item </w:t>
      </w:r>
      <w:r w:rsidR="004C6F1B">
        <w:rPr>
          <w:rFonts w:asciiTheme="majorBidi" w:hAnsiTheme="majorBidi" w:cstheme="majorBidi"/>
        </w:rPr>
        <w:t>3</w:t>
      </w:r>
      <w:r>
        <w:rPr>
          <w:rFonts w:asciiTheme="majorBidi" w:hAnsiTheme="majorBidi" w:cstheme="majorBidi"/>
        </w:rPr>
        <w:t>)</w:t>
      </w:r>
      <w:r>
        <w:rPr>
          <w:rFonts w:asciiTheme="majorBidi" w:hAnsiTheme="majorBidi" w:cstheme="majorBidi"/>
        </w:rPr>
        <w:tab/>
      </w:r>
      <w:r>
        <w:rPr>
          <w:rFonts w:asciiTheme="majorBidi" w:hAnsiTheme="majorBidi" w:cstheme="majorBidi"/>
        </w:rPr>
        <w:tab/>
      </w:r>
      <w:r w:rsidR="00AF3989">
        <w:rPr>
          <w:rFonts w:asciiTheme="majorBidi" w:hAnsiTheme="majorBidi" w:cstheme="majorBidi"/>
        </w:rPr>
        <w:t>1</w:t>
      </w:r>
      <w:r w:rsidR="009D3D67">
        <w:rPr>
          <w:rFonts w:asciiTheme="majorBidi" w:hAnsiTheme="majorBidi" w:cstheme="majorBidi"/>
        </w:rPr>
        <w:t>3</w:t>
      </w:r>
      <w:r w:rsidR="00AF3989">
        <w:rPr>
          <w:rFonts w:asciiTheme="majorBidi" w:hAnsiTheme="majorBidi" w:cstheme="majorBidi"/>
        </w:rPr>
        <w:t>-1</w:t>
      </w:r>
      <w:r w:rsidR="009D3D67">
        <w:rPr>
          <w:rFonts w:asciiTheme="majorBidi" w:hAnsiTheme="majorBidi" w:cstheme="majorBidi"/>
        </w:rPr>
        <w:t>9</w:t>
      </w:r>
      <w:r>
        <w:rPr>
          <w:rFonts w:asciiTheme="majorBidi" w:hAnsiTheme="majorBidi" w:cstheme="majorBidi"/>
        </w:rPr>
        <w:tab/>
      </w:r>
      <w:r w:rsidR="00AF3989">
        <w:rPr>
          <w:rFonts w:asciiTheme="majorBidi" w:hAnsiTheme="majorBidi" w:cstheme="majorBidi"/>
        </w:rPr>
        <w:t>4</w:t>
      </w:r>
    </w:p>
    <w:p w:rsidR="006E2150" w:rsidRDefault="006E2150" w:rsidP="006E2150">
      <w:pPr>
        <w:tabs>
          <w:tab w:val="right" w:pos="850"/>
          <w:tab w:val="left" w:pos="1134"/>
          <w:tab w:val="left" w:pos="1559"/>
          <w:tab w:val="left" w:pos="1984"/>
          <w:tab w:val="left" w:leader="dot" w:pos="7654"/>
          <w:tab w:val="right" w:pos="8929"/>
          <w:tab w:val="right" w:pos="9638"/>
        </w:tabs>
        <w:spacing w:after="120"/>
      </w:pPr>
      <w:r>
        <w:rPr>
          <w:rFonts w:asciiTheme="majorBidi" w:hAnsiTheme="majorBidi" w:cstheme="majorBidi"/>
        </w:rPr>
        <w:tab/>
      </w:r>
      <w:r>
        <w:rPr>
          <w:rFonts w:asciiTheme="majorBidi" w:hAnsiTheme="majorBidi" w:cstheme="majorBidi"/>
        </w:rPr>
        <w:tab/>
        <w:t>A.</w:t>
      </w:r>
      <w:r>
        <w:rPr>
          <w:rFonts w:asciiTheme="majorBidi" w:hAnsiTheme="majorBidi" w:cstheme="majorBidi"/>
        </w:rPr>
        <w:tab/>
      </w:r>
      <w:r w:rsidRPr="002B4560">
        <w:rPr>
          <w:rFonts w:asciiTheme="majorBidi" w:hAnsiTheme="majorBidi" w:cstheme="majorBidi"/>
        </w:rPr>
        <w:t>Status of the Agreement</w:t>
      </w:r>
      <w:r>
        <w:t xml:space="preserve"> </w:t>
      </w:r>
      <w:r>
        <w:tab/>
      </w:r>
      <w:r>
        <w:tab/>
      </w:r>
      <w:r w:rsidR="00AF3989">
        <w:t>1</w:t>
      </w:r>
      <w:r w:rsidR="009D3D67">
        <w:t>3</w:t>
      </w:r>
      <w:r w:rsidR="00AF3989">
        <w:t>-1</w:t>
      </w:r>
      <w:r w:rsidR="009D3D67">
        <w:t>5</w:t>
      </w:r>
      <w:r>
        <w:tab/>
      </w:r>
      <w:r w:rsidR="00AF3989">
        <w:t>4</w:t>
      </w:r>
    </w:p>
    <w:p w:rsidR="006E2150" w:rsidRDefault="006E2150" w:rsidP="006E2150">
      <w:pPr>
        <w:tabs>
          <w:tab w:val="right" w:pos="850"/>
          <w:tab w:val="left" w:pos="1134"/>
          <w:tab w:val="left" w:pos="1559"/>
          <w:tab w:val="left" w:pos="1984"/>
          <w:tab w:val="left" w:leader="dot" w:pos="7654"/>
          <w:tab w:val="right" w:pos="8929"/>
          <w:tab w:val="right" w:pos="9638"/>
        </w:tabs>
        <w:spacing w:after="120"/>
      </w:pPr>
      <w:r>
        <w:tab/>
      </w:r>
      <w:r>
        <w:tab/>
        <w:t>B.</w:t>
      </w:r>
      <w:r>
        <w:tab/>
      </w:r>
      <w:r w:rsidRPr="002B4560">
        <w:rPr>
          <w:rFonts w:asciiTheme="majorBidi" w:hAnsiTheme="majorBidi" w:cstheme="majorBidi"/>
        </w:rPr>
        <w:t>AETR Group of Experts</w:t>
      </w:r>
      <w:r>
        <w:t xml:space="preserve"> </w:t>
      </w:r>
      <w:r>
        <w:tab/>
      </w:r>
      <w:r>
        <w:tab/>
      </w:r>
      <w:r w:rsidR="00AF3989">
        <w:t>1</w:t>
      </w:r>
      <w:r w:rsidR="009D3D67">
        <w:t>6</w:t>
      </w:r>
      <w:r w:rsidR="00AF3989">
        <w:t>-1</w:t>
      </w:r>
      <w:r w:rsidR="009D3D67">
        <w:t>9</w:t>
      </w:r>
      <w:r>
        <w:tab/>
      </w:r>
      <w:r w:rsidR="00AF3989">
        <w:t>4</w:t>
      </w:r>
    </w:p>
    <w:p w:rsidR="006E2150" w:rsidRDefault="006E2150"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tab/>
      </w:r>
      <w:r w:rsidR="004C6F1B">
        <w:t>V</w:t>
      </w:r>
      <w:r>
        <w:t>.</w:t>
      </w:r>
      <w:r>
        <w:tab/>
      </w:r>
      <w:r w:rsidRPr="002B4560">
        <w:rPr>
          <w:rFonts w:asciiTheme="majorBidi" w:hAnsiTheme="majorBidi" w:cstheme="majorBidi"/>
        </w:rPr>
        <w:t>European Agreement on Main International Traffic Arteries (AGR)</w:t>
      </w:r>
      <w:r>
        <w:rPr>
          <w:rFonts w:asciiTheme="majorBidi" w:hAnsiTheme="majorBidi" w:cstheme="majorBidi"/>
        </w:rPr>
        <w:t xml:space="preserve"> (agenda item </w:t>
      </w:r>
      <w:r w:rsidR="004C6F1B">
        <w:rPr>
          <w:rFonts w:asciiTheme="majorBidi" w:hAnsiTheme="majorBidi" w:cstheme="majorBidi"/>
        </w:rPr>
        <w:t>4</w:t>
      </w:r>
      <w:r>
        <w:rPr>
          <w:rFonts w:asciiTheme="majorBidi" w:hAnsiTheme="majorBidi" w:cstheme="majorBidi"/>
        </w:rPr>
        <w:t>)</w:t>
      </w:r>
      <w:r>
        <w:rPr>
          <w:rFonts w:asciiTheme="majorBidi" w:hAnsiTheme="majorBidi" w:cstheme="majorBidi"/>
        </w:rPr>
        <w:tab/>
      </w:r>
      <w:r w:rsidR="009D3D67">
        <w:rPr>
          <w:rFonts w:asciiTheme="majorBidi" w:hAnsiTheme="majorBidi" w:cstheme="majorBidi"/>
        </w:rPr>
        <w:t>20</w:t>
      </w:r>
      <w:r>
        <w:rPr>
          <w:rFonts w:asciiTheme="majorBidi" w:hAnsiTheme="majorBidi" w:cstheme="majorBidi"/>
        </w:rPr>
        <w:tab/>
      </w:r>
      <w:r w:rsidR="00523AA7">
        <w:rPr>
          <w:rFonts w:asciiTheme="majorBidi" w:hAnsiTheme="majorBidi" w:cstheme="majorBidi"/>
        </w:rPr>
        <w:t>5</w:t>
      </w:r>
    </w:p>
    <w:p w:rsidR="006E2150" w:rsidRDefault="006E2150"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Status of the Agreement</w:t>
      </w:r>
      <w:r>
        <w:rPr>
          <w:rFonts w:asciiTheme="majorBidi" w:hAnsiTheme="majorBidi" w:cstheme="majorBidi"/>
        </w:rPr>
        <w:tab/>
      </w:r>
      <w:r>
        <w:rPr>
          <w:rFonts w:asciiTheme="majorBidi" w:hAnsiTheme="majorBidi" w:cstheme="majorBidi"/>
        </w:rPr>
        <w:tab/>
      </w:r>
      <w:r w:rsidR="009D3D67">
        <w:rPr>
          <w:rFonts w:asciiTheme="majorBidi" w:hAnsiTheme="majorBidi" w:cstheme="majorBidi"/>
        </w:rPr>
        <w:t>20</w:t>
      </w:r>
      <w:r>
        <w:rPr>
          <w:rFonts w:asciiTheme="majorBidi" w:hAnsiTheme="majorBidi" w:cstheme="majorBidi"/>
        </w:rPr>
        <w:tab/>
      </w:r>
      <w:r w:rsidR="00523AA7">
        <w:rPr>
          <w:rFonts w:asciiTheme="majorBidi" w:hAnsiTheme="majorBidi" w:cstheme="majorBidi"/>
        </w:rPr>
        <w:t>5</w:t>
      </w:r>
    </w:p>
    <w:p w:rsidR="006E2150" w:rsidRDefault="006E2150"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t>V</w:t>
      </w:r>
      <w:r w:rsidR="004C6F1B">
        <w:rPr>
          <w:rFonts w:asciiTheme="majorBidi" w:hAnsiTheme="majorBidi" w:cstheme="majorBidi"/>
        </w:rPr>
        <w:t>I</w:t>
      </w:r>
      <w:r>
        <w:rPr>
          <w:rFonts w:asciiTheme="majorBidi" w:hAnsiTheme="majorBidi" w:cstheme="majorBidi"/>
        </w:rPr>
        <w:t>.</w:t>
      </w:r>
      <w:r>
        <w:rPr>
          <w:rFonts w:asciiTheme="majorBidi" w:hAnsiTheme="majorBidi" w:cstheme="majorBidi"/>
        </w:rPr>
        <w:tab/>
      </w:r>
      <w:r w:rsidRPr="002B4560">
        <w:rPr>
          <w:rFonts w:asciiTheme="majorBidi" w:hAnsiTheme="majorBidi" w:cstheme="majorBidi"/>
        </w:rPr>
        <w:t>Trans-European North-South Motorway (TEM) Project</w:t>
      </w:r>
      <w:r>
        <w:rPr>
          <w:rFonts w:asciiTheme="majorBidi" w:hAnsiTheme="majorBidi" w:cstheme="majorBidi"/>
        </w:rPr>
        <w:t xml:space="preserve"> (</w:t>
      </w:r>
      <w:r w:rsidR="004C6F1B">
        <w:rPr>
          <w:rFonts w:asciiTheme="majorBidi" w:hAnsiTheme="majorBidi" w:cstheme="majorBidi"/>
        </w:rPr>
        <w:t>agenda item 5)</w:t>
      </w:r>
      <w:r w:rsidR="004C6F1B">
        <w:rPr>
          <w:rFonts w:asciiTheme="majorBidi" w:hAnsiTheme="majorBidi" w:cstheme="majorBidi"/>
        </w:rPr>
        <w:tab/>
      </w:r>
      <w:r w:rsidR="004C6F1B">
        <w:rPr>
          <w:rFonts w:asciiTheme="majorBidi" w:hAnsiTheme="majorBidi" w:cstheme="majorBidi"/>
        </w:rPr>
        <w:tab/>
      </w:r>
      <w:r w:rsidR="00523AA7">
        <w:rPr>
          <w:rFonts w:asciiTheme="majorBidi" w:hAnsiTheme="majorBidi" w:cstheme="majorBidi"/>
        </w:rPr>
        <w:t>2</w:t>
      </w:r>
      <w:r w:rsidR="009D3D67">
        <w:rPr>
          <w:rFonts w:asciiTheme="majorBidi" w:hAnsiTheme="majorBidi" w:cstheme="majorBidi"/>
        </w:rPr>
        <w:t>1</w:t>
      </w:r>
      <w:r w:rsidR="004C6F1B">
        <w:rPr>
          <w:rFonts w:asciiTheme="majorBidi" w:hAnsiTheme="majorBidi" w:cstheme="majorBidi"/>
        </w:rPr>
        <w:tab/>
      </w:r>
      <w:r w:rsidR="00523AA7">
        <w:rPr>
          <w:rFonts w:asciiTheme="majorBidi" w:hAnsiTheme="majorBidi" w:cstheme="majorBidi"/>
        </w:rPr>
        <w:t>5</w:t>
      </w:r>
    </w:p>
    <w:p w:rsidR="004C6F1B" w:rsidRDefault="004C6F1B" w:rsidP="004C6F1B">
      <w:pPr>
        <w:tabs>
          <w:tab w:val="right" w:pos="850"/>
          <w:tab w:val="left" w:pos="1134"/>
          <w:tab w:val="left" w:pos="1559"/>
          <w:tab w:val="left" w:pos="1984"/>
          <w:tab w:val="left" w:leader="dot" w:pos="7654"/>
          <w:tab w:val="right" w:pos="8929"/>
          <w:tab w:val="right" w:pos="9638"/>
        </w:tabs>
        <w:rPr>
          <w:rFonts w:asciiTheme="majorBidi" w:hAnsiTheme="majorBidi" w:cstheme="majorBidi"/>
        </w:rPr>
      </w:pPr>
      <w:r>
        <w:rPr>
          <w:rFonts w:asciiTheme="majorBidi" w:hAnsiTheme="majorBidi" w:cstheme="majorBidi"/>
        </w:rPr>
        <w:tab/>
        <w:t>VII.</w:t>
      </w:r>
      <w:r>
        <w:rPr>
          <w:rFonts w:asciiTheme="majorBidi" w:hAnsiTheme="majorBidi" w:cstheme="majorBidi"/>
        </w:rPr>
        <w:tab/>
      </w:r>
      <w:r w:rsidRPr="002B4560">
        <w:rPr>
          <w:rFonts w:asciiTheme="majorBidi" w:hAnsiTheme="majorBidi" w:cstheme="majorBidi"/>
        </w:rPr>
        <w:t xml:space="preserve">Convention on the Contract for the International Carriage of Goods </w:t>
      </w:r>
    </w:p>
    <w:p w:rsidR="004C6F1B" w:rsidRDefault="004C6F1B" w:rsidP="00523AA7">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r>
      <w:r w:rsidRPr="002B4560">
        <w:rPr>
          <w:rFonts w:asciiTheme="majorBidi" w:hAnsiTheme="majorBidi" w:cstheme="majorBidi"/>
        </w:rPr>
        <w:t>by Road (CMR)</w:t>
      </w:r>
      <w:r>
        <w:rPr>
          <w:rFonts w:asciiTheme="majorBidi" w:hAnsiTheme="majorBidi" w:cstheme="majorBidi"/>
        </w:rPr>
        <w:t xml:space="preserve"> (agenda item 6)</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2</w:t>
      </w:r>
      <w:r w:rsidR="009D3D67">
        <w:rPr>
          <w:rFonts w:asciiTheme="majorBidi" w:hAnsiTheme="majorBidi" w:cstheme="majorBidi"/>
        </w:rPr>
        <w:t>2</w:t>
      </w:r>
      <w:r w:rsidR="00523AA7">
        <w:rPr>
          <w:rFonts w:asciiTheme="majorBidi" w:hAnsiTheme="majorBidi" w:cstheme="majorBidi"/>
        </w:rPr>
        <w:t>-3</w:t>
      </w:r>
      <w:r w:rsidR="009D3D67">
        <w:rPr>
          <w:rFonts w:asciiTheme="majorBidi" w:hAnsiTheme="majorBidi" w:cstheme="majorBidi"/>
        </w:rPr>
        <w:t>5</w:t>
      </w:r>
      <w:r>
        <w:rPr>
          <w:rFonts w:asciiTheme="majorBidi" w:hAnsiTheme="majorBidi" w:cstheme="majorBidi"/>
        </w:rPr>
        <w:tab/>
      </w:r>
      <w:r w:rsidR="00523AA7">
        <w:rPr>
          <w:rFonts w:asciiTheme="majorBidi" w:hAnsiTheme="majorBidi" w:cstheme="majorBidi"/>
        </w:rPr>
        <w:t>5</w:t>
      </w:r>
    </w:p>
    <w:p w:rsidR="004C6F1B" w:rsidRDefault="004C6F1B" w:rsidP="00523AA7">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A.</w:t>
      </w:r>
      <w:r>
        <w:rPr>
          <w:rFonts w:asciiTheme="majorBidi" w:hAnsiTheme="majorBidi" w:cstheme="majorBidi"/>
        </w:rPr>
        <w:tab/>
      </w:r>
      <w:r w:rsidRPr="002B4560">
        <w:rPr>
          <w:rFonts w:asciiTheme="majorBidi" w:hAnsiTheme="majorBidi" w:cstheme="majorBidi"/>
        </w:rPr>
        <w:t>Status of the Convention</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2</w:t>
      </w:r>
      <w:r w:rsidR="009D3D67">
        <w:rPr>
          <w:rFonts w:asciiTheme="majorBidi" w:hAnsiTheme="majorBidi" w:cstheme="majorBidi"/>
        </w:rPr>
        <w:t>2</w:t>
      </w:r>
      <w:r>
        <w:rPr>
          <w:rFonts w:asciiTheme="majorBidi" w:hAnsiTheme="majorBidi" w:cstheme="majorBidi"/>
        </w:rPr>
        <w:tab/>
      </w:r>
      <w:r w:rsidR="00523AA7">
        <w:rPr>
          <w:rFonts w:asciiTheme="majorBidi" w:hAnsiTheme="majorBidi" w:cstheme="majorBidi"/>
        </w:rPr>
        <w:t>5</w:t>
      </w:r>
    </w:p>
    <w:p w:rsidR="004C6F1B" w:rsidRDefault="004C6F1B" w:rsidP="004C6F1B">
      <w:pPr>
        <w:tabs>
          <w:tab w:val="right" w:pos="850"/>
          <w:tab w:val="left" w:pos="1134"/>
          <w:tab w:val="left" w:pos="1559"/>
          <w:tab w:val="left" w:pos="1984"/>
          <w:tab w:val="left" w:leader="dot" w:pos="7654"/>
          <w:tab w:val="right" w:pos="8929"/>
          <w:tab w:val="right" w:pos="9638"/>
        </w:tabs>
        <w:rPr>
          <w:rFonts w:asciiTheme="majorBidi" w:hAnsiTheme="majorBidi" w:cstheme="majorBidi"/>
        </w:rPr>
      </w:pPr>
      <w:r>
        <w:rPr>
          <w:rFonts w:asciiTheme="majorBidi" w:hAnsiTheme="majorBidi" w:cstheme="majorBidi"/>
        </w:rPr>
        <w:tab/>
      </w:r>
      <w:r>
        <w:rPr>
          <w:rFonts w:asciiTheme="majorBidi" w:hAnsiTheme="majorBidi" w:cstheme="majorBidi"/>
        </w:rPr>
        <w:tab/>
        <w:t>B.</w:t>
      </w:r>
      <w:r>
        <w:rPr>
          <w:rFonts w:asciiTheme="majorBidi" w:hAnsiTheme="majorBidi" w:cstheme="majorBidi"/>
        </w:rPr>
        <w:tab/>
      </w:r>
      <w:r w:rsidRPr="002B4560">
        <w:rPr>
          <w:rFonts w:asciiTheme="majorBidi" w:hAnsiTheme="majorBidi" w:cstheme="majorBidi"/>
        </w:rPr>
        <w:t>Protocol to the Convention on the Contract for the International Carriage of</w:t>
      </w:r>
    </w:p>
    <w:p w:rsidR="004C6F1B" w:rsidRDefault="004C6F1B" w:rsidP="004C6F1B">
      <w:pPr>
        <w:tabs>
          <w:tab w:val="right" w:pos="850"/>
          <w:tab w:val="left" w:pos="1134"/>
          <w:tab w:val="left" w:pos="1559"/>
          <w:tab w:val="left" w:pos="1984"/>
          <w:tab w:val="left" w:leader="dot" w:pos="7654"/>
          <w:tab w:val="right" w:pos="8929"/>
          <w:tab w:val="right" w:pos="9638"/>
        </w:tabs>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2B4560">
        <w:rPr>
          <w:rFonts w:asciiTheme="majorBidi" w:hAnsiTheme="majorBidi" w:cstheme="majorBidi"/>
        </w:rPr>
        <w:t>Goods by Road (CMR)</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2</w:t>
      </w:r>
      <w:r w:rsidR="009D3D67">
        <w:rPr>
          <w:rFonts w:asciiTheme="majorBidi" w:hAnsiTheme="majorBidi" w:cstheme="majorBidi"/>
        </w:rPr>
        <w:t>3</w:t>
      </w:r>
      <w:r>
        <w:rPr>
          <w:rFonts w:asciiTheme="majorBidi" w:hAnsiTheme="majorBidi" w:cstheme="majorBidi"/>
        </w:rPr>
        <w:tab/>
      </w:r>
      <w:r w:rsidR="00523AA7">
        <w:rPr>
          <w:rFonts w:asciiTheme="majorBidi" w:hAnsiTheme="majorBidi" w:cstheme="majorBidi"/>
        </w:rPr>
        <w:t>5</w:t>
      </w:r>
    </w:p>
    <w:p w:rsidR="004C6F1B" w:rsidRDefault="004C6F1B" w:rsidP="004C6F1B">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lastRenderedPageBreak/>
        <w:tab/>
      </w:r>
      <w:r>
        <w:rPr>
          <w:rFonts w:asciiTheme="majorBidi" w:hAnsiTheme="majorBidi" w:cstheme="majorBidi"/>
        </w:rPr>
        <w:tab/>
        <w:t>C.</w:t>
      </w:r>
      <w:r>
        <w:rPr>
          <w:rFonts w:asciiTheme="majorBidi" w:hAnsiTheme="majorBidi" w:cstheme="majorBidi"/>
        </w:rPr>
        <w:tab/>
      </w:r>
      <w:r w:rsidRPr="002B4560">
        <w:rPr>
          <w:rFonts w:asciiTheme="majorBidi" w:hAnsiTheme="majorBidi" w:cstheme="majorBidi"/>
        </w:rPr>
        <w:t>Additional Protocol to the CMR concerning the Electronic</w:t>
      </w:r>
      <w:r>
        <w:rPr>
          <w:rFonts w:asciiTheme="majorBidi" w:hAnsiTheme="majorBidi" w:cstheme="majorBidi"/>
        </w:rPr>
        <w:t xml:space="preserve"> </w:t>
      </w:r>
      <w:r w:rsidR="006556C9">
        <w:rPr>
          <w:rFonts w:asciiTheme="majorBidi" w:hAnsiTheme="majorBidi" w:cstheme="majorBidi"/>
        </w:rPr>
        <w:t>N</w:t>
      </w:r>
      <w:r>
        <w:rPr>
          <w:rFonts w:asciiTheme="majorBidi" w:hAnsiTheme="majorBidi" w:cstheme="majorBidi"/>
        </w:rPr>
        <w:t>ote</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23-3</w:t>
      </w:r>
      <w:r w:rsidR="009D3D67">
        <w:rPr>
          <w:rFonts w:asciiTheme="majorBidi" w:hAnsiTheme="majorBidi" w:cstheme="majorBidi"/>
        </w:rPr>
        <w:t>5</w:t>
      </w:r>
      <w:r>
        <w:rPr>
          <w:rFonts w:asciiTheme="majorBidi" w:hAnsiTheme="majorBidi" w:cstheme="majorBidi"/>
        </w:rPr>
        <w:tab/>
      </w:r>
      <w:r w:rsidR="00523AA7">
        <w:rPr>
          <w:rFonts w:asciiTheme="majorBidi" w:hAnsiTheme="majorBidi" w:cstheme="majorBidi"/>
        </w:rPr>
        <w:t>5</w:t>
      </w:r>
    </w:p>
    <w:p w:rsidR="004C6F1B" w:rsidRDefault="004C6F1B"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t>VIII.</w:t>
      </w:r>
      <w:r>
        <w:rPr>
          <w:rFonts w:asciiTheme="majorBidi" w:hAnsiTheme="majorBidi" w:cstheme="majorBidi"/>
        </w:rPr>
        <w:tab/>
      </w:r>
      <w:r w:rsidRPr="002B4560">
        <w:rPr>
          <w:rFonts w:asciiTheme="majorBidi" w:hAnsiTheme="majorBidi" w:cstheme="majorBidi"/>
        </w:rPr>
        <w:t>Facilitation of international road transport</w:t>
      </w:r>
      <w:r>
        <w:rPr>
          <w:rFonts w:asciiTheme="majorBidi" w:hAnsiTheme="majorBidi" w:cstheme="majorBidi"/>
        </w:rPr>
        <w:t xml:space="preserve"> (agenda item 7)</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3</w:t>
      </w:r>
      <w:r w:rsidR="009D3D67">
        <w:rPr>
          <w:rFonts w:asciiTheme="majorBidi" w:hAnsiTheme="majorBidi" w:cstheme="majorBidi"/>
        </w:rPr>
        <w:t>6</w:t>
      </w:r>
      <w:r w:rsidR="00523AA7">
        <w:rPr>
          <w:rFonts w:asciiTheme="majorBidi" w:hAnsiTheme="majorBidi" w:cstheme="majorBidi"/>
        </w:rPr>
        <w:t>-4</w:t>
      </w:r>
      <w:r w:rsidR="009D3D67">
        <w:rPr>
          <w:rFonts w:asciiTheme="majorBidi" w:hAnsiTheme="majorBidi" w:cstheme="majorBidi"/>
        </w:rPr>
        <w:t>6</w:t>
      </w:r>
      <w:r>
        <w:rPr>
          <w:rFonts w:asciiTheme="majorBidi" w:hAnsiTheme="majorBidi" w:cstheme="majorBidi"/>
        </w:rPr>
        <w:tab/>
      </w:r>
      <w:r w:rsidR="00523AA7">
        <w:rPr>
          <w:rFonts w:asciiTheme="majorBidi" w:hAnsiTheme="majorBidi" w:cstheme="majorBidi"/>
        </w:rPr>
        <w:t>7</w:t>
      </w:r>
    </w:p>
    <w:p w:rsidR="004C6F1B" w:rsidRDefault="004C6F1B"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A.</w:t>
      </w:r>
      <w:r>
        <w:rPr>
          <w:rFonts w:asciiTheme="majorBidi" w:hAnsiTheme="majorBidi" w:cstheme="majorBidi"/>
        </w:rPr>
        <w:tab/>
      </w:r>
      <w:r w:rsidRPr="002B4560">
        <w:rPr>
          <w:rFonts w:asciiTheme="majorBidi" w:hAnsiTheme="majorBidi" w:cstheme="majorBidi"/>
        </w:rPr>
        <w:t>International Motor Insurance System (Green Card)</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3</w:t>
      </w:r>
      <w:r w:rsidR="006556C9">
        <w:rPr>
          <w:rFonts w:asciiTheme="majorBidi" w:hAnsiTheme="majorBidi" w:cstheme="majorBidi"/>
        </w:rPr>
        <w:t>6-37</w:t>
      </w:r>
      <w:r>
        <w:rPr>
          <w:rFonts w:asciiTheme="majorBidi" w:hAnsiTheme="majorBidi" w:cstheme="majorBidi"/>
        </w:rPr>
        <w:tab/>
      </w:r>
      <w:r w:rsidR="00523AA7">
        <w:rPr>
          <w:rFonts w:asciiTheme="majorBidi" w:hAnsiTheme="majorBidi" w:cstheme="majorBidi"/>
        </w:rPr>
        <w:t>7</w:t>
      </w:r>
    </w:p>
    <w:p w:rsidR="004C6F1B" w:rsidRDefault="004C6F1B" w:rsidP="003B6357">
      <w:pPr>
        <w:tabs>
          <w:tab w:val="right" w:pos="850"/>
          <w:tab w:val="left" w:pos="1134"/>
          <w:tab w:val="left" w:pos="1559"/>
          <w:tab w:val="left" w:pos="1984"/>
          <w:tab w:val="left" w:leader="dot" w:pos="7654"/>
          <w:tab w:val="right" w:pos="8929"/>
          <w:tab w:val="right" w:pos="9638"/>
        </w:tabs>
        <w:rPr>
          <w:rFonts w:asciiTheme="majorBidi" w:hAnsiTheme="majorBidi" w:cstheme="majorBidi"/>
        </w:rPr>
      </w:pPr>
      <w:r>
        <w:rPr>
          <w:rFonts w:asciiTheme="majorBidi" w:hAnsiTheme="majorBidi" w:cstheme="majorBidi"/>
        </w:rPr>
        <w:tab/>
      </w:r>
      <w:r>
        <w:rPr>
          <w:rFonts w:asciiTheme="majorBidi" w:hAnsiTheme="majorBidi" w:cstheme="majorBidi"/>
        </w:rPr>
        <w:tab/>
        <w:t>B.</w:t>
      </w:r>
      <w:r>
        <w:rPr>
          <w:rFonts w:asciiTheme="majorBidi" w:hAnsiTheme="majorBidi" w:cstheme="majorBidi"/>
        </w:rPr>
        <w:tab/>
      </w:r>
      <w:r w:rsidRPr="002B4560">
        <w:rPr>
          <w:rFonts w:asciiTheme="majorBidi" w:hAnsiTheme="majorBidi" w:cstheme="majorBidi"/>
        </w:rPr>
        <w:t>Proposal for a global multilateral agreement on the international regular</w:t>
      </w:r>
      <w:r>
        <w:rPr>
          <w:rFonts w:asciiTheme="majorBidi" w:hAnsiTheme="majorBidi" w:cstheme="majorBidi"/>
        </w:rPr>
        <w:t xml:space="preserve"> transport</w:t>
      </w:r>
    </w:p>
    <w:p w:rsidR="004C6F1B" w:rsidRDefault="004C6F1B" w:rsidP="003B6357">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2B4560">
        <w:rPr>
          <w:rFonts w:asciiTheme="majorBidi" w:hAnsiTheme="majorBidi" w:cstheme="majorBidi"/>
        </w:rPr>
        <w:t>of passen</w:t>
      </w:r>
      <w:r>
        <w:rPr>
          <w:rFonts w:asciiTheme="majorBidi" w:hAnsiTheme="majorBidi" w:cstheme="majorBidi"/>
        </w:rPr>
        <w:t>gers by coach and bus (</w:t>
      </w:r>
      <w:proofErr w:type="spellStart"/>
      <w:r>
        <w:rPr>
          <w:rFonts w:asciiTheme="majorBidi" w:hAnsiTheme="majorBidi" w:cstheme="majorBidi"/>
        </w:rPr>
        <w:t>OmniBUS</w:t>
      </w:r>
      <w:proofErr w:type="spellEnd"/>
      <w:r>
        <w:rPr>
          <w:rFonts w:asciiTheme="majorBidi" w:hAnsiTheme="majorBidi" w:cstheme="majorBidi"/>
        </w:rPr>
        <w:t>)</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3</w:t>
      </w:r>
      <w:r w:rsidR="006556C9">
        <w:rPr>
          <w:rFonts w:asciiTheme="majorBidi" w:hAnsiTheme="majorBidi" w:cstheme="majorBidi"/>
        </w:rPr>
        <w:t>8</w:t>
      </w:r>
      <w:r w:rsidR="00523AA7">
        <w:rPr>
          <w:rFonts w:asciiTheme="majorBidi" w:hAnsiTheme="majorBidi" w:cstheme="majorBidi"/>
        </w:rPr>
        <w:t>-4</w:t>
      </w:r>
      <w:r w:rsidR="006556C9">
        <w:rPr>
          <w:rFonts w:asciiTheme="majorBidi" w:hAnsiTheme="majorBidi" w:cstheme="majorBidi"/>
        </w:rPr>
        <w:t>1</w:t>
      </w:r>
      <w:r>
        <w:rPr>
          <w:rFonts w:asciiTheme="majorBidi" w:hAnsiTheme="majorBidi" w:cstheme="majorBidi"/>
        </w:rPr>
        <w:tab/>
      </w:r>
      <w:r w:rsidR="00523AA7">
        <w:rPr>
          <w:rFonts w:asciiTheme="majorBidi" w:hAnsiTheme="majorBidi" w:cstheme="majorBidi"/>
        </w:rPr>
        <w:t>7</w:t>
      </w:r>
    </w:p>
    <w:p w:rsidR="004C6F1B" w:rsidRDefault="004C6F1B" w:rsidP="003B6357">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C.</w:t>
      </w:r>
      <w:r>
        <w:rPr>
          <w:rFonts w:asciiTheme="majorBidi" w:hAnsiTheme="majorBidi" w:cstheme="majorBidi"/>
        </w:rPr>
        <w:tab/>
      </w:r>
      <w:r w:rsidRPr="002B4560">
        <w:rPr>
          <w:rFonts w:asciiTheme="majorBidi" w:hAnsiTheme="majorBidi" w:cstheme="majorBidi"/>
        </w:rPr>
        <w:t>Quantitative restrictions imposed on international road transport of goods</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4</w:t>
      </w:r>
      <w:r w:rsidR="006556C9">
        <w:rPr>
          <w:rFonts w:asciiTheme="majorBidi" w:hAnsiTheme="majorBidi" w:cstheme="majorBidi"/>
        </w:rPr>
        <w:t>2</w:t>
      </w:r>
      <w:r w:rsidR="00523AA7">
        <w:rPr>
          <w:rFonts w:asciiTheme="majorBidi" w:hAnsiTheme="majorBidi" w:cstheme="majorBidi"/>
        </w:rPr>
        <w:t>-4</w:t>
      </w:r>
      <w:r w:rsidR="006556C9">
        <w:rPr>
          <w:rFonts w:asciiTheme="majorBidi" w:hAnsiTheme="majorBidi" w:cstheme="majorBidi"/>
        </w:rPr>
        <w:t>4</w:t>
      </w:r>
      <w:r>
        <w:rPr>
          <w:rFonts w:asciiTheme="majorBidi" w:hAnsiTheme="majorBidi" w:cstheme="majorBidi"/>
        </w:rPr>
        <w:tab/>
      </w:r>
      <w:r w:rsidR="00523AA7">
        <w:rPr>
          <w:rFonts w:asciiTheme="majorBidi" w:hAnsiTheme="majorBidi" w:cstheme="majorBidi"/>
        </w:rPr>
        <w:t>7</w:t>
      </w:r>
    </w:p>
    <w:p w:rsidR="004C6F1B" w:rsidRDefault="004C6F1B"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r>
      <w:r>
        <w:rPr>
          <w:rFonts w:asciiTheme="majorBidi" w:hAnsiTheme="majorBidi" w:cstheme="majorBidi"/>
        </w:rPr>
        <w:tab/>
        <w:t>D.</w:t>
      </w:r>
      <w:r>
        <w:rPr>
          <w:rFonts w:asciiTheme="majorBidi" w:hAnsiTheme="majorBidi" w:cstheme="majorBidi"/>
        </w:rPr>
        <w:tab/>
      </w:r>
      <w:r w:rsidRPr="00E36D9D">
        <w:rPr>
          <w:rFonts w:asciiTheme="majorBidi" w:hAnsiTheme="majorBidi" w:cstheme="majorBidi"/>
        </w:rPr>
        <w:t>The relationship between the origin of goods and transport operations</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4</w:t>
      </w:r>
      <w:r w:rsidR="006556C9">
        <w:rPr>
          <w:rFonts w:asciiTheme="majorBidi" w:hAnsiTheme="majorBidi" w:cstheme="majorBidi"/>
        </w:rPr>
        <w:t>5</w:t>
      </w:r>
      <w:r w:rsidR="00523AA7">
        <w:rPr>
          <w:rFonts w:asciiTheme="majorBidi" w:hAnsiTheme="majorBidi" w:cstheme="majorBidi"/>
        </w:rPr>
        <w:t>-4</w:t>
      </w:r>
      <w:r w:rsidR="006556C9">
        <w:rPr>
          <w:rFonts w:asciiTheme="majorBidi" w:hAnsiTheme="majorBidi" w:cstheme="majorBidi"/>
        </w:rPr>
        <w:t>6</w:t>
      </w:r>
      <w:r>
        <w:rPr>
          <w:rFonts w:asciiTheme="majorBidi" w:hAnsiTheme="majorBidi" w:cstheme="majorBidi"/>
        </w:rPr>
        <w:tab/>
      </w:r>
      <w:r w:rsidR="00523AA7">
        <w:rPr>
          <w:rFonts w:asciiTheme="majorBidi" w:hAnsiTheme="majorBidi" w:cstheme="majorBidi"/>
        </w:rPr>
        <w:t>8</w:t>
      </w:r>
    </w:p>
    <w:p w:rsidR="004C6F1B" w:rsidRDefault="004C6F1B"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t>IX.</w:t>
      </w:r>
      <w:r>
        <w:rPr>
          <w:rFonts w:asciiTheme="majorBidi" w:hAnsiTheme="majorBidi" w:cstheme="majorBidi"/>
        </w:rPr>
        <w:tab/>
      </w:r>
      <w:r w:rsidRPr="002B4560">
        <w:rPr>
          <w:rFonts w:asciiTheme="majorBidi" w:hAnsiTheme="majorBidi" w:cstheme="majorBidi"/>
        </w:rPr>
        <w:t>Safety at Level Crossings Group of Experts</w:t>
      </w:r>
      <w:r>
        <w:rPr>
          <w:rFonts w:asciiTheme="majorBidi" w:hAnsiTheme="majorBidi" w:cstheme="majorBidi"/>
        </w:rPr>
        <w:t xml:space="preserve"> (agenda item 8)</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4</w:t>
      </w:r>
      <w:r w:rsidR="006556C9">
        <w:rPr>
          <w:rFonts w:asciiTheme="majorBidi" w:hAnsiTheme="majorBidi" w:cstheme="majorBidi"/>
        </w:rPr>
        <w:t>7</w:t>
      </w:r>
      <w:r>
        <w:rPr>
          <w:rFonts w:asciiTheme="majorBidi" w:hAnsiTheme="majorBidi" w:cstheme="majorBidi"/>
        </w:rPr>
        <w:tab/>
      </w:r>
      <w:r w:rsidR="00523AA7">
        <w:rPr>
          <w:rFonts w:asciiTheme="majorBidi" w:hAnsiTheme="majorBidi" w:cstheme="majorBidi"/>
        </w:rPr>
        <w:t>8</w:t>
      </w:r>
    </w:p>
    <w:p w:rsidR="004C6F1B" w:rsidRDefault="004C6F1B"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t>X.</w:t>
      </w:r>
      <w:r>
        <w:rPr>
          <w:rFonts w:asciiTheme="majorBidi" w:hAnsiTheme="majorBidi" w:cstheme="majorBidi"/>
        </w:rPr>
        <w:tab/>
      </w:r>
      <w:r w:rsidRPr="002B4560">
        <w:rPr>
          <w:rFonts w:asciiTheme="majorBidi" w:hAnsiTheme="majorBidi" w:cstheme="majorBidi"/>
        </w:rPr>
        <w:t>Revision of SC.1 terms of reference and rules of procedure</w:t>
      </w:r>
      <w:r>
        <w:rPr>
          <w:rFonts w:asciiTheme="majorBidi" w:hAnsiTheme="majorBidi" w:cstheme="majorBidi"/>
        </w:rPr>
        <w:t xml:space="preserve"> (agenda item 9)</w:t>
      </w:r>
      <w:r>
        <w:rPr>
          <w:rFonts w:asciiTheme="majorBidi" w:hAnsiTheme="majorBidi" w:cstheme="majorBidi"/>
        </w:rPr>
        <w:tab/>
      </w:r>
      <w:r>
        <w:rPr>
          <w:rFonts w:asciiTheme="majorBidi" w:hAnsiTheme="majorBidi" w:cstheme="majorBidi"/>
        </w:rPr>
        <w:tab/>
      </w:r>
      <w:r w:rsidR="00523AA7">
        <w:rPr>
          <w:rFonts w:asciiTheme="majorBidi" w:hAnsiTheme="majorBidi" w:cstheme="majorBidi"/>
        </w:rPr>
        <w:t>4</w:t>
      </w:r>
      <w:r w:rsidR="006556C9">
        <w:rPr>
          <w:rFonts w:asciiTheme="majorBidi" w:hAnsiTheme="majorBidi" w:cstheme="majorBidi"/>
        </w:rPr>
        <w:t>8</w:t>
      </w:r>
      <w:r w:rsidR="00523AA7">
        <w:rPr>
          <w:rFonts w:asciiTheme="majorBidi" w:hAnsiTheme="majorBidi" w:cstheme="majorBidi"/>
        </w:rPr>
        <w:t>-4</w:t>
      </w:r>
      <w:r w:rsidR="006556C9">
        <w:rPr>
          <w:rFonts w:asciiTheme="majorBidi" w:hAnsiTheme="majorBidi" w:cstheme="majorBidi"/>
        </w:rPr>
        <w:t>9</w:t>
      </w:r>
      <w:r>
        <w:rPr>
          <w:rFonts w:asciiTheme="majorBidi" w:hAnsiTheme="majorBidi" w:cstheme="majorBidi"/>
        </w:rPr>
        <w:tab/>
      </w:r>
      <w:r w:rsidR="00523AA7">
        <w:rPr>
          <w:rFonts w:asciiTheme="majorBidi" w:hAnsiTheme="majorBidi" w:cstheme="majorBidi"/>
        </w:rPr>
        <w:t>8</w:t>
      </w:r>
    </w:p>
    <w:p w:rsidR="004C6F1B" w:rsidRDefault="004C6F1B" w:rsidP="006E2150">
      <w:pPr>
        <w:tabs>
          <w:tab w:val="right" w:pos="850"/>
          <w:tab w:val="left" w:pos="1134"/>
          <w:tab w:val="left" w:pos="1559"/>
          <w:tab w:val="left" w:pos="1984"/>
          <w:tab w:val="left" w:leader="dot" w:pos="7654"/>
          <w:tab w:val="right" w:pos="8929"/>
          <w:tab w:val="right" w:pos="9638"/>
        </w:tabs>
        <w:spacing w:after="120"/>
        <w:rPr>
          <w:rFonts w:asciiTheme="majorBidi" w:hAnsiTheme="majorBidi" w:cstheme="majorBidi"/>
        </w:rPr>
      </w:pPr>
      <w:r>
        <w:rPr>
          <w:rFonts w:asciiTheme="majorBidi" w:hAnsiTheme="majorBidi" w:cstheme="majorBidi"/>
        </w:rPr>
        <w:tab/>
        <w:t>XI.</w:t>
      </w:r>
      <w:r>
        <w:rPr>
          <w:rFonts w:asciiTheme="majorBidi" w:hAnsiTheme="majorBidi" w:cstheme="majorBidi"/>
        </w:rPr>
        <w:tab/>
      </w:r>
      <w:r w:rsidR="009E40AB" w:rsidRPr="002B4560">
        <w:rPr>
          <w:rFonts w:asciiTheme="majorBidi" w:hAnsiTheme="majorBidi" w:cstheme="majorBidi"/>
        </w:rPr>
        <w:t>Other business</w:t>
      </w:r>
      <w:r w:rsidR="009E40AB">
        <w:rPr>
          <w:rFonts w:asciiTheme="majorBidi" w:hAnsiTheme="majorBidi" w:cstheme="majorBidi"/>
        </w:rPr>
        <w:t xml:space="preserve"> (agenda item 10)</w:t>
      </w:r>
      <w:r w:rsidR="009E40AB">
        <w:rPr>
          <w:rFonts w:asciiTheme="majorBidi" w:hAnsiTheme="majorBidi" w:cstheme="majorBidi"/>
        </w:rPr>
        <w:tab/>
      </w:r>
      <w:r w:rsidR="009E40AB">
        <w:rPr>
          <w:rFonts w:asciiTheme="majorBidi" w:hAnsiTheme="majorBidi" w:cstheme="majorBidi"/>
        </w:rPr>
        <w:tab/>
      </w:r>
      <w:r w:rsidR="006556C9">
        <w:rPr>
          <w:rFonts w:asciiTheme="majorBidi" w:hAnsiTheme="majorBidi" w:cstheme="majorBidi"/>
        </w:rPr>
        <w:t>50</w:t>
      </w:r>
      <w:r w:rsidR="009E40AB">
        <w:rPr>
          <w:rFonts w:asciiTheme="majorBidi" w:hAnsiTheme="majorBidi" w:cstheme="majorBidi"/>
        </w:rPr>
        <w:tab/>
      </w:r>
      <w:r w:rsidR="00523AA7">
        <w:rPr>
          <w:rFonts w:asciiTheme="majorBidi" w:hAnsiTheme="majorBidi" w:cstheme="majorBidi"/>
        </w:rPr>
        <w:t>8</w:t>
      </w:r>
    </w:p>
    <w:p w:rsidR="009E40AB" w:rsidRDefault="009E40AB" w:rsidP="006E2150">
      <w:pPr>
        <w:tabs>
          <w:tab w:val="right" w:pos="850"/>
          <w:tab w:val="left" w:pos="1134"/>
          <w:tab w:val="left" w:pos="1559"/>
          <w:tab w:val="left" w:pos="1984"/>
          <w:tab w:val="left" w:leader="dot" w:pos="7654"/>
          <w:tab w:val="right" w:pos="8929"/>
          <w:tab w:val="right" w:pos="9638"/>
        </w:tabs>
        <w:spacing w:after="120"/>
        <w:rPr>
          <w:rStyle w:val="SingleTxtGChar"/>
          <w:rFonts w:asciiTheme="majorBidi" w:hAnsiTheme="majorBidi" w:cstheme="majorBidi"/>
        </w:rPr>
      </w:pPr>
      <w:r>
        <w:rPr>
          <w:rFonts w:asciiTheme="majorBidi" w:hAnsiTheme="majorBidi" w:cstheme="majorBidi"/>
        </w:rPr>
        <w:tab/>
        <w:t>XII</w:t>
      </w:r>
      <w:r>
        <w:rPr>
          <w:rFonts w:asciiTheme="majorBidi" w:hAnsiTheme="majorBidi" w:cstheme="majorBidi"/>
        </w:rPr>
        <w:tab/>
      </w:r>
      <w:r w:rsidRPr="002B4560">
        <w:rPr>
          <w:rStyle w:val="SingleTxtGChar"/>
          <w:rFonts w:asciiTheme="majorBidi" w:hAnsiTheme="majorBidi" w:cstheme="majorBidi"/>
        </w:rPr>
        <w:t>Date of next session</w:t>
      </w:r>
      <w:r>
        <w:rPr>
          <w:rStyle w:val="SingleTxtGChar"/>
          <w:rFonts w:asciiTheme="majorBidi" w:hAnsiTheme="majorBidi" w:cstheme="majorBidi"/>
        </w:rPr>
        <w:t xml:space="preserve"> agenda item 11)</w:t>
      </w:r>
      <w:r>
        <w:rPr>
          <w:rStyle w:val="SingleTxtGChar"/>
          <w:rFonts w:asciiTheme="majorBidi" w:hAnsiTheme="majorBidi" w:cstheme="majorBidi"/>
        </w:rPr>
        <w:tab/>
      </w:r>
      <w:r>
        <w:rPr>
          <w:rStyle w:val="SingleTxtGChar"/>
          <w:rFonts w:asciiTheme="majorBidi" w:hAnsiTheme="majorBidi" w:cstheme="majorBidi"/>
        </w:rPr>
        <w:tab/>
      </w:r>
      <w:r w:rsidR="006556C9">
        <w:rPr>
          <w:rStyle w:val="SingleTxtGChar"/>
          <w:rFonts w:asciiTheme="majorBidi" w:hAnsiTheme="majorBidi" w:cstheme="majorBidi"/>
        </w:rPr>
        <w:t>51</w:t>
      </w:r>
      <w:r>
        <w:rPr>
          <w:rStyle w:val="SingleTxtGChar"/>
          <w:rFonts w:asciiTheme="majorBidi" w:hAnsiTheme="majorBidi" w:cstheme="majorBidi"/>
        </w:rPr>
        <w:tab/>
      </w:r>
      <w:r w:rsidR="00523AA7">
        <w:rPr>
          <w:rStyle w:val="SingleTxtGChar"/>
          <w:rFonts w:asciiTheme="majorBidi" w:hAnsiTheme="majorBidi" w:cstheme="majorBidi"/>
        </w:rPr>
        <w:t>8</w:t>
      </w:r>
    </w:p>
    <w:p w:rsidR="009E40AB" w:rsidRDefault="009E40AB" w:rsidP="006E2150">
      <w:pPr>
        <w:tabs>
          <w:tab w:val="right" w:pos="850"/>
          <w:tab w:val="left" w:pos="1134"/>
          <w:tab w:val="left" w:pos="1559"/>
          <w:tab w:val="left" w:pos="1984"/>
          <w:tab w:val="left" w:leader="dot" w:pos="7654"/>
          <w:tab w:val="right" w:pos="8929"/>
          <w:tab w:val="right" w:pos="9638"/>
        </w:tabs>
        <w:spacing w:after="120"/>
        <w:rPr>
          <w:rStyle w:val="SingleTxtGChar"/>
          <w:rFonts w:asciiTheme="majorBidi" w:hAnsiTheme="majorBidi" w:cstheme="majorBidi"/>
        </w:rPr>
      </w:pPr>
      <w:r>
        <w:rPr>
          <w:rStyle w:val="SingleTxtGChar"/>
          <w:rFonts w:asciiTheme="majorBidi" w:hAnsiTheme="majorBidi" w:cstheme="majorBidi"/>
        </w:rPr>
        <w:tab/>
        <w:t>XIII.</w:t>
      </w:r>
      <w:r>
        <w:rPr>
          <w:rStyle w:val="SingleTxtGChar"/>
          <w:rFonts w:asciiTheme="majorBidi" w:hAnsiTheme="majorBidi" w:cstheme="majorBidi"/>
        </w:rPr>
        <w:tab/>
        <w:t xml:space="preserve">Election of </w:t>
      </w:r>
      <w:r w:rsidR="006556C9">
        <w:rPr>
          <w:rStyle w:val="SingleTxtGChar"/>
          <w:rFonts w:asciiTheme="majorBidi" w:hAnsiTheme="majorBidi" w:cstheme="majorBidi"/>
        </w:rPr>
        <w:t>O</w:t>
      </w:r>
      <w:r>
        <w:rPr>
          <w:rStyle w:val="SingleTxtGChar"/>
          <w:rFonts w:asciiTheme="majorBidi" w:hAnsiTheme="majorBidi" w:cstheme="majorBidi"/>
        </w:rPr>
        <w:t>fficers (agenda item 12)</w:t>
      </w:r>
      <w:r>
        <w:rPr>
          <w:rStyle w:val="SingleTxtGChar"/>
          <w:rFonts w:asciiTheme="majorBidi" w:hAnsiTheme="majorBidi" w:cstheme="majorBidi"/>
        </w:rPr>
        <w:tab/>
      </w:r>
      <w:r>
        <w:rPr>
          <w:rStyle w:val="SingleTxtGChar"/>
          <w:rFonts w:asciiTheme="majorBidi" w:hAnsiTheme="majorBidi" w:cstheme="majorBidi"/>
        </w:rPr>
        <w:tab/>
      </w:r>
      <w:r w:rsidR="006556C9">
        <w:rPr>
          <w:rStyle w:val="SingleTxtGChar"/>
          <w:rFonts w:asciiTheme="majorBidi" w:hAnsiTheme="majorBidi" w:cstheme="majorBidi"/>
        </w:rPr>
        <w:t>52</w:t>
      </w:r>
      <w:r>
        <w:rPr>
          <w:rStyle w:val="SingleTxtGChar"/>
          <w:rFonts w:asciiTheme="majorBidi" w:hAnsiTheme="majorBidi" w:cstheme="majorBidi"/>
        </w:rPr>
        <w:tab/>
      </w:r>
      <w:r w:rsidR="00523AA7">
        <w:rPr>
          <w:rStyle w:val="SingleTxtGChar"/>
          <w:rFonts w:asciiTheme="majorBidi" w:hAnsiTheme="majorBidi" w:cstheme="majorBidi"/>
        </w:rPr>
        <w:t>8</w:t>
      </w:r>
    </w:p>
    <w:p w:rsidR="009E40AB" w:rsidRDefault="009E40AB" w:rsidP="006E2150">
      <w:pPr>
        <w:tabs>
          <w:tab w:val="right" w:pos="850"/>
          <w:tab w:val="left" w:pos="1134"/>
          <w:tab w:val="left" w:pos="1559"/>
          <w:tab w:val="left" w:pos="1984"/>
          <w:tab w:val="left" w:leader="dot" w:pos="7654"/>
          <w:tab w:val="right" w:pos="8929"/>
          <w:tab w:val="right" w:pos="9638"/>
        </w:tabs>
        <w:spacing w:after="120"/>
        <w:rPr>
          <w:rStyle w:val="SingleTxtGChar"/>
          <w:rFonts w:asciiTheme="majorBidi" w:hAnsiTheme="majorBidi" w:cstheme="majorBidi"/>
        </w:rPr>
      </w:pPr>
      <w:r>
        <w:rPr>
          <w:rStyle w:val="SingleTxtGChar"/>
          <w:rFonts w:asciiTheme="majorBidi" w:hAnsiTheme="majorBidi" w:cstheme="majorBidi"/>
        </w:rPr>
        <w:tab/>
        <w:t>XIV</w:t>
      </w:r>
      <w:r w:rsidR="002D27C1">
        <w:rPr>
          <w:rStyle w:val="SingleTxtGChar"/>
          <w:rFonts w:asciiTheme="majorBidi" w:hAnsiTheme="majorBidi" w:cstheme="majorBidi"/>
        </w:rPr>
        <w:t>.</w:t>
      </w:r>
      <w:r>
        <w:rPr>
          <w:rStyle w:val="SingleTxtGChar"/>
          <w:rFonts w:asciiTheme="majorBidi" w:hAnsiTheme="majorBidi" w:cstheme="majorBidi"/>
        </w:rPr>
        <w:tab/>
      </w:r>
      <w:r w:rsidRPr="002B4560">
        <w:rPr>
          <w:rStyle w:val="SingleTxtGChar"/>
          <w:rFonts w:asciiTheme="majorBidi" w:hAnsiTheme="majorBidi" w:cstheme="majorBidi"/>
        </w:rPr>
        <w:t>Adoption of the report</w:t>
      </w:r>
      <w:r>
        <w:rPr>
          <w:rStyle w:val="SingleTxtGChar"/>
          <w:rFonts w:asciiTheme="majorBidi" w:hAnsiTheme="majorBidi" w:cstheme="majorBidi"/>
        </w:rPr>
        <w:t xml:space="preserve"> (agenda item 13)</w:t>
      </w:r>
      <w:r>
        <w:rPr>
          <w:rStyle w:val="SingleTxtGChar"/>
          <w:rFonts w:asciiTheme="majorBidi" w:hAnsiTheme="majorBidi" w:cstheme="majorBidi"/>
        </w:rPr>
        <w:tab/>
      </w:r>
      <w:r>
        <w:rPr>
          <w:rStyle w:val="SingleTxtGChar"/>
          <w:rFonts w:asciiTheme="majorBidi" w:hAnsiTheme="majorBidi" w:cstheme="majorBidi"/>
        </w:rPr>
        <w:tab/>
      </w:r>
      <w:r w:rsidR="00523AA7">
        <w:rPr>
          <w:rStyle w:val="SingleTxtGChar"/>
          <w:rFonts w:asciiTheme="majorBidi" w:hAnsiTheme="majorBidi" w:cstheme="majorBidi"/>
        </w:rPr>
        <w:t>5</w:t>
      </w:r>
      <w:r w:rsidR="006556C9">
        <w:rPr>
          <w:rStyle w:val="SingleTxtGChar"/>
          <w:rFonts w:asciiTheme="majorBidi" w:hAnsiTheme="majorBidi" w:cstheme="majorBidi"/>
        </w:rPr>
        <w:t>3</w:t>
      </w:r>
      <w:r>
        <w:rPr>
          <w:rStyle w:val="SingleTxtGChar"/>
          <w:rFonts w:asciiTheme="majorBidi" w:hAnsiTheme="majorBidi" w:cstheme="majorBidi"/>
        </w:rPr>
        <w:tab/>
      </w:r>
      <w:r w:rsidR="00523AA7">
        <w:rPr>
          <w:rStyle w:val="SingleTxtGChar"/>
          <w:rFonts w:asciiTheme="majorBidi" w:hAnsiTheme="majorBidi" w:cstheme="majorBidi"/>
        </w:rPr>
        <w:t>9</w:t>
      </w:r>
    </w:p>
    <w:p w:rsidR="007440FA" w:rsidRDefault="007440FA" w:rsidP="00523AA7">
      <w:pPr>
        <w:tabs>
          <w:tab w:val="right" w:pos="850"/>
          <w:tab w:val="left" w:pos="1134"/>
          <w:tab w:val="left" w:pos="1559"/>
          <w:tab w:val="left" w:pos="1984"/>
          <w:tab w:val="left" w:leader="dot" w:pos="8647"/>
          <w:tab w:val="right" w:pos="8929"/>
          <w:tab w:val="right" w:pos="9638"/>
        </w:tabs>
        <w:spacing w:after="120"/>
        <w:rPr>
          <w:rFonts w:asciiTheme="majorBidi" w:hAnsiTheme="majorBidi" w:cstheme="majorBidi"/>
        </w:rPr>
      </w:pPr>
      <w:r>
        <w:rPr>
          <w:rStyle w:val="SingleTxtGChar"/>
          <w:rFonts w:asciiTheme="majorBidi" w:hAnsiTheme="majorBidi" w:cstheme="majorBidi"/>
        </w:rPr>
        <w:t>Annex</w:t>
      </w:r>
      <w:r>
        <w:rPr>
          <w:rStyle w:val="SingleTxtGChar"/>
          <w:rFonts w:asciiTheme="majorBidi" w:hAnsiTheme="majorBidi" w:cstheme="majorBidi"/>
        </w:rPr>
        <w:tab/>
      </w:r>
      <w:r>
        <w:rPr>
          <w:rStyle w:val="SingleTxtGChar"/>
          <w:rFonts w:asciiTheme="majorBidi" w:hAnsiTheme="majorBidi" w:cstheme="majorBidi"/>
        </w:rPr>
        <w:tab/>
      </w:r>
      <w:r w:rsidR="002C2634" w:rsidRPr="001A34AC">
        <w:rPr>
          <w:bCs/>
        </w:rPr>
        <w:t>ITC Strategy until 2030</w:t>
      </w:r>
      <w:r>
        <w:rPr>
          <w:rStyle w:val="SingleTxtGChar"/>
          <w:rFonts w:asciiTheme="majorBidi" w:hAnsiTheme="majorBidi" w:cstheme="majorBidi"/>
        </w:rPr>
        <w:tab/>
      </w:r>
      <w:r>
        <w:rPr>
          <w:rStyle w:val="SingleTxtGChar"/>
          <w:rFonts w:asciiTheme="majorBidi" w:hAnsiTheme="majorBidi" w:cstheme="majorBidi"/>
        </w:rPr>
        <w:tab/>
      </w:r>
      <w:r>
        <w:rPr>
          <w:rStyle w:val="SingleTxtGChar"/>
          <w:rFonts w:asciiTheme="majorBidi" w:hAnsiTheme="majorBidi" w:cstheme="majorBidi"/>
        </w:rPr>
        <w:tab/>
      </w:r>
      <w:r w:rsidR="00523AA7">
        <w:rPr>
          <w:rStyle w:val="SingleTxtGChar"/>
          <w:rFonts w:asciiTheme="majorBidi" w:hAnsiTheme="majorBidi" w:cstheme="majorBidi"/>
        </w:rPr>
        <w:t>10</w:t>
      </w:r>
    </w:p>
    <w:p w:rsidR="006F146E" w:rsidRDefault="006F146E" w:rsidP="006E2150">
      <w:pPr>
        <w:tabs>
          <w:tab w:val="right" w:pos="850"/>
          <w:tab w:val="left" w:pos="1134"/>
          <w:tab w:val="left" w:pos="1559"/>
          <w:tab w:val="left" w:pos="1984"/>
          <w:tab w:val="left" w:leader="dot" w:pos="7654"/>
          <w:tab w:val="right" w:pos="8929"/>
          <w:tab w:val="right" w:pos="9638"/>
        </w:tabs>
        <w:spacing w:after="120"/>
      </w:pPr>
      <w:r>
        <w:br w:type="page"/>
      </w:r>
    </w:p>
    <w:p w:rsidR="003F6C52" w:rsidRDefault="003F6C52" w:rsidP="003F6C52">
      <w:pPr>
        <w:pStyle w:val="HChG"/>
      </w:pPr>
      <w:r>
        <w:lastRenderedPageBreak/>
        <w:tab/>
        <w:t>I.</w:t>
      </w:r>
      <w:r>
        <w:tab/>
      </w:r>
      <w:r>
        <w:tab/>
        <w:t>Attendance</w:t>
      </w:r>
    </w:p>
    <w:p w:rsidR="003F6C52" w:rsidRPr="001C2134" w:rsidRDefault="003F6C52" w:rsidP="003F6C52">
      <w:pPr>
        <w:pStyle w:val="SingleTxtG"/>
      </w:pPr>
      <w:r w:rsidRPr="001C2134">
        <w:t>1.</w:t>
      </w:r>
      <w:r w:rsidRPr="001C2134">
        <w:tab/>
        <w:t>The Working Party on Ro</w:t>
      </w:r>
      <w:r w:rsidR="001C2134">
        <w:t>ad Transport (SC.1) held its 113</w:t>
      </w:r>
      <w:r w:rsidRPr="001C2134">
        <w:t xml:space="preserve">th session </w:t>
      </w:r>
      <w:r w:rsidR="003145B2">
        <w:t>from</w:t>
      </w:r>
      <w:r w:rsidRPr="001C2134">
        <w:t xml:space="preserve"> 1</w:t>
      </w:r>
      <w:r w:rsidR="001C2134">
        <w:t>6</w:t>
      </w:r>
      <w:r w:rsidR="003145B2">
        <w:t xml:space="preserve"> to </w:t>
      </w:r>
      <w:r w:rsidRPr="001C2134">
        <w:t>18 October 201</w:t>
      </w:r>
      <w:r w:rsidR="001C2134">
        <w:t>8</w:t>
      </w:r>
      <w:r w:rsidRPr="001C2134">
        <w:t xml:space="preserve">, chaired by Mr. R. </w:t>
      </w:r>
      <w:proofErr w:type="spellStart"/>
      <w:r w:rsidRPr="001C2134">
        <w:t>Symonenko</w:t>
      </w:r>
      <w:proofErr w:type="spellEnd"/>
      <w:r w:rsidRPr="001C2134">
        <w:t xml:space="preserve"> (Ukraine). The following United Nations Economic Commission for Europe (UNECE) member States were represented in the meeting: </w:t>
      </w:r>
      <w:r w:rsidR="004141DE" w:rsidRPr="004141DE">
        <w:t>Czechia</w:t>
      </w:r>
      <w:r w:rsidR="001C2134">
        <w:t xml:space="preserve"> Republic, </w:t>
      </w:r>
      <w:r w:rsidRPr="001C2134">
        <w:t xml:space="preserve">Finland, Germany, Netherlands, Norway, Poland, Romania, Russian Federation, </w:t>
      </w:r>
      <w:r w:rsidR="001C2134">
        <w:t>Slovenia,</w:t>
      </w:r>
      <w:r w:rsidRPr="001C2134">
        <w:t xml:space="preserve"> Turkey and Ukraine.</w:t>
      </w:r>
    </w:p>
    <w:p w:rsidR="003F6C52" w:rsidRPr="001C2134" w:rsidRDefault="00EA688D" w:rsidP="003F6C52">
      <w:pPr>
        <w:pStyle w:val="SingleTxtG"/>
      </w:pPr>
      <w:bookmarkStart w:id="0" w:name="_Hlk528581737"/>
      <w:r>
        <w:t>2</w:t>
      </w:r>
      <w:r w:rsidR="003F6C52" w:rsidRPr="001C2134">
        <w:t>.</w:t>
      </w:r>
      <w:r w:rsidR="003F6C52" w:rsidRPr="001C2134">
        <w:tab/>
        <w:t xml:space="preserve">The European Union, </w:t>
      </w:r>
      <w:r w:rsidR="001C2134" w:rsidRPr="001C2134">
        <w:t>Intergovernmental Organization for Inter</w:t>
      </w:r>
      <w:r w:rsidR="001C2134">
        <w:t>national Carriage by Rail (OTIF)</w:t>
      </w:r>
      <w:r w:rsidR="00091B72">
        <w:t>.</w:t>
      </w:r>
      <w:r w:rsidR="003F6C52" w:rsidRPr="001C2134">
        <w:t xml:space="preserve"> </w:t>
      </w:r>
      <w:r w:rsidR="00091B72">
        <w:t>The</w:t>
      </w:r>
      <w:r w:rsidR="003F6C52" w:rsidRPr="001C2134">
        <w:t xml:space="preserve"> following non</w:t>
      </w:r>
      <w:r w:rsidR="003F6C52" w:rsidRPr="001C2134">
        <w:noBreakHyphen/>
        <w:t xml:space="preserve">governmental organizations were represented: </w:t>
      </w:r>
      <w:r w:rsidR="004C474D">
        <w:t>A</w:t>
      </w:r>
      <w:r w:rsidR="001C2134" w:rsidRPr="001C2134">
        <w:rPr>
          <w:bCs/>
          <w:iCs/>
          <w:noProof/>
          <w:szCs w:val="17"/>
        </w:rPr>
        <w:t>ssociation of International Road Carriers (ASMAP)</w:t>
      </w:r>
      <w:r w:rsidR="005E6E93">
        <w:rPr>
          <w:bCs/>
          <w:iCs/>
          <w:noProof/>
          <w:szCs w:val="17"/>
        </w:rPr>
        <w:t>,</w:t>
      </w:r>
      <w:r w:rsidR="005E6E93" w:rsidRPr="005E6E93">
        <w:rPr>
          <w:bCs/>
          <w:iCs/>
          <w:noProof/>
          <w:szCs w:val="17"/>
        </w:rPr>
        <w:t xml:space="preserve"> </w:t>
      </w:r>
      <w:r w:rsidR="005E6E93" w:rsidRPr="001C2134">
        <w:t>Council of Bureaux (</w:t>
      </w:r>
      <w:proofErr w:type="spellStart"/>
      <w:r w:rsidR="005E6E93" w:rsidRPr="001C2134">
        <w:t>CoB</w:t>
      </w:r>
      <w:proofErr w:type="spellEnd"/>
      <w:r w:rsidR="005E6E93">
        <w:t xml:space="preserve">), </w:t>
      </w:r>
      <w:r w:rsidR="00D30A6D">
        <w:rPr>
          <w:bCs/>
          <w:iCs/>
          <w:noProof/>
          <w:szCs w:val="17"/>
        </w:rPr>
        <w:t xml:space="preserve">Euromed Transport Support Project, </w:t>
      </w:r>
      <w:r w:rsidR="00D30A6D" w:rsidRPr="001C2134">
        <w:rPr>
          <w:bCs/>
          <w:iCs/>
          <w:noProof/>
          <w:szCs w:val="17"/>
        </w:rPr>
        <w:t>International Road Assessment Programme (iRAP)</w:t>
      </w:r>
      <w:r w:rsidR="00D30A6D">
        <w:rPr>
          <w:bCs/>
          <w:iCs/>
          <w:noProof/>
          <w:szCs w:val="17"/>
        </w:rPr>
        <w:t>,</w:t>
      </w:r>
      <w:r w:rsidR="00D30A6D">
        <w:t xml:space="preserve"> </w:t>
      </w:r>
      <w:r w:rsidR="00D30A6D">
        <w:rPr>
          <w:bCs/>
          <w:iCs/>
          <w:noProof/>
          <w:szCs w:val="17"/>
        </w:rPr>
        <w:t>International</w:t>
      </w:r>
      <w:r w:rsidR="00D30A6D" w:rsidRPr="001C2134">
        <w:t xml:space="preserve"> Road Transport Union (IRU)</w:t>
      </w:r>
      <w:r w:rsidR="00D30A6D">
        <w:t xml:space="preserve"> and </w:t>
      </w:r>
      <w:r w:rsidR="005E6E93">
        <w:rPr>
          <w:bCs/>
          <w:iCs/>
          <w:noProof/>
          <w:szCs w:val="17"/>
        </w:rPr>
        <w:t>M</w:t>
      </w:r>
      <w:r w:rsidR="005E6E93" w:rsidRPr="001C2134">
        <w:rPr>
          <w:bCs/>
          <w:iCs/>
          <w:noProof/>
          <w:szCs w:val="17"/>
        </w:rPr>
        <w:t xml:space="preserve">oscow </w:t>
      </w:r>
      <w:r w:rsidR="005E6E93">
        <w:rPr>
          <w:bCs/>
          <w:iCs/>
          <w:noProof/>
          <w:szCs w:val="17"/>
        </w:rPr>
        <w:t>C</w:t>
      </w:r>
      <w:r w:rsidR="005E6E93" w:rsidRPr="001C2134">
        <w:rPr>
          <w:bCs/>
          <w:iCs/>
          <w:noProof/>
          <w:szCs w:val="17"/>
        </w:rPr>
        <w:t xml:space="preserve">hamber of </w:t>
      </w:r>
      <w:r w:rsidR="005E6E93">
        <w:rPr>
          <w:bCs/>
          <w:iCs/>
          <w:noProof/>
          <w:szCs w:val="17"/>
        </w:rPr>
        <w:t>C</w:t>
      </w:r>
      <w:r w:rsidR="005E6E93" w:rsidRPr="001C2134">
        <w:rPr>
          <w:bCs/>
          <w:iCs/>
          <w:noProof/>
          <w:szCs w:val="17"/>
        </w:rPr>
        <w:t xml:space="preserve">ommerce and </w:t>
      </w:r>
      <w:r w:rsidR="005E6E93">
        <w:rPr>
          <w:bCs/>
          <w:iCs/>
          <w:noProof/>
          <w:szCs w:val="17"/>
        </w:rPr>
        <w:t>I</w:t>
      </w:r>
      <w:r w:rsidR="005E6E93" w:rsidRPr="001C2134">
        <w:rPr>
          <w:bCs/>
          <w:iCs/>
          <w:noProof/>
          <w:szCs w:val="17"/>
        </w:rPr>
        <w:t>ndustry (MTPP).</w:t>
      </w:r>
    </w:p>
    <w:bookmarkEnd w:id="0"/>
    <w:p w:rsidR="00C57B69" w:rsidRPr="001A34AC" w:rsidRDefault="004F2D6C" w:rsidP="004F2D6C">
      <w:pPr>
        <w:pStyle w:val="HChG"/>
      </w:pPr>
      <w:r>
        <w:tab/>
        <w:t>II.</w:t>
      </w:r>
      <w:r>
        <w:tab/>
      </w:r>
      <w:r w:rsidR="00C57B69" w:rsidRPr="001A34AC">
        <w:t>Adoption of the agenda</w:t>
      </w:r>
    </w:p>
    <w:p w:rsidR="00C57B69" w:rsidRPr="00C11299" w:rsidRDefault="0038622D" w:rsidP="00C11299">
      <w:pPr>
        <w:pStyle w:val="SingleTxtG"/>
      </w:pPr>
      <w:r>
        <w:t>3.</w:t>
      </w:r>
      <w:r>
        <w:tab/>
      </w:r>
      <w:r w:rsidR="00C57B69" w:rsidRPr="00C11299">
        <w:t>SC.1 adopted the session’s agenda (</w:t>
      </w:r>
      <w:r w:rsidR="00C57B69" w:rsidRPr="00C11299">
        <w:rPr>
          <w:rStyle w:val="SingleTxtGChar"/>
        </w:rPr>
        <w:t>ECE/TRANS/SC.1/409).</w:t>
      </w:r>
    </w:p>
    <w:p w:rsidR="00C57B69" w:rsidRPr="001A34AC" w:rsidRDefault="00C57B69" w:rsidP="004F2D6C">
      <w:pPr>
        <w:pStyle w:val="HChG"/>
      </w:pPr>
      <w:r w:rsidRPr="001A34AC">
        <w:tab/>
      </w:r>
      <w:r w:rsidR="004F2D6C">
        <w:t>III</w:t>
      </w:r>
      <w:r w:rsidRPr="001A34AC">
        <w:t>.</w:t>
      </w:r>
      <w:r w:rsidRPr="001A34AC">
        <w:tab/>
        <w:t>Activities of interest to the Working Party</w:t>
      </w:r>
    </w:p>
    <w:p w:rsidR="00C57B69" w:rsidRPr="001A34AC" w:rsidRDefault="00C57B69" w:rsidP="004F2D6C">
      <w:pPr>
        <w:pStyle w:val="H1G"/>
      </w:pPr>
      <w:r w:rsidRPr="001A34AC">
        <w:tab/>
      </w:r>
      <w:r w:rsidR="004F2D6C">
        <w:t>A.</w:t>
      </w:r>
      <w:r w:rsidRPr="001A34AC">
        <w:tab/>
        <w:t>National delegations</w:t>
      </w:r>
    </w:p>
    <w:p w:rsidR="00C57B69" w:rsidRPr="00C11299" w:rsidRDefault="0038622D" w:rsidP="00C11299">
      <w:pPr>
        <w:pStyle w:val="SingleTxtG"/>
      </w:pPr>
      <w:r>
        <w:t>4.</w:t>
      </w:r>
      <w:r>
        <w:tab/>
      </w:r>
      <w:r w:rsidR="00C57B69" w:rsidRPr="00C11299">
        <w:t>There were no updates by national delegations at this session.</w:t>
      </w:r>
    </w:p>
    <w:p w:rsidR="00C57B69" w:rsidRPr="004F2D6C" w:rsidRDefault="004F2D6C" w:rsidP="004F2D6C">
      <w:pPr>
        <w:pStyle w:val="H1G"/>
      </w:pPr>
      <w:r>
        <w:tab/>
      </w:r>
      <w:r w:rsidRPr="004F2D6C">
        <w:t>B.</w:t>
      </w:r>
      <w:r w:rsidRPr="004F2D6C">
        <w:tab/>
      </w:r>
      <w:r w:rsidR="00C57B69" w:rsidRPr="004F2D6C">
        <w:tab/>
        <w:t>International organizations</w:t>
      </w:r>
    </w:p>
    <w:p w:rsidR="00C57B69" w:rsidRPr="00C11299" w:rsidRDefault="0038622D" w:rsidP="00C11299">
      <w:pPr>
        <w:pStyle w:val="SingleTxtG"/>
      </w:pPr>
      <w:r>
        <w:t>5.</w:t>
      </w:r>
      <w:r>
        <w:tab/>
      </w:r>
      <w:r w:rsidR="00C57B69" w:rsidRPr="00C11299">
        <w:t xml:space="preserve">The IRU informed SC.1 about its initiatives </w:t>
      </w:r>
      <w:r w:rsidR="005E6E93">
        <w:t>on</w:t>
      </w:r>
      <w:r w:rsidR="00C57B69" w:rsidRPr="00C11299">
        <w:t xml:space="preserve"> decarbonisation, driver shortage, innovation, </w:t>
      </w:r>
      <w:proofErr w:type="spellStart"/>
      <w:r w:rsidR="00C57B69" w:rsidRPr="00C11299">
        <w:t>eTIR</w:t>
      </w:r>
      <w:proofErr w:type="spellEnd"/>
      <w:r w:rsidR="00C57B69" w:rsidRPr="00C11299">
        <w:t xml:space="preserve"> and Brexit. </w:t>
      </w:r>
    </w:p>
    <w:p w:rsidR="00C57B69" w:rsidRPr="00C11299" w:rsidRDefault="005E6E93" w:rsidP="00C11299">
      <w:pPr>
        <w:pStyle w:val="SingleTxtG"/>
      </w:pPr>
      <w:r>
        <w:t>6.</w:t>
      </w:r>
      <w:r>
        <w:tab/>
      </w:r>
      <w:r w:rsidR="00C57B69" w:rsidRPr="00C11299">
        <w:t>The International Road Assessment Programme (</w:t>
      </w:r>
      <w:proofErr w:type="spellStart"/>
      <w:r w:rsidR="00C57B69" w:rsidRPr="00C11299">
        <w:t>iRAP</w:t>
      </w:r>
      <w:proofErr w:type="spellEnd"/>
      <w:r w:rsidR="00C57B69" w:rsidRPr="00C11299">
        <w:t xml:space="preserve">) introduced its work on star ratings. </w:t>
      </w:r>
    </w:p>
    <w:p w:rsidR="00C57B69" w:rsidRPr="001A34AC" w:rsidRDefault="00C57B69" w:rsidP="004F2D6C">
      <w:pPr>
        <w:pStyle w:val="H1G"/>
      </w:pPr>
      <w:r w:rsidRPr="001A34AC">
        <w:tab/>
      </w:r>
      <w:r w:rsidR="004F2D6C">
        <w:t>C.</w:t>
      </w:r>
      <w:r w:rsidRPr="001A34AC">
        <w:tab/>
        <w:t>Activities of UNECE bodies and other United Nations organizations</w:t>
      </w:r>
    </w:p>
    <w:p w:rsidR="00C57B69" w:rsidRPr="004F2D6C" w:rsidRDefault="005E6E93" w:rsidP="004F2D6C">
      <w:pPr>
        <w:pStyle w:val="SingleTxtG"/>
      </w:pPr>
      <w:r>
        <w:t>7</w:t>
      </w:r>
      <w:r w:rsidR="0038622D">
        <w:t>.</w:t>
      </w:r>
      <w:r w:rsidR="0038622D">
        <w:tab/>
      </w:r>
      <w:r w:rsidR="00C57B69" w:rsidRPr="004F2D6C">
        <w:t xml:space="preserve">The secretariat informed SC.1 about the results of relevant sessions of the Inland Transport Committee, its subsidiary bodies and other United Nations entities of interest to the Working Party. </w:t>
      </w:r>
      <w:proofErr w:type="gramStart"/>
      <w:r w:rsidR="00C57B69" w:rsidRPr="004F2D6C">
        <w:t>In particular, the</w:t>
      </w:r>
      <w:proofErr w:type="gramEnd"/>
      <w:r w:rsidR="00C57B69" w:rsidRPr="004F2D6C">
        <w:t xml:space="preserve"> secretariat updated SC.1 on the key decisions made at the eightieth session of the Inland Transport Committee (20–23 February 2018) (paragraphs 25 to 27 of Informal document ITC (2018) No. 13).</w:t>
      </w:r>
    </w:p>
    <w:p w:rsidR="00C57B69" w:rsidRPr="001A34AC" w:rsidRDefault="005E6E93" w:rsidP="004F2D6C">
      <w:pPr>
        <w:pStyle w:val="SingleTxtG"/>
      </w:pPr>
      <w:r>
        <w:t>8</w:t>
      </w:r>
      <w:r w:rsidR="0038622D">
        <w:t>.</w:t>
      </w:r>
      <w:r w:rsidR="0038622D">
        <w:tab/>
      </w:r>
      <w:r w:rsidR="00C57B69" w:rsidRPr="004F2D6C">
        <w:t xml:space="preserve">The </w:t>
      </w:r>
      <w:r w:rsidR="00CB4E79">
        <w:t xml:space="preserve">Inland Transport Committee (ITC) </w:t>
      </w:r>
      <w:r w:rsidR="00CB4E79" w:rsidRPr="004F2D6C">
        <w:t>Bureau</w:t>
      </w:r>
      <w:r w:rsidR="00C57B69" w:rsidRPr="004F2D6C">
        <w:t xml:space="preserve">, supported by the secretariat, has further </w:t>
      </w:r>
      <w:r w:rsidR="00CB4E79">
        <w:t>developed</w:t>
      </w:r>
      <w:r w:rsidR="00C57B69" w:rsidRPr="004F2D6C">
        <w:t xml:space="preserve"> the draft ITC </w:t>
      </w:r>
      <w:r w:rsidR="00CB4E79">
        <w:t>s</w:t>
      </w:r>
      <w:r w:rsidR="00C57B69" w:rsidRPr="004F2D6C">
        <w:t>trategy until 2030 (ECE/TRANS/2019/R.1). In line with ITC</w:t>
      </w:r>
      <w:r w:rsidR="00CB4E79">
        <w:t xml:space="preserve"> decisions (ECE/TRANS/274, paragraph</w:t>
      </w:r>
      <w:r w:rsidR="00C57B69" w:rsidRPr="004F2D6C">
        <w:t xml:space="preserve"> 17), the Bureau requested that (a) the discussion of the ITC strategy becomes part of the agendas of the meetings of the Working Parties until the end of the year and (b) that the draft strategy document be</w:t>
      </w:r>
      <w:r w:rsidR="00C57B69" w:rsidRPr="001A34AC">
        <w:t xml:space="preserve"> circulated accordingly to governments to</w:t>
      </w:r>
      <w:r w:rsidR="004C72B4">
        <w:t xml:space="preserve"> facilitate the consultations. </w:t>
      </w:r>
      <w:r w:rsidR="00C57B69" w:rsidRPr="001A34AC">
        <w:t>Given the above background, SC.1 discussed ECE/TRANS/2019/R.1 and provided</w:t>
      </w:r>
      <w:r w:rsidR="00CB4E79">
        <w:t xml:space="preserve"> </w:t>
      </w:r>
      <w:r w:rsidR="00D32346">
        <w:t xml:space="preserve">the </w:t>
      </w:r>
      <w:r w:rsidR="00D32346" w:rsidRPr="001A34AC">
        <w:t>comments</w:t>
      </w:r>
      <w:r w:rsidR="00C57B69" w:rsidRPr="001A34AC">
        <w:t xml:space="preserve"> in </w:t>
      </w:r>
      <w:r w:rsidR="00CB4E79">
        <w:t xml:space="preserve">the </w:t>
      </w:r>
      <w:r w:rsidR="00D32346">
        <w:t>a</w:t>
      </w:r>
      <w:r w:rsidR="00C57B69" w:rsidRPr="001A34AC">
        <w:t>nnex</w:t>
      </w:r>
      <w:r w:rsidR="00CB4E79">
        <w:t>.</w:t>
      </w:r>
    </w:p>
    <w:p w:rsidR="00C57B69" w:rsidRPr="001A34AC" w:rsidRDefault="00C57B69" w:rsidP="004F2D6C">
      <w:pPr>
        <w:pStyle w:val="H1G"/>
      </w:pPr>
      <w:r w:rsidRPr="001A34AC">
        <w:lastRenderedPageBreak/>
        <w:tab/>
      </w:r>
      <w:r w:rsidR="004F2D6C">
        <w:t>D.</w:t>
      </w:r>
      <w:r w:rsidRPr="001A34AC">
        <w:tab/>
        <w:t>Digital/smart road infrastructure</w:t>
      </w:r>
    </w:p>
    <w:p w:rsidR="00C57B69" w:rsidRPr="004F2D6C" w:rsidRDefault="005E6E93" w:rsidP="004F2D6C">
      <w:pPr>
        <w:pStyle w:val="SingleTxtG"/>
      </w:pPr>
      <w:bookmarkStart w:id="1" w:name="_Hlk528748437"/>
      <w:r>
        <w:t>9</w:t>
      </w:r>
      <w:r w:rsidR="0038622D">
        <w:t>.</w:t>
      </w:r>
      <w:r w:rsidR="0038622D">
        <w:tab/>
      </w:r>
      <w:r w:rsidR="00C57B69" w:rsidRPr="004F2D6C">
        <w:t xml:space="preserve">During its last session, SC.1 stated that it would “endeavour to organize events </w:t>
      </w:r>
      <w:r w:rsidR="004D615F">
        <w:t>(</w:t>
      </w:r>
      <w:r w:rsidR="00ED7451" w:rsidRPr="004F2D6C">
        <w:t>ECE/TRANS/SC.1/</w:t>
      </w:r>
      <w:r w:rsidR="00625E7B" w:rsidRPr="004F2D6C">
        <w:t>408</w:t>
      </w:r>
      <w:r w:rsidR="00625E7B">
        <w:t>, paragraph</w:t>
      </w:r>
      <w:r w:rsidR="004D615F">
        <w:t xml:space="preserve"> 49) </w:t>
      </w:r>
      <w:r w:rsidR="00C57B69" w:rsidRPr="004F2D6C">
        <w:t xml:space="preserve">related to digital/smart infrastructure so that it may be </w:t>
      </w:r>
      <w:r w:rsidR="004D615F" w:rsidRPr="004F2D6C">
        <w:t xml:space="preserve">better </w:t>
      </w:r>
      <w:r w:rsidR="004D615F">
        <w:t>informed of emerging issues</w:t>
      </w:r>
      <w:r w:rsidR="00625E7B">
        <w:t xml:space="preserve"> and consider</w:t>
      </w:r>
      <w:r w:rsidR="00CE409F" w:rsidRPr="00CE409F">
        <w:t xml:space="preserve"> </w:t>
      </w:r>
      <w:r w:rsidR="00CE409F" w:rsidRPr="004F2D6C">
        <w:t>how it may incorporate these developments into its work programme”</w:t>
      </w:r>
      <w:r w:rsidR="004D615F" w:rsidRPr="004F2D6C">
        <w:t xml:space="preserve">. </w:t>
      </w:r>
      <w:r w:rsidR="00CE409F">
        <w:t xml:space="preserve"> </w:t>
      </w:r>
      <w:r w:rsidR="00A07472" w:rsidRPr="004F2D6C">
        <w:t>Accordingly, the secretariat organi</w:t>
      </w:r>
      <w:r w:rsidR="00A07472">
        <w:t>z</w:t>
      </w:r>
      <w:r w:rsidR="00A07472" w:rsidRPr="004F2D6C">
        <w:t xml:space="preserve">ed a special session of SC.1 </w:t>
      </w:r>
      <w:r w:rsidR="001E6A0A">
        <w:t xml:space="preserve">from </w:t>
      </w:r>
      <w:r w:rsidR="001E6A0A" w:rsidRPr="004F2D6C">
        <w:t>4</w:t>
      </w:r>
      <w:r w:rsidR="00A07472">
        <w:t xml:space="preserve"> to </w:t>
      </w:r>
      <w:r w:rsidR="00C57B69" w:rsidRPr="004F2D6C">
        <w:t>6 Ap</w:t>
      </w:r>
      <w:r w:rsidR="00CE409F">
        <w:t xml:space="preserve">ril 2018, with the second day </w:t>
      </w:r>
      <w:r w:rsidR="00CD29B1">
        <w:t>—</w:t>
      </w:r>
      <w:r w:rsidR="00C57B69" w:rsidRPr="004F2D6C">
        <w:t>5 April 2018</w:t>
      </w:r>
      <w:r w:rsidR="00CD29B1">
        <w:t>—</w:t>
      </w:r>
      <w:r w:rsidR="00C57B69" w:rsidRPr="004F2D6C">
        <w:t xml:space="preserve"> as a dedicated workshop on this topic. </w:t>
      </w:r>
    </w:p>
    <w:bookmarkEnd w:id="1"/>
    <w:p w:rsidR="00C57B69" w:rsidRPr="004F2D6C" w:rsidRDefault="005E6E93" w:rsidP="004F2D6C">
      <w:pPr>
        <w:pStyle w:val="SingleTxtG"/>
      </w:pPr>
      <w:r>
        <w:t>10</w:t>
      </w:r>
      <w:r w:rsidR="0038622D">
        <w:t>.</w:t>
      </w:r>
      <w:r w:rsidR="0038622D">
        <w:tab/>
      </w:r>
      <w:r w:rsidR="00C57B69" w:rsidRPr="004F2D6C">
        <w:t>The outcomes of the special session are reflected in the report (ECE/TRANS/SC.1/S/398</w:t>
      </w:r>
      <w:r w:rsidR="00A07472" w:rsidRPr="004F2D6C">
        <w:t>)</w:t>
      </w:r>
      <w:r w:rsidR="00A07472">
        <w:t xml:space="preserve">, </w:t>
      </w:r>
      <w:r w:rsidR="00A07472" w:rsidRPr="004F2D6C">
        <w:t>including</w:t>
      </w:r>
      <w:r w:rsidR="00C57B69" w:rsidRPr="004F2D6C">
        <w:t xml:space="preserve"> having this as an item on </w:t>
      </w:r>
      <w:r w:rsidR="00A07472">
        <w:t>the agenda</w:t>
      </w:r>
      <w:r w:rsidR="00CD29B1">
        <w:t xml:space="preserve"> of SC.1</w:t>
      </w:r>
      <w:r w:rsidR="00A07472">
        <w:t xml:space="preserve"> </w:t>
      </w:r>
      <w:proofErr w:type="gramStart"/>
      <w:r w:rsidR="00C57B69" w:rsidRPr="004F2D6C">
        <w:t>in order to</w:t>
      </w:r>
      <w:proofErr w:type="gramEnd"/>
      <w:r w:rsidR="00C57B69" w:rsidRPr="004F2D6C">
        <w:t xml:space="preserve"> educate and raise awareness on the topic given its relevance to road transport (para</w:t>
      </w:r>
      <w:r w:rsidR="00A07472">
        <w:t>graph</w:t>
      </w:r>
      <w:r w:rsidR="00C57B69" w:rsidRPr="004F2D6C">
        <w:t xml:space="preserve"> 29). The secretariat has produced a compilation of case studies or project excerpts based on the voluntary contributions of the special session workshop’s speakers (Informal document No. 7).</w:t>
      </w:r>
    </w:p>
    <w:p w:rsidR="00C57B69" w:rsidRPr="004F2D6C" w:rsidRDefault="0038622D" w:rsidP="004F2D6C">
      <w:pPr>
        <w:pStyle w:val="SingleTxtG"/>
      </w:pPr>
      <w:r>
        <w:t>1</w:t>
      </w:r>
      <w:r w:rsidR="005E6E93">
        <w:t>1</w:t>
      </w:r>
      <w:r>
        <w:t>.</w:t>
      </w:r>
      <w:r>
        <w:tab/>
      </w:r>
      <w:r w:rsidR="00C57B69" w:rsidRPr="004F2D6C">
        <w:t xml:space="preserve">For this session, the representative of Romania and the </w:t>
      </w:r>
      <w:r w:rsidR="00A07472">
        <w:t>f</w:t>
      </w:r>
      <w:r w:rsidR="00C57B69" w:rsidRPr="004F2D6C">
        <w:t xml:space="preserve">ounder of Emerging Transport Advisors </w:t>
      </w:r>
      <w:r w:rsidR="00A07472">
        <w:t>made presentations</w:t>
      </w:r>
      <w:r w:rsidR="00C57B69" w:rsidRPr="004F2D6C">
        <w:t xml:space="preserve">. The representative of Romania shared </w:t>
      </w:r>
      <w:r w:rsidR="0022192B">
        <w:t xml:space="preserve">information </w:t>
      </w:r>
      <w:r w:rsidR="00C57B69" w:rsidRPr="004F2D6C">
        <w:t>about the early warning intelligent system for road transport risks which ha</w:t>
      </w:r>
      <w:r w:rsidR="00A07472">
        <w:t>d</w:t>
      </w:r>
      <w:r w:rsidR="00C57B69" w:rsidRPr="004F2D6C">
        <w:t xml:space="preserve"> recently been introduced. Emerging Transport Advisors shared </w:t>
      </w:r>
      <w:r w:rsidR="001E6A0A">
        <w:t xml:space="preserve">information </w:t>
      </w:r>
      <w:r w:rsidR="00C57B69" w:rsidRPr="004F2D6C">
        <w:t xml:space="preserve">about the emerging trends </w:t>
      </w:r>
      <w:r w:rsidR="001E6A0A">
        <w:t>on</w:t>
      </w:r>
      <w:r w:rsidR="00C57B69" w:rsidRPr="004F2D6C">
        <w:t xml:space="preserve"> automated vehicles and ride sharing. Both presentations were well received and appreciated. In response to questions from SC.1, the representative from Emerging Transport Advisors recommended that road infrastructure managers incorporate interoperability in national infrastructure investments and consider the development of standards for interoperable systems.</w:t>
      </w:r>
    </w:p>
    <w:p w:rsidR="00C57B69" w:rsidRPr="004F2D6C" w:rsidRDefault="0038622D" w:rsidP="004F2D6C">
      <w:pPr>
        <w:pStyle w:val="SingleTxtG"/>
      </w:pPr>
      <w:r>
        <w:t>1</w:t>
      </w:r>
      <w:r w:rsidR="005E6E93">
        <w:t>2</w:t>
      </w:r>
      <w:r>
        <w:t>.</w:t>
      </w:r>
      <w:r>
        <w:tab/>
      </w:r>
      <w:r w:rsidR="00C57B69" w:rsidRPr="004F2D6C">
        <w:t>The secretariat encouraged</w:t>
      </w:r>
      <w:r w:rsidR="001E6A0A">
        <w:t xml:space="preserve"> </w:t>
      </w:r>
      <w:r w:rsidR="00543D57">
        <w:t xml:space="preserve">the </w:t>
      </w:r>
      <w:r w:rsidR="00543D57" w:rsidRPr="004F2D6C">
        <w:t>members</w:t>
      </w:r>
      <w:r w:rsidR="00C57B69" w:rsidRPr="004F2D6C">
        <w:t xml:space="preserve"> of SC.1 to suggest topics of interest under this item, and to volunteer to make presentation</w:t>
      </w:r>
      <w:r w:rsidR="0022192B">
        <w:t>s</w:t>
      </w:r>
      <w:r w:rsidR="00C57B69" w:rsidRPr="004F2D6C">
        <w:t xml:space="preserve"> at the next session.</w:t>
      </w:r>
    </w:p>
    <w:p w:rsidR="00C57B69" w:rsidRPr="001A34AC" w:rsidRDefault="00C57B69" w:rsidP="004F2D6C">
      <w:pPr>
        <w:pStyle w:val="HChG"/>
      </w:pPr>
      <w:r w:rsidRPr="001A34AC">
        <w:rPr>
          <w:rFonts w:asciiTheme="majorBidi" w:hAnsiTheme="majorBidi" w:cstheme="majorBidi"/>
        </w:rPr>
        <w:tab/>
      </w:r>
      <w:r w:rsidR="004F2D6C">
        <w:t>IV</w:t>
      </w:r>
      <w:r w:rsidRPr="001A34AC">
        <w:t>.</w:t>
      </w:r>
      <w:r w:rsidRPr="001A34AC">
        <w:tab/>
        <w:t>European Agreement concerning the Work of Crews of Vehicles Engaged in International Road Transport (AETR)</w:t>
      </w:r>
    </w:p>
    <w:p w:rsidR="00C57B69" w:rsidRPr="004F2D6C" w:rsidRDefault="00C57B69" w:rsidP="004F2D6C">
      <w:pPr>
        <w:pStyle w:val="H1G"/>
      </w:pPr>
      <w:r w:rsidRPr="004F2D6C">
        <w:tab/>
      </w:r>
      <w:r w:rsidR="004F2D6C" w:rsidRPr="004F2D6C">
        <w:t>A.</w:t>
      </w:r>
      <w:r w:rsidRPr="004F2D6C">
        <w:tab/>
        <w:t>Status of the Agreement</w:t>
      </w:r>
    </w:p>
    <w:p w:rsidR="00C57B69" w:rsidRPr="004F2D6C" w:rsidRDefault="0038622D" w:rsidP="004F2D6C">
      <w:pPr>
        <w:pStyle w:val="SingleTxtG"/>
      </w:pPr>
      <w:r>
        <w:t>1</w:t>
      </w:r>
      <w:r w:rsidR="005E6E93">
        <w:t>3</w:t>
      </w:r>
      <w:r>
        <w:t>.</w:t>
      </w:r>
      <w:r>
        <w:tab/>
      </w:r>
      <w:r w:rsidR="00C57B69" w:rsidRPr="004F2D6C">
        <w:t>The secretariat informed SC.1 about the unchanged status of the AETR Agreement. There are still 51 contracting parties.</w:t>
      </w:r>
    </w:p>
    <w:p w:rsidR="00C57B69" w:rsidRPr="004F2D6C" w:rsidRDefault="0038622D" w:rsidP="004F2D6C">
      <w:pPr>
        <w:pStyle w:val="SingleTxtG"/>
      </w:pPr>
      <w:r>
        <w:t>1</w:t>
      </w:r>
      <w:r w:rsidR="005E6E93">
        <w:t>4</w:t>
      </w:r>
      <w:r>
        <w:t>.</w:t>
      </w:r>
      <w:r>
        <w:tab/>
      </w:r>
      <w:r w:rsidR="00C57B69" w:rsidRPr="004F2D6C">
        <w:t xml:space="preserve">The secretariat also </w:t>
      </w:r>
      <w:r w:rsidR="0022192B">
        <w:t>informed</w:t>
      </w:r>
      <w:r w:rsidR="00C57B69" w:rsidRPr="004F2D6C">
        <w:t xml:space="preserve"> SC.1 that Turkey </w:t>
      </w:r>
      <w:r w:rsidR="0022192B">
        <w:t xml:space="preserve">had </w:t>
      </w:r>
      <w:r w:rsidR="00C57B69" w:rsidRPr="004F2D6C">
        <w:t>advised the Group of Experts that it had begun the necessary steps to submit an amendment proposal to the United Nations Office of Legal Affairs to seek amendment of Article 14 to make Lebanon eligible to accede to the AETR Agreement.</w:t>
      </w:r>
    </w:p>
    <w:p w:rsidR="00C57B69" w:rsidRPr="004F2D6C" w:rsidRDefault="0038622D" w:rsidP="004F2D6C">
      <w:pPr>
        <w:pStyle w:val="SingleTxtG"/>
      </w:pPr>
      <w:r>
        <w:t>1</w:t>
      </w:r>
      <w:r w:rsidR="005E6E93">
        <w:t>5</w:t>
      </w:r>
      <w:r>
        <w:t>.</w:t>
      </w:r>
      <w:r>
        <w:tab/>
      </w:r>
      <w:r w:rsidR="00C57B69" w:rsidRPr="004F2D6C">
        <w:t xml:space="preserve">The representative of </w:t>
      </w:r>
      <w:proofErr w:type="spellStart"/>
      <w:r w:rsidR="00C57B69" w:rsidRPr="004F2D6C">
        <w:t>E</w:t>
      </w:r>
      <w:r w:rsidR="00412962">
        <w:t>uromed</w:t>
      </w:r>
      <w:proofErr w:type="spellEnd"/>
      <w:r w:rsidR="00DC4C6F" w:rsidRPr="00DC4C6F">
        <w:rPr>
          <w:bCs/>
          <w:iCs/>
          <w:noProof/>
          <w:szCs w:val="17"/>
        </w:rPr>
        <w:t xml:space="preserve"> </w:t>
      </w:r>
      <w:r w:rsidR="00DC4C6F">
        <w:rPr>
          <w:bCs/>
          <w:iCs/>
          <w:noProof/>
          <w:szCs w:val="17"/>
        </w:rPr>
        <w:t xml:space="preserve">Transport </w:t>
      </w:r>
      <w:r w:rsidR="00804D0D">
        <w:rPr>
          <w:bCs/>
          <w:iCs/>
          <w:noProof/>
          <w:szCs w:val="17"/>
        </w:rPr>
        <w:t xml:space="preserve">Support </w:t>
      </w:r>
      <w:r w:rsidR="00DC4C6F">
        <w:rPr>
          <w:bCs/>
          <w:iCs/>
          <w:noProof/>
          <w:szCs w:val="17"/>
        </w:rPr>
        <w:t>Project</w:t>
      </w:r>
      <w:r w:rsidR="00C57B69" w:rsidRPr="004F2D6C">
        <w:t xml:space="preserve"> informed SC.1 that Algeria, Egypt, Israel, Jordan, Lebanon, Morocco and Tunisia </w:t>
      </w:r>
      <w:r w:rsidR="00412962">
        <w:t>had taken</w:t>
      </w:r>
      <w:r w:rsidR="00C57B69" w:rsidRPr="004F2D6C">
        <w:t xml:space="preserve"> the necessary steps to accede to the AETR Agreement </w:t>
      </w:r>
      <w:proofErr w:type="gramStart"/>
      <w:r w:rsidR="00C57B69" w:rsidRPr="004F2D6C">
        <w:t>in the near future</w:t>
      </w:r>
      <w:proofErr w:type="gramEnd"/>
      <w:r w:rsidR="00C57B69" w:rsidRPr="004F2D6C">
        <w:t xml:space="preserve">. He also advised that Egypt would likely express its interest to seek amendment of Article 14 to make it eligible to accede to the AETR Agreement. </w:t>
      </w:r>
    </w:p>
    <w:p w:rsidR="00C57B69" w:rsidRPr="004F2D6C" w:rsidRDefault="004F2D6C" w:rsidP="004F2D6C">
      <w:pPr>
        <w:pStyle w:val="H1G"/>
      </w:pPr>
      <w:r w:rsidRPr="004F2D6C">
        <w:tab/>
        <w:t>B.</w:t>
      </w:r>
      <w:r w:rsidRPr="004F2D6C">
        <w:tab/>
      </w:r>
      <w:r w:rsidR="00C57B69" w:rsidRPr="004F2D6C">
        <w:tab/>
        <w:t>AETR Group of Experts</w:t>
      </w:r>
    </w:p>
    <w:p w:rsidR="00C57B69" w:rsidRPr="004F2D6C" w:rsidRDefault="0038622D" w:rsidP="004F2D6C">
      <w:pPr>
        <w:pStyle w:val="SingleTxtG"/>
      </w:pPr>
      <w:r>
        <w:t>1</w:t>
      </w:r>
      <w:r w:rsidR="005E6E93">
        <w:t>6</w:t>
      </w:r>
      <w:r>
        <w:t>.</w:t>
      </w:r>
      <w:r>
        <w:tab/>
      </w:r>
      <w:r w:rsidR="00C57B69" w:rsidRPr="004F2D6C">
        <w:t>The Chair of the Group of Experts on AETR provided an update on the work of the AETR Group of Experts since the last SC.1 session (detailed information is available in ECE/TRANS/SC.1/GE.21/41</w:t>
      </w:r>
      <w:r w:rsidR="00412962">
        <w:t xml:space="preserve"> </w:t>
      </w:r>
      <w:r w:rsidR="00804D0D">
        <w:t xml:space="preserve">and </w:t>
      </w:r>
      <w:r w:rsidR="00804D0D" w:rsidRPr="004F2D6C">
        <w:t>ECE</w:t>
      </w:r>
      <w:r w:rsidR="00C57B69" w:rsidRPr="004F2D6C">
        <w:t>/TRANS/SC.1/GE.21/43).</w:t>
      </w:r>
    </w:p>
    <w:p w:rsidR="00C57B69" w:rsidRPr="001A34AC" w:rsidRDefault="0038622D" w:rsidP="004F2D6C">
      <w:pPr>
        <w:pStyle w:val="SingleTxtG"/>
        <w:rPr>
          <w:rFonts w:asciiTheme="majorBidi" w:hAnsiTheme="majorBidi" w:cstheme="majorBidi"/>
        </w:rPr>
      </w:pPr>
      <w:r>
        <w:t>1</w:t>
      </w:r>
      <w:r w:rsidR="005E6E93">
        <w:t>7</w:t>
      </w:r>
      <w:r>
        <w:t>.</w:t>
      </w:r>
      <w:r>
        <w:tab/>
      </w:r>
      <w:r w:rsidR="00C57B69" w:rsidRPr="004F2D6C">
        <w:t>At the last session, the secretariat drew the attention of SC.1 to the possible desirability to consider changing the name of the AETR Agreement</w:t>
      </w:r>
      <w:r w:rsidR="00C57B69" w:rsidRPr="001A34AC">
        <w:rPr>
          <w:rFonts w:asciiTheme="majorBidi" w:hAnsiTheme="majorBidi" w:cstheme="majorBidi"/>
        </w:rPr>
        <w:t xml:space="preserve"> by deleting the term “European” from </w:t>
      </w:r>
      <w:r w:rsidR="00C57B69" w:rsidRPr="001A34AC">
        <w:rPr>
          <w:rFonts w:asciiTheme="majorBidi" w:hAnsiTheme="majorBidi" w:cstheme="majorBidi"/>
        </w:rPr>
        <w:lastRenderedPageBreak/>
        <w:t>the title (ECE/TRANS/SC.1/GE.21/37</w:t>
      </w:r>
      <w:r w:rsidR="00860279" w:rsidRPr="00860279">
        <w:rPr>
          <w:rFonts w:asciiTheme="majorBidi" w:hAnsiTheme="majorBidi" w:cstheme="majorBidi"/>
        </w:rPr>
        <w:t xml:space="preserve"> </w:t>
      </w:r>
      <w:r w:rsidR="00860279" w:rsidRPr="001A34AC">
        <w:rPr>
          <w:rFonts w:asciiTheme="majorBidi" w:hAnsiTheme="majorBidi" w:cstheme="majorBidi"/>
        </w:rPr>
        <w:t>para</w:t>
      </w:r>
      <w:r w:rsidR="00860279">
        <w:rPr>
          <w:rFonts w:asciiTheme="majorBidi" w:hAnsiTheme="majorBidi" w:cstheme="majorBidi"/>
        </w:rPr>
        <w:t>graph</w:t>
      </w:r>
      <w:r w:rsidR="00860279" w:rsidRPr="001A34AC">
        <w:rPr>
          <w:rFonts w:asciiTheme="majorBidi" w:hAnsiTheme="majorBidi" w:cstheme="majorBidi"/>
        </w:rPr>
        <w:t xml:space="preserve"> 14</w:t>
      </w:r>
      <w:r w:rsidR="00C57B69" w:rsidRPr="001A34AC">
        <w:rPr>
          <w:rFonts w:asciiTheme="majorBidi" w:hAnsiTheme="majorBidi" w:cstheme="majorBidi"/>
        </w:rPr>
        <w:t xml:space="preserve">). The Chair repeated his request that members of SC.1 consult their respective capitals and provide their views at the next session. </w:t>
      </w:r>
    </w:p>
    <w:p w:rsidR="00C57B69" w:rsidRPr="004F2D6C" w:rsidRDefault="0038622D" w:rsidP="004F2D6C">
      <w:pPr>
        <w:pStyle w:val="SingleTxtG"/>
      </w:pPr>
      <w:r>
        <w:t>1</w:t>
      </w:r>
      <w:r w:rsidR="005E6E93">
        <w:t>8</w:t>
      </w:r>
      <w:r>
        <w:t>.</w:t>
      </w:r>
      <w:r>
        <w:tab/>
      </w:r>
      <w:r w:rsidR="00C57B69" w:rsidRPr="004F2D6C">
        <w:t>The Government of Turkey made a presentation on the progress of its project to establish a national data monitoring centre for</w:t>
      </w:r>
      <w:r w:rsidR="00860279">
        <w:t xml:space="preserve"> driving times and rest periods,</w:t>
      </w:r>
      <w:r w:rsidR="00C57B69" w:rsidRPr="004F2D6C">
        <w:t xml:space="preserve"> including the establishment of the database component in mid-2018 (ECE/TRANS/SC.1/408</w:t>
      </w:r>
      <w:r w:rsidR="00860279" w:rsidRPr="00860279">
        <w:t xml:space="preserve"> </w:t>
      </w:r>
      <w:r w:rsidR="00860279" w:rsidRPr="004F2D6C">
        <w:t>para</w:t>
      </w:r>
      <w:r w:rsidR="00860279">
        <w:t>graph</w:t>
      </w:r>
      <w:r w:rsidR="00860279" w:rsidRPr="004F2D6C">
        <w:t xml:space="preserve"> 23</w:t>
      </w:r>
      <w:r w:rsidR="00C57B69" w:rsidRPr="004F2D6C">
        <w:t>). SC.1 requested an update at future sessions.</w:t>
      </w:r>
    </w:p>
    <w:p w:rsidR="00C57B69" w:rsidRPr="004F2D6C" w:rsidRDefault="0038622D" w:rsidP="004F2D6C">
      <w:pPr>
        <w:pStyle w:val="SingleTxtG"/>
      </w:pPr>
      <w:r>
        <w:t>1</w:t>
      </w:r>
      <w:r w:rsidR="005E6E93">
        <w:t>9</w:t>
      </w:r>
      <w:r>
        <w:t>.</w:t>
      </w:r>
      <w:r>
        <w:tab/>
      </w:r>
      <w:r w:rsidR="00C57B69" w:rsidRPr="004F2D6C">
        <w:t xml:space="preserve">In relation to the Memorandum of Understanding with the Joint Research Centre (JRC) which recognizes JRC as the AETR authority for root certification and for interoperability certification for the non-EU </w:t>
      </w:r>
      <w:r w:rsidR="00860279">
        <w:t>c</w:t>
      </w:r>
      <w:r w:rsidR="00C57B69" w:rsidRPr="004F2D6C">
        <w:t xml:space="preserve">ontracting </w:t>
      </w:r>
      <w:r w:rsidR="00860279">
        <w:t>p</w:t>
      </w:r>
      <w:r w:rsidR="00C57B69" w:rsidRPr="004F2D6C">
        <w:t xml:space="preserve">arties to AETR, the secretariat updated SC.1 that a proposed supplement to the </w:t>
      </w:r>
      <w:r w:rsidR="00860279">
        <w:t>m</w:t>
      </w:r>
      <w:r w:rsidR="00C57B69" w:rsidRPr="004F2D6C">
        <w:t>emorandum to extend its validity until 31 December 2020 had been successfully concluded (Informal document No. 8).</w:t>
      </w:r>
    </w:p>
    <w:p w:rsidR="00C57B69" w:rsidRPr="001A34AC" w:rsidRDefault="00C57B69" w:rsidP="004F2D6C">
      <w:pPr>
        <w:pStyle w:val="HChG"/>
        <w:rPr>
          <w:rFonts w:asciiTheme="majorBidi" w:hAnsiTheme="majorBidi" w:cstheme="majorBidi"/>
        </w:rPr>
      </w:pPr>
      <w:r w:rsidRPr="001A34AC">
        <w:rPr>
          <w:rFonts w:asciiTheme="majorBidi" w:hAnsiTheme="majorBidi" w:cstheme="majorBidi"/>
        </w:rPr>
        <w:tab/>
      </w:r>
      <w:r w:rsidR="004F2D6C">
        <w:t>V</w:t>
      </w:r>
      <w:r w:rsidRPr="001A34AC">
        <w:t>.</w:t>
      </w:r>
      <w:r w:rsidRPr="001A34AC">
        <w:tab/>
        <w:t>European Agreement on Main International Traffic Arteries (AGR)</w:t>
      </w:r>
    </w:p>
    <w:p w:rsidR="00C57B69" w:rsidRPr="001A34AC" w:rsidRDefault="00C57B69" w:rsidP="004F2D6C">
      <w:pPr>
        <w:pStyle w:val="H1G"/>
      </w:pPr>
      <w:r w:rsidRPr="001A34AC">
        <w:tab/>
      </w:r>
      <w:r w:rsidRPr="001A34AC">
        <w:tab/>
        <w:t>Status of the Agreement</w:t>
      </w:r>
    </w:p>
    <w:p w:rsidR="00C57B69" w:rsidRPr="00860279" w:rsidRDefault="005E6E93" w:rsidP="00860279">
      <w:pPr>
        <w:pStyle w:val="SingleTxtG"/>
      </w:pPr>
      <w:r w:rsidRPr="00860279">
        <w:t>20</w:t>
      </w:r>
      <w:r w:rsidR="0038622D" w:rsidRPr="00860279">
        <w:t>.</w:t>
      </w:r>
      <w:r w:rsidR="0038622D" w:rsidRPr="00860279">
        <w:tab/>
      </w:r>
      <w:r w:rsidR="00C57B69" w:rsidRPr="00860279">
        <w:t xml:space="preserve">The secretariat informed SC.1 about the status of the AGR Agreement.  The number of </w:t>
      </w:r>
      <w:r w:rsidR="00860279">
        <w:t>c</w:t>
      </w:r>
      <w:r w:rsidR="00C57B69" w:rsidRPr="00860279">
        <w:t xml:space="preserve">ontracting </w:t>
      </w:r>
      <w:r w:rsidR="00860279">
        <w:t>p</w:t>
      </w:r>
      <w:r w:rsidR="00C57B69" w:rsidRPr="00860279">
        <w:t>arties has remained the same (37) since the last SC.1 session.</w:t>
      </w:r>
    </w:p>
    <w:p w:rsidR="00C57B69" w:rsidRPr="001A34AC" w:rsidRDefault="00C57B69" w:rsidP="004F2D6C">
      <w:pPr>
        <w:pStyle w:val="HChG"/>
      </w:pPr>
      <w:r w:rsidRPr="001A34AC">
        <w:tab/>
      </w:r>
      <w:r w:rsidR="004F2D6C">
        <w:t>VI.</w:t>
      </w:r>
      <w:r w:rsidRPr="001A34AC">
        <w:tab/>
        <w:t>Trans-European North-South Motorway (TEM) Project</w:t>
      </w:r>
    </w:p>
    <w:p w:rsidR="00C57B69" w:rsidRPr="004F2D6C" w:rsidRDefault="005E6E93" w:rsidP="004F2D6C">
      <w:pPr>
        <w:pStyle w:val="SingleTxtG"/>
      </w:pPr>
      <w:r>
        <w:t>21</w:t>
      </w:r>
      <w:r w:rsidR="0038622D">
        <w:t>.</w:t>
      </w:r>
      <w:r w:rsidR="0038622D">
        <w:tab/>
      </w:r>
      <w:r w:rsidR="00C57B69" w:rsidRPr="004F2D6C">
        <w:t xml:space="preserve">SC.1 took note of the information provided by the secretariat on the TEM project contained in Informal </w:t>
      </w:r>
      <w:proofErr w:type="gramStart"/>
      <w:r w:rsidR="00C57B69" w:rsidRPr="004F2D6C">
        <w:t>document</w:t>
      </w:r>
      <w:proofErr w:type="gramEnd"/>
      <w:r w:rsidR="00C57B69" w:rsidRPr="004F2D6C">
        <w:t xml:space="preserve"> No. 9, with particular emphasis on road safety audits and inspections.</w:t>
      </w:r>
    </w:p>
    <w:p w:rsidR="00C57B69" w:rsidRPr="001A34AC" w:rsidRDefault="00C57B69" w:rsidP="004F2D6C">
      <w:pPr>
        <w:pStyle w:val="HChG"/>
      </w:pPr>
      <w:r w:rsidRPr="001A34AC">
        <w:tab/>
      </w:r>
      <w:r w:rsidR="004F2D6C">
        <w:t>VII.</w:t>
      </w:r>
      <w:r w:rsidRPr="001A34AC">
        <w:tab/>
        <w:t>Convention on the Contract for the International Carriage of Goods by Road (CMR)</w:t>
      </w:r>
    </w:p>
    <w:p w:rsidR="00C57B69" w:rsidRPr="001A34AC" w:rsidRDefault="00C57B69" w:rsidP="004F2D6C">
      <w:pPr>
        <w:pStyle w:val="H1G"/>
      </w:pPr>
      <w:r w:rsidRPr="001A34AC">
        <w:tab/>
      </w:r>
      <w:r w:rsidR="004F2D6C">
        <w:t>A.</w:t>
      </w:r>
      <w:r w:rsidRPr="001A34AC">
        <w:tab/>
        <w:t>Status of the Convention</w:t>
      </w:r>
    </w:p>
    <w:p w:rsidR="00C57B69" w:rsidRPr="004F2D6C" w:rsidRDefault="0038622D" w:rsidP="004F2D6C">
      <w:pPr>
        <w:pStyle w:val="SingleTxtG"/>
      </w:pPr>
      <w:r>
        <w:t>2</w:t>
      </w:r>
      <w:r w:rsidR="005E6E93">
        <w:t>2</w:t>
      </w:r>
      <w:r>
        <w:t>.</w:t>
      </w:r>
      <w:r>
        <w:tab/>
      </w:r>
      <w:r w:rsidR="00C57B69" w:rsidRPr="004F2D6C">
        <w:t>The secretariat informed SC.1 that that the number of contracting parties to the Convention has remained unchanged (55) since the last SC.1 session.</w:t>
      </w:r>
    </w:p>
    <w:p w:rsidR="00C57B69" w:rsidRPr="001A34AC" w:rsidRDefault="00C57B69" w:rsidP="004F2D6C">
      <w:pPr>
        <w:pStyle w:val="H1G"/>
      </w:pPr>
      <w:r w:rsidRPr="001A34AC">
        <w:tab/>
      </w:r>
      <w:r w:rsidR="004F2D6C">
        <w:t>B.</w:t>
      </w:r>
      <w:r w:rsidRPr="001A34AC">
        <w:tab/>
        <w:t>Protocol to the Convention on the Contract for the International Carriage of Goods by Road (CMR)</w:t>
      </w:r>
    </w:p>
    <w:p w:rsidR="00C57B69" w:rsidRPr="00860279" w:rsidRDefault="0038622D" w:rsidP="00860279">
      <w:pPr>
        <w:pStyle w:val="SingleTxtG"/>
      </w:pPr>
      <w:r w:rsidRPr="00860279">
        <w:t>2</w:t>
      </w:r>
      <w:r w:rsidR="005E6E93" w:rsidRPr="00860279">
        <w:t>3</w:t>
      </w:r>
      <w:r w:rsidRPr="00860279">
        <w:t>.</w:t>
      </w:r>
      <w:r w:rsidRPr="00860279">
        <w:tab/>
      </w:r>
      <w:r w:rsidR="00C57B69" w:rsidRPr="00860279">
        <w:t>The secretariat informed SC.1 that that the number of contracting parties to the Protocol to the Convention has remained unchanged (43) since the last SC.1 session.</w:t>
      </w:r>
    </w:p>
    <w:p w:rsidR="00C57B69" w:rsidRPr="001A34AC" w:rsidRDefault="00C57B69" w:rsidP="004F2D6C">
      <w:pPr>
        <w:pStyle w:val="H1G"/>
      </w:pPr>
      <w:r w:rsidRPr="001A34AC">
        <w:tab/>
      </w:r>
      <w:r w:rsidR="004F2D6C">
        <w:t>C.</w:t>
      </w:r>
      <w:r w:rsidRPr="001A34AC">
        <w:tab/>
        <w:t xml:space="preserve">Additional Protocol to the CMR concerning the Electronic </w:t>
      </w:r>
      <w:r w:rsidR="00FA1F7C">
        <w:t>Consignment</w:t>
      </w:r>
      <w:r w:rsidRPr="001A34AC">
        <w:t xml:space="preserve"> Note</w:t>
      </w:r>
    </w:p>
    <w:p w:rsidR="00C57B69" w:rsidRPr="004F2D6C" w:rsidRDefault="0038622D" w:rsidP="004F2D6C">
      <w:pPr>
        <w:pStyle w:val="SingleTxtG"/>
      </w:pPr>
      <w:r w:rsidRPr="00E60D85">
        <w:t>2</w:t>
      </w:r>
      <w:r w:rsidR="005E6E93" w:rsidRPr="00E60D85">
        <w:t>4</w:t>
      </w:r>
      <w:r w:rsidRPr="00E60D85">
        <w:t>.</w:t>
      </w:r>
      <w:r w:rsidRPr="00E60D85">
        <w:tab/>
      </w:r>
      <w:r w:rsidR="00C57B69" w:rsidRPr="00E60D85">
        <w:t>The secretariat informed SC.1</w:t>
      </w:r>
      <w:r w:rsidR="00086396" w:rsidRPr="00E60D85">
        <w:t xml:space="preserve"> </w:t>
      </w:r>
      <w:r w:rsidR="009F0DCB" w:rsidRPr="00E60D85">
        <w:t xml:space="preserve">that, since the last SC.1 session, </w:t>
      </w:r>
      <w:r w:rsidR="00086396" w:rsidRPr="00E60D85">
        <w:t>five States</w:t>
      </w:r>
      <w:r w:rsidR="00C57B69" w:rsidRPr="00E60D85">
        <w:t xml:space="preserve"> (Iran (Islamic Republic of), Luxembourg, </w:t>
      </w:r>
      <w:r w:rsidR="009F0DCB" w:rsidRPr="00E60D85">
        <w:t xml:space="preserve">Russian Federation, </w:t>
      </w:r>
      <w:r w:rsidR="00C57B69" w:rsidRPr="00E60D85">
        <w:t xml:space="preserve">Republic of </w:t>
      </w:r>
      <w:r w:rsidR="009F0DCB" w:rsidRPr="00E60D85">
        <w:t>Moldova and Turkey</w:t>
      </w:r>
      <w:r w:rsidR="00C57B69" w:rsidRPr="00E60D85">
        <w:t xml:space="preserve">) </w:t>
      </w:r>
      <w:r w:rsidR="00E60D85" w:rsidRPr="00E60D85">
        <w:t xml:space="preserve">have </w:t>
      </w:r>
      <w:r w:rsidR="009F0DCB" w:rsidRPr="00E60D85">
        <w:t xml:space="preserve">acceded to the Additional Protocol to the Convention </w:t>
      </w:r>
      <w:r w:rsidR="00C57B69" w:rsidRPr="00E60D85">
        <w:t>bringing the total number of contracting parties to 17. The representatives of Finland, Norway, Poland and Romania indicated that their</w:t>
      </w:r>
      <w:r w:rsidR="00C57B69" w:rsidRPr="00860279">
        <w:t xml:space="preserve"> </w:t>
      </w:r>
      <w:r w:rsidR="00C57B69" w:rsidRPr="004F2D6C">
        <w:lastRenderedPageBreak/>
        <w:t xml:space="preserve">countries </w:t>
      </w:r>
      <w:r w:rsidR="00D7725F" w:rsidRPr="004F2D6C">
        <w:t>intend</w:t>
      </w:r>
      <w:r w:rsidR="00D7725F">
        <w:t>ed</w:t>
      </w:r>
      <w:r w:rsidR="00C57B69" w:rsidRPr="004F2D6C">
        <w:t xml:space="preserve"> </w:t>
      </w:r>
      <w:r w:rsidR="00D7725F">
        <w:t>to</w:t>
      </w:r>
      <w:r w:rsidR="00C57B69" w:rsidRPr="004F2D6C">
        <w:t xml:space="preserve"> acced</w:t>
      </w:r>
      <w:r w:rsidR="00711E18">
        <w:t>e</w:t>
      </w:r>
      <w:r w:rsidR="00C57B69" w:rsidRPr="004F2D6C">
        <w:t xml:space="preserve"> to the Additional Protocol and informed </w:t>
      </w:r>
      <w:r w:rsidR="00D7725F">
        <w:t xml:space="preserve">SC.1 </w:t>
      </w:r>
      <w:r w:rsidR="00C57B69" w:rsidRPr="004F2D6C">
        <w:t>about the status of their preparations for accession.</w:t>
      </w:r>
    </w:p>
    <w:p w:rsidR="00C57B69" w:rsidRPr="004F2D6C" w:rsidRDefault="0038622D" w:rsidP="004F2D6C">
      <w:pPr>
        <w:pStyle w:val="SingleTxtG"/>
      </w:pPr>
      <w:r>
        <w:t>2</w:t>
      </w:r>
      <w:r w:rsidR="00E61662">
        <w:t>5</w:t>
      </w:r>
      <w:r>
        <w:t>.</w:t>
      </w:r>
      <w:r>
        <w:tab/>
      </w:r>
      <w:r w:rsidR="00C57B69" w:rsidRPr="004F2D6C">
        <w:t xml:space="preserve">At the last session, </w:t>
      </w:r>
      <w:r w:rsidR="00C57B69" w:rsidRPr="004F2D6C">
        <w:rPr>
          <w:rStyle w:val="SingleTxtGChar"/>
        </w:rPr>
        <w:t xml:space="preserve">SC.1 requested the secretariat to organize a special SC.1 session dedicated to e-CMR in early 2018 to further discuss this issue and to </w:t>
      </w:r>
      <w:r w:rsidR="00C57B69" w:rsidRPr="004F2D6C">
        <w:t>decide on a way forward (ECE/TRANS/SC.1/408</w:t>
      </w:r>
      <w:r w:rsidR="000C5ABF">
        <w:t xml:space="preserve"> paragraph</w:t>
      </w:r>
      <w:r w:rsidR="000C5ABF" w:rsidRPr="004F2D6C">
        <w:t xml:space="preserve"> 33</w:t>
      </w:r>
      <w:r w:rsidR="00C57B69" w:rsidRPr="004F2D6C">
        <w:t>). Accordingly, the secretariat organi</w:t>
      </w:r>
      <w:r w:rsidR="006A636E">
        <w:t>z</w:t>
      </w:r>
      <w:r w:rsidR="00C57B69" w:rsidRPr="004F2D6C">
        <w:t xml:space="preserve">ed a special session for SC.1 in April 2018. The first day </w:t>
      </w:r>
      <w:r w:rsidR="006A636E">
        <w:t>—</w:t>
      </w:r>
      <w:r w:rsidR="00C57B69" w:rsidRPr="004F2D6C">
        <w:t xml:space="preserve">4 April 2018 </w:t>
      </w:r>
      <w:r w:rsidR="006A636E">
        <w:t>—</w:t>
      </w:r>
      <w:r w:rsidR="00C57B69" w:rsidRPr="004F2D6C">
        <w:t xml:space="preserve">was dedicated to e-CMR. The outcomes of the meeting are </w:t>
      </w:r>
      <w:r w:rsidR="006A636E">
        <w:t>available</w:t>
      </w:r>
      <w:r w:rsidR="00C57B69" w:rsidRPr="004F2D6C">
        <w:t xml:space="preserve"> in the report (ECE/TRANS/SC.1/S/398).</w:t>
      </w:r>
    </w:p>
    <w:p w:rsidR="00C57B69" w:rsidRPr="004F2D6C" w:rsidRDefault="0038622D" w:rsidP="004F2D6C">
      <w:pPr>
        <w:pStyle w:val="SingleTxtG"/>
      </w:pPr>
      <w:r>
        <w:t>2</w:t>
      </w:r>
      <w:r w:rsidR="00E61662">
        <w:t>6</w:t>
      </w:r>
      <w:r>
        <w:t>.</w:t>
      </w:r>
      <w:r>
        <w:tab/>
      </w:r>
      <w:r w:rsidR="00C57B69" w:rsidRPr="004F2D6C">
        <w:t>At the request of SC.1 at its special session, the secretariat ha</w:t>
      </w:r>
      <w:r w:rsidR="00032254">
        <w:t>d</w:t>
      </w:r>
      <w:r w:rsidR="00C57B69" w:rsidRPr="004F2D6C">
        <w:t xml:space="preserve"> prepared a “without prejudice” guidance note on the legal aspects of e-CMR (ECE/TRANS/SC.1/2018/1). This document has </w:t>
      </w:r>
      <w:proofErr w:type="gramStart"/>
      <w:r w:rsidR="00C57B69" w:rsidRPr="004F2D6C">
        <w:t>taken into account</w:t>
      </w:r>
      <w:proofErr w:type="gramEnd"/>
      <w:r w:rsidR="00C57B69" w:rsidRPr="004F2D6C">
        <w:t xml:space="preserve"> the legal questions provided by SC.1 members. </w:t>
      </w:r>
    </w:p>
    <w:p w:rsidR="00C57B69" w:rsidRPr="004F2D6C" w:rsidRDefault="0038622D" w:rsidP="004F2D6C">
      <w:pPr>
        <w:pStyle w:val="SingleTxtG"/>
      </w:pPr>
      <w:r>
        <w:t>2</w:t>
      </w:r>
      <w:r w:rsidR="00E61662">
        <w:t>7</w:t>
      </w:r>
      <w:r>
        <w:t>.</w:t>
      </w:r>
      <w:r>
        <w:tab/>
      </w:r>
      <w:r w:rsidR="00C57B69" w:rsidRPr="004F2D6C">
        <w:t>For the next session, SC.1 invited the Netherlands to prepare and submit ECE/TRANS/SC.1/2018/1/Rev.1 with appropriate text to reflect the</w:t>
      </w:r>
      <w:r w:rsidR="002A74D7">
        <w:t xml:space="preserve"> usual scenario of the </w:t>
      </w:r>
      <w:r w:rsidR="00C57B69" w:rsidRPr="004F2D6C">
        <w:t xml:space="preserve"> usage of electronic consignment notes for contracts of carriage of goods by road in vehicles for reward where both the place of origin and place of destination are situated in two different countries which are both contracting parties to the CMR (</w:t>
      </w:r>
      <w:r w:rsidR="002A74D7">
        <w:t>see</w:t>
      </w:r>
      <w:r w:rsidR="002A74D7" w:rsidRPr="002A74D7">
        <w:t xml:space="preserve"> </w:t>
      </w:r>
      <w:r w:rsidR="002A74D7" w:rsidRPr="004F2D6C">
        <w:t>ECE/TRANS/SC.1/2018/1</w:t>
      </w:r>
      <w:r w:rsidR="00C57B69" w:rsidRPr="004F2D6C">
        <w:t xml:space="preserve"> paragraphs 29 and 30). </w:t>
      </w:r>
      <w:r w:rsidR="002A74D7" w:rsidRPr="004F2D6C">
        <w:t>Also,</w:t>
      </w:r>
      <w:r w:rsidR="00C57B69" w:rsidRPr="004F2D6C">
        <w:t xml:space="preserve"> at the next session, SC.1 will decide how it </w:t>
      </w:r>
      <w:r w:rsidR="002A74D7">
        <w:t>would wish</w:t>
      </w:r>
      <w:r w:rsidR="007232FB">
        <w:t xml:space="preserve"> to proceed with</w:t>
      </w:r>
      <w:r w:rsidR="00C57B69" w:rsidRPr="004F2D6C">
        <w:t xml:space="preserve"> the guidance note.</w:t>
      </w:r>
    </w:p>
    <w:p w:rsidR="00C57B69" w:rsidRPr="004F2D6C" w:rsidRDefault="0038622D" w:rsidP="004F2D6C">
      <w:pPr>
        <w:pStyle w:val="SingleTxtG"/>
      </w:pPr>
      <w:r>
        <w:t>2</w:t>
      </w:r>
      <w:r w:rsidR="00E61662">
        <w:t>8</w:t>
      </w:r>
      <w:r>
        <w:t>.</w:t>
      </w:r>
      <w:r>
        <w:tab/>
      </w:r>
      <w:r w:rsidR="00C57B69" w:rsidRPr="004F2D6C">
        <w:t>In addition, at the request of SC.1 for case studies and best practice examples, the Netherlands ha</w:t>
      </w:r>
      <w:r w:rsidR="002A74D7">
        <w:t>d</w:t>
      </w:r>
      <w:r w:rsidR="00C57B69" w:rsidRPr="004F2D6C">
        <w:t xml:space="preserve"> shared its Benelux project documents which include the decision of the Committee of Ministers of the Benelux Union on 7 September 2017 to start a pilot project on the e-CMR from 1 December 2017 to 1 December 2020 (ECE/TRANS/SC.1/2018/3), and the reasons behind their decision (ECE/TRANS/SC.1/2018/4). The Netherlands also shared the application form used by applicants to participate in the pilot (original in French, with unofficial translations to English and Russian) (Informal document Nos. 2, 3 and 4). </w:t>
      </w:r>
    </w:p>
    <w:p w:rsidR="00C57B69" w:rsidRPr="004F2D6C" w:rsidRDefault="0038622D" w:rsidP="004F2D6C">
      <w:pPr>
        <w:pStyle w:val="SingleTxtG"/>
      </w:pPr>
      <w:r>
        <w:t>2</w:t>
      </w:r>
      <w:r w:rsidR="00E61662">
        <w:t>9</w:t>
      </w:r>
      <w:r>
        <w:t>.</w:t>
      </w:r>
      <w:r>
        <w:tab/>
      </w:r>
      <w:r w:rsidR="00C57B69" w:rsidRPr="004F2D6C">
        <w:t>The European Commission provided an overview of its proposal for a regulation of the European Parliament and of the Council on electronic freight transport information which was issued on 17 May 2018.</w:t>
      </w:r>
    </w:p>
    <w:p w:rsidR="00C57B69" w:rsidRPr="004F2D6C" w:rsidRDefault="00E61662" w:rsidP="004F2D6C">
      <w:pPr>
        <w:pStyle w:val="SingleTxtG"/>
      </w:pPr>
      <w:r>
        <w:t>30</w:t>
      </w:r>
      <w:r w:rsidR="0038622D">
        <w:t>.</w:t>
      </w:r>
      <w:r w:rsidR="0038622D">
        <w:tab/>
      </w:r>
      <w:r w:rsidR="00C57B69" w:rsidRPr="004F2D6C">
        <w:t>IRU informed SC.1 about the pilot project on e-CMR which will commence in early 2019 in Latvia</w:t>
      </w:r>
      <w:r w:rsidR="001A4715">
        <w:t xml:space="preserve"> and</w:t>
      </w:r>
      <w:r w:rsidR="001A4715" w:rsidRPr="001A4715">
        <w:t xml:space="preserve"> </w:t>
      </w:r>
      <w:r w:rsidR="001A4715" w:rsidRPr="004F2D6C">
        <w:t>the Russian Federation</w:t>
      </w:r>
      <w:r w:rsidR="00C57B69" w:rsidRPr="004F2D6C">
        <w:t xml:space="preserve"> involving the customs authorities of these contracting parties.</w:t>
      </w:r>
    </w:p>
    <w:p w:rsidR="00C57B69" w:rsidRPr="004F2D6C" w:rsidRDefault="0038622D" w:rsidP="004F2D6C">
      <w:pPr>
        <w:pStyle w:val="SingleTxtG"/>
      </w:pPr>
      <w:r>
        <w:t>3</w:t>
      </w:r>
      <w:r w:rsidR="00E61662">
        <w:t>1</w:t>
      </w:r>
      <w:r>
        <w:t>.</w:t>
      </w:r>
      <w:r>
        <w:tab/>
      </w:r>
      <w:r w:rsidR="00C57B69" w:rsidRPr="004F2D6C">
        <w:t xml:space="preserve">OTIF expressed </w:t>
      </w:r>
      <w:r w:rsidR="00E97CAC">
        <w:t>a</w:t>
      </w:r>
      <w:r w:rsidR="001A4715">
        <w:t>n</w:t>
      </w:r>
      <w:r w:rsidR="00C57B69" w:rsidRPr="004F2D6C">
        <w:t xml:space="preserve"> interest in the discussions on this topic and drew attention to their work on similar challenges in implementing the electronic consignment notes for the commercial transport of goods by rail.</w:t>
      </w:r>
    </w:p>
    <w:p w:rsidR="00C57B69" w:rsidRPr="004F2D6C" w:rsidRDefault="0038622D" w:rsidP="004F2D6C">
      <w:pPr>
        <w:pStyle w:val="SingleTxtG"/>
      </w:pPr>
      <w:r>
        <w:t>3</w:t>
      </w:r>
      <w:r w:rsidR="00E61662">
        <w:t>2</w:t>
      </w:r>
      <w:r>
        <w:t>.</w:t>
      </w:r>
      <w:r>
        <w:tab/>
      </w:r>
      <w:r w:rsidR="00C57B69" w:rsidRPr="004F2D6C">
        <w:t xml:space="preserve">To facilitate discussion on technical aspects at this session, the secretariat also compiled a list of technical questions provided by SC.1 members (ECE/TRANS/SC.1/2018/2). </w:t>
      </w:r>
    </w:p>
    <w:p w:rsidR="00C57B69" w:rsidRPr="004F2D6C" w:rsidRDefault="0038622D" w:rsidP="004F2D6C">
      <w:pPr>
        <w:pStyle w:val="SingleTxtG"/>
      </w:pPr>
      <w:r>
        <w:t>3</w:t>
      </w:r>
      <w:r w:rsidR="00E61662">
        <w:t>3</w:t>
      </w:r>
      <w:r>
        <w:t>.</w:t>
      </w:r>
      <w:r>
        <w:tab/>
      </w:r>
      <w:r w:rsidR="00C57B69" w:rsidRPr="004F2D6C">
        <w:t>Slovenia shared its challenge of not having neighbouring countries which are contracting parties to e-CMR to start a pilot project. Finland emphasized the importance of having interoperable technological systems so that information can be easily shared in the future.</w:t>
      </w:r>
    </w:p>
    <w:p w:rsidR="00C57B69" w:rsidRPr="004F2D6C" w:rsidRDefault="0038622D" w:rsidP="004F2D6C">
      <w:pPr>
        <w:pStyle w:val="SingleTxtG"/>
      </w:pPr>
      <w:r>
        <w:t>3</w:t>
      </w:r>
      <w:r w:rsidR="00E61662">
        <w:t>4</w:t>
      </w:r>
      <w:r>
        <w:t>.</w:t>
      </w:r>
      <w:r>
        <w:tab/>
      </w:r>
      <w:r w:rsidR="00C57B69" w:rsidRPr="004F2D6C">
        <w:t xml:space="preserve">In response to the secretariat’s question </w:t>
      </w:r>
      <w:r w:rsidR="001A4715">
        <w:t>on</w:t>
      </w:r>
      <w:r w:rsidR="00C57B69" w:rsidRPr="004F2D6C">
        <w:t xml:space="preserve"> next steps for e-CMR, and SC.1 role in these next steps, SC.1 affirmed its role as the main platform for multilateral dialogue and exchange of best/emerging practices by contracting parties implementing e-CMR. </w:t>
      </w:r>
    </w:p>
    <w:p w:rsidR="00C57B69" w:rsidRPr="004F2D6C" w:rsidRDefault="0038622D" w:rsidP="004F2D6C">
      <w:pPr>
        <w:pStyle w:val="SingleTxtG"/>
      </w:pPr>
      <w:r>
        <w:t>3</w:t>
      </w:r>
      <w:r w:rsidR="00E61662">
        <w:t>5</w:t>
      </w:r>
      <w:r>
        <w:t>.</w:t>
      </w:r>
      <w:r>
        <w:tab/>
      </w:r>
      <w:r w:rsidR="00C57B69" w:rsidRPr="004F2D6C">
        <w:t>For the next session, contracting parties are encouraged to provide information or updates on their implementation of e-CMR, including challenges and opportunities faced. SC.1 requested the European Commission to make a presentation on the AEOLIX platform which is envisaged to include an e-CMR offering for the next session.</w:t>
      </w:r>
    </w:p>
    <w:p w:rsidR="00C57B69" w:rsidRPr="001A34AC" w:rsidRDefault="00C57B69" w:rsidP="004F2D6C">
      <w:pPr>
        <w:pStyle w:val="HChG"/>
      </w:pPr>
      <w:r w:rsidRPr="001A34AC">
        <w:lastRenderedPageBreak/>
        <w:tab/>
      </w:r>
      <w:r w:rsidR="004F2D6C">
        <w:t>VIII</w:t>
      </w:r>
      <w:r>
        <w:t>.</w:t>
      </w:r>
      <w:r>
        <w:tab/>
      </w:r>
      <w:r w:rsidRPr="001A34AC">
        <w:t>Facilitation of international road transport</w:t>
      </w:r>
    </w:p>
    <w:p w:rsidR="00C57B69" w:rsidRPr="001A34AC" w:rsidRDefault="004F2D6C" w:rsidP="004F2D6C">
      <w:pPr>
        <w:pStyle w:val="H1G"/>
      </w:pPr>
      <w:r>
        <w:tab/>
        <w:t>A.</w:t>
      </w:r>
      <w:r>
        <w:tab/>
      </w:r>
      <w:r w:rsidR="00C57B69" w:rsidRPr="001A34AC">
        <w:tab/>
        <w:t>International Motor Insurance System (Green Card)</w:t>
      </w:r>
    </w:p>
    <w:p w:rsidR="00C57B69" w:rsidRPr="004F2D6C" w:rsidRDefault="0038622D" w:rsidP="004F2D6C">
      <w:pPr>
        <w:pStyle w:val="SingleTxtG"/>
      </w:pPr>
      <w:r>
        <w:t>3</w:t>
      </w:r>
      <w:r w:rsidR="00E61662">
        <w:t>6</w:t>
      </w:r>
      <w:r>
        <w:t>.</w:t>
      </w:r>
      <w:r>
        <w:tab/>
      </w:r>
      <w:r w:rsidR="00C57B69" w:rsidRPr="004F2D6C">
        <w:t xml:space="preserve">SC.1 was informed by the Secretary-General of the Council of Bureaux (COB) about recent developments in the “Green Card system” (detailed information is available in Informal </w:t>
      </w:r>
      <w:proofErr w:type="gramStart"/>
      <w:r w:rsidR="00C57B69" w:rsidRPr="004F2D6C">
        <w:t>document</w:t>
      </w:r>
      <w:proofErr w:type="gramEnd"/>
      <w:r w:rsidR="00C57B69" w:rsidRPr="004F2D6C">
        <w:t xml:space="preserve"> No. 5).</w:t>
      </w:r>
    </w:p>
    <w:p w:rsidR="00C57B69" w:rsidRPr="004F2D6C" w:rsidRDefault="0038622D" w:rsidP="004F2D6C">
      <w:pPr>
        <w:pStyle w:val="SingleTxtG"/>
      </w:pPr>
      <w:r>
        <w:t>3</w:t>
      </w:r>
      <w:r w:rsidR="0007597C">
        <w:t>7</w:t>
      </w:r>
      <w:r>
        <w:t>.</w:t>
      </w:r>
      <w:r>
        <w:tab/>
      </w:r>
      <w:r w:rsidR="00C57B69" w:rsidRPr="004F2D6C">
        <w:t xml:space="preserve">The Secretary-General also shared that COB wished to abolish the requirement to print the Green Cards in green colour and to issue them in PDFs in black on white colour. SC.1 expressed its support for, and approved, </w:t>
      </w:r>
      <w:proofErr w:type="spellStart"/>
      <w:r w:rsidR="00C57B69" w:rsidRPr="004F2D6C">
        <w:t>C</w:t>
      </w:r>
      <w:r w:rsidR="00154CB3">
        <w:t>o</w:t>
      </w:r>
      <w:r w:rsidR="00C57B69" w:rsidRPr="004F2D6C">
        <w:t>B’s</w:t>
      </w:r>
      <w:proofErr w:type="spellEnd"/>
      <w:r w:rsidR="00C57B69" w:rsidRPr="004F2D6C">
        <w:t xml:space="preserve"> request. It also invited </w:t>
      </w:r>
      <w:proofErr w:type="spellStart"/>
      <w:r w:rsidR="00C57B69" w:rsidRPr="004F2D6C">
        <w:t>C</w:t>
      </w:r>
      <w:r>
        <w:t>o</w:t>
      </w:r>
      <w:r w:rsidR="00C57B69" w:rsidRPr="004F2D6C">
        <w:t>B</w:t>
      </w:r>
      <w:proofErr w:type="spellEnd"/>
      <w:r w:rsidR="00C57B69" w:rsidRPr="004F2D6C">
        <w:t xml:space="preserve">, if </w:t>
      </w:r>
      <w:proofErr w:type="spellStart"/>
      <w:r w:rsidR="00C57B69" w:rsidRPr="004F2D6C">
        <w:t>C</w:t>
      </w:r>
      <w:r w:rsidR="00154CB3">
        <w:t>o</w:t>
      </w:r>
      <w:r w:rsidR="00C57B69" w:rsidRPr="004F2D6C">
        <w:t>B</w:t>
      </w:r>
      <w:proofErr w:type="spellEnd"/>
      <w:r w:rsidR="00C57B69" w:rsidRPr="004F2D6C">
        <w:t xml:space="preserve"> deems it necessary, to provide an amendment proposal to </w:t>
      </w:r>
      <w:r w:rsidR="00154CB3">
        <w:t>a</w:t>
      </w:r>
      <w:r w:rsidR="00C57B69" w:rsidRPr="004F2D6C">
        <w:t>nnex 1 of the Revised Consolidated Resolution on the Facilitation of International Road Transport (RE.4) at the next session.</w:t>
      </w:r>
    </w:p>
    <w:p w:rsidR="00C57B69" w:rsidRPr="001A34AC" w:rsidRDefault="00C57B69" w:rsidP="004F2D6C">
      <w:pPr>
        <w:pStyle w:val="H1G"/>
      </w:pPr>
      <w:r w:rsidRPr="001A34AC">
        <w:tab/>
      </w:r>
      <w:r w:rsidR="004F2D6C">
        <w:t>B.</w:t>
      </w:r>
      <w:r w:rsidRPr="001A34AC">
        <w:tab/>
        <w:t>Proposal for a global multilateral agreement on the international regular transport of passengers by coach and bus (</w:t>
      </w:r>
      <w:proofErr w:type="spellStart"/>
      <w:r w:rsidRPr="001A34AC">
        <w:t>OmniBUS</w:t>
      </w:r>
      <w:proofErr w:type="spellEnd"/>
      <w:r w:rsidRPr="001A34AC">
        <w:t>)</w:t>
      </w:r>
    </w:p>
    <w:p w:rsidR="00C57B69" w:rsidRPr="004F2D6C" w:rsidRDefault="0038622D" w:rsidP="004F2D6C">
      <w:pPr>
        <w:pStyle w:val="SingleTxtG"/>
      </w:pPr>
      <w:r>
        <w:t>3</w:t>
      </w:r>
      <w:r w:rsidR="0007597C">
        <w:t>8</w:t>
      </w:r>
      <w:r>
        <w:t>.</w:t>
      </w:r>
      <w:r>
        <w:tab/>
      </w:r>
      <w:r w:rsidR="00C57B69" w:rsidRPr="004F2D6C">
        <w:t>At the third day of the special session of SC.1 on 6 April 2018, SC.1 recommenced its discussion on ECE/TRANS/SC.1/2015/3 focus</w:t>
      </w:r>
      <w:r w:rsidR="00154CB3">
        <w:t>ed</w:t>
      </w:r>
      <w:r w:rsidR="00C57B69" w:rsidRPr="004F2D6C">
        <w:t xml:space="preserve"> on Articles 6, 8 and 25, </w:t>
      </w:r>
      <w:r w:rsidR="00154CB3" w:rsidRPr="002B130E">
        <w:t>and</w:t>
      </w:r>
      <w:r w:rsidR="00154CB3">
        <w:t xml:space="preserve"> on</w:t>
      </w:r>
      <w:r w:rsidR="00C57B69" w:rsidRPr="004F2D6C">
        <w:t xml:space="preserve"> Annex VI</w:t>
      </w:r>
      <w:r w:rsidR="00154CB3">
        <w:t>.</w:t>
      </w:r>
      <w:r w:rsidR="00C57B69" w:rsidRPr="004F2D6C">
        <w:t xml:space="preserve"> </w:t>
      </w:r>
      <w:r w:rsidR="00154CB3">
        <w:t>C</w:t>
      </w:r>
      <w:r w:rsidR="00C57B69" w:rsidRPr="004F2D6C">
        <w:t xml:space="preserve">hanges </w:t>
      </w:r>
      <w:r w:rsidR="00154CB3">
        <w:t xml:space="preserve">were made </w:t>
      </w:r>
      <w:r w:rsidR="00C57B69" w:rsidRPr="004F2D6C">
        <w:t xml:space="preserve">to Articles 6 and 8. The Russian Federation retained its position </w:t>
      </w:r>
      <w:r w:rsidR="00B464A8">
        <w:t>of</w:t>
      </w:r>
      <w:r w:rsidR="00C57B69" w:rsidRPr="004F2D6C">
        <w:t xml:space="preserve"> reservation on the draft text of Article 25 and Annex VI.</w:t>
      </w:r>
    </w:p>
    <w:p w:rsidR="00C57B69" w:rsidRPr="004F2D6C" w:rsidRDefault="0007597C" w:rsidP="004F2D6C">
      <w:pPr>
        <w:pStyle w:val="SingleTxtG"/>
      </w:pPr>
      <w:r>
        <w:t>39</w:t>
      </w:r>
      <w:r w:rsidR="0038622D">
        <w:t>.</w:t>
      </w:r>
      <w:r w:rsidR="0038622D">
        <w:tab/>
      </w:r>
      <w:r w:rsidR="00C57B69" w:rsidRPr="004F2D6C">
        <w:t xml:space="preserve">SC.1 requested the Russian Federation, Switzerland and Turkey to agree on and provide a proposal on draft text in relation to Article 25 and Annex VI for this session of SC.1. </w:t>
      </w:r>
    </w:p>
    <w:p w:rsidR="00C57B69" w:rsidRPr="004F2D6C" w:rsidRDefault="00E61662" w:rsidP="004F2D6C">
      <w:pPr>
        <w:pStyle w:val="SingleTxtG"/>
      </w:pPr>
      <w:r>
        <w:t>4</w:t>
      </w:r>
      <w:r w:rsidR="0007597C">
        <w:t>0</w:t>
      </w:r>
      <w:r w:rsidR="0085799B">
        <w:t>.</w:t>
      </w:r>
      <w:r w:rsidR="0085799B">
        <w:tab/>
      </w:r>
      <w:r w:rsidR="00C57B69" w:rsidRPr="004F2D6C">
        <w:t>SC.1 decided to defer its discussion on this item until the next session due to the absence</w:t>
      </w:r>
      <w:r w:rsidR="00A77CF0">
        <w:t xml:space="preserve"> </w:t>
      </w:r>
      <w:r w:rsidR="00C57B69" w:rsidRPr="004F2D6C">
        <w:t xml:space="preserve">of representatives </w:t>
      </w:r>
      <w:r w:rsidR="00A77CF0">
        <w:t>from</w:t>
      </w:r>
      <w:r w:rsidR="00C57B69" w:rsidRPr="004F2D6C">
        <w:t xml:space="preserve"> the Russian Federation, Switzerland and Turkey.</w:t>
      </w:r>
    </w:p>
    <w:p w:rsidR="00C57B69" w:rsidRPr="00222F32" w:rsidRDefault="0085799B" w:rsidP="00222F32">
      <w:pPr>
        <w:pStyle w:val="SingleTxtG"/>
      </w:pPr>
      <w:r>
        <w:t>4</w:t>
      </w:r>
      <w:r w:rsidR="0007597C">
        <w:t>1</w:t>
      </w:r>
      <w:r>
        <w:t>.</w:t>
      </w:r>
      <w:r>
        <w:tab/>
      </w:r>
      <w:r w:rsidR="00A77CF0">
        <w:t>T</w:t>
      </w:r>
      <w:r w:rsidR="00C57B69" w:rsidRPr="00222F32">
        <w:t xml:space="preserve">he European Commission advised that </w:t>
      </w:r>
      <w:r w:rsidR="00A77CF0">
        <w:t xml:space="preserve">for </w:t>
      </w:r>
      <w:r w:rsidR="00A77CF0" w:rsidRPr="00222F32">
        <w:t xml:space="preserve">the </w:t>
      </w:r>
      <w:proofErr w:type="spellStart"/>
      <w:r w:rsidR="00A77CF0" w:rsidRPr="00222F32">
        <w:t>InterBus</w:t>
      </w:r>
      <w:proofErr w:type="spellEnd"/>
      <w:r w:rsidR="00A77CF0" w:rsidRPr="00222F32">
        <w:t xml:space="preserve"> agreement, </w:t>
      </w:r>
      <w:r w:rsidR="00AB427A" w:rsidRPr="00222F32">
        <w:t>two</w:t>
      </w:r>
      <w:r w:rsidR="00C57B69" w:rsidRPr="00222F32">
        <w:t xml:space="preserve"> protocols (one for the extension of the scope of regular services and another to provide access of Morocco to the </w:t>
      </w:r>
      <w:proofErr w:type="spellStart"/>
      <w:r w:rsidR="00C57B69" w:rsidRPr="00222F32">
        <w:t>InterBus</w:t>
      </w:r>
      <w:proofErr w:type="spellEnd"/>
      <w:r w:rsidR="00C57B69" w:rsidRPr="00222F32">
        <w:t xml:space="preserve"> agreement), as well as a draft Joint Committee Decision, were adopted by the Council on 16 July 2018.  The draft Joint Co</w:t>
      </w:r>
      <w:r w:rsidRPr="00222F32">
        <w:t xml:space="preserve">mmittee Decision may be found </w:t>
      </w:r>
      <w:r w:rsidR="00222F32" w:rsidRPr="00222F32">
        <w:t xml:space="preserve">at </w:t>
      </w:r>
      <w:hyperlink r:id="rId9" w:history="1">
        <w:r w:rsidR="00C97E53" w:rsidRPr="00222F32">
          <w:t>https://eurlex.europa.eu/legalcontent/EN/TXT/?uri=uriserv:OJ.L_.2018.185.01.0016.01.ENG&amp;toc=OJ:L:2018:185:TOC</w:t>
        </w:r>
      </w:hyperlink>
      <w:r w:rsidRPr="00222F32">
        <w:t xml:space="preserve">. </w:t>
      </w:r>
      <w:r w:rsidR="00C57B69" w:rsidRPr="00222F32">
        <w:t xml:space="preserve">The period for the signature of the two protocols started at the date of adoption of the protocols and will last for nine months. </w:t>
      </w:r>
    </w:p>
    <w:p w:rsidR="00C57B69" w:rsidRPr="001A34AC" w:rsidRDefault="00C57B69" w:rsidP="004F2D6C">
      <w:pPr>
        <w:pStyle w:val="H1G"/>
      </w:pPr>
      <w:r w:rsidRPr="001A34AC">
        <w:tab/>
      </w:r>
      <w:r w:rsidR="004F2D6C">
        <w:t>C.</w:t>
      </w:r>
      <w:r w:rsidRPr="001A34AC">
        <w:tab/>
        <w:t>Quantitative restrictions imposed on international road transport of goods</w:t>
      </w:r>
    </w:p>
    <w:p w:rsidR="00C57B69" w:rsidRPr="004F2D6C" w:rsidRDefault="00222F32" w:rsidP="004F2D6C">
      <w:pPr>
        <w:pStyle w:val="SingleTxtG"/>
      </w:pPr>
      <w:r>
        <w:t>4</w:t>
      </w:r>
      <w:r w:rsidR="0007597C">
        <w:t>2</w:t>
      </w:r>
      <w:r>
        <w:t>.</w:t>
      </w:r>
      <w:r>
        <w:tab/>
      </w:r>
      <w:r w:rsidR="00C57B69" w:rsidRPr="004F2D6C">
        <w:t xml:space="preserve">At the last session, SC.1 discussed a European Commission (EC) study on the economic analysis of an agreement between the European Union and Turkey which had estimated that Turkey </w:t>
      </w:r>
      <w:r w:rsidR="004B06D5" w:rsidRPr="004F2D6C">
        <w:t xml:space="preserve">and the European Union </w:t>
      </w:r>
      <w:r w:rsidR="00C57B69" w:rsidRPr="004F2D6C">
        <w:t xml:space="preserve">had sustained large financial losses due to transport quotas and restrictions. </w:t>
      </w:r>
    </w:p>
    <w:p w:rsidR="00C57B69" w:rsidRPr="004F2D6C" w:rsidRDefault="00222F32" w:rsidP="004F2D6C">
      <w:pPr>
        <w:pStyle w:val="SingleTxtG"/>
      </w:pPr>
      <w:r>
        <w:t>4</w:t>
      </w:r>
      <w:r w:rsidR="0007597C">
        <w:t>3</w:t>
      </w:r>
      <w:r>
        <w:t>.</w:t>
      </w:r>
      <w:r>
        <w:tab/>
      </w:r>
      <w:r w:rsidR="00C57B69" w:rsidRPr="004F2D6C">
        <w:t xml:space="preserve">SC.1 had taken note of the information provided by EC that the extension of the mandate of the Customs Agreement was with the Council and that DG Trade was the responsible EC service. DG Move was requested by the Government of Turkey to further discuss this issue within EC. </w:t>
      </w:r>
    </w:p>
    <w:p w:rsidR="00C57B69" w:rsidRPr="004F2D6C" w:rsidRDefault="00222F32" w:rsidP="004F2D6C">
      <w:pPr>
        <w:pStyle w:val="SingleTxtG"/>
      </w:pPr>
      <w:r>
        <w:t>4</w:t>
      </w:r>
      <w:r w:rsidR="0007597C">
        <w:t>4</w:t>
      </w:r>
      <w:r>
        <w:t>.</w:t>
      </w:r>
      <w:r>
        <w:tab/>
      </w:r>
      <w:r w:rsidR="00C57B69" w:rsidRPr="004F2D6C">
        <w:t>SC.1 decided to defer its discussion on this item until the next session due to the absence of the representative of Turkey.</w:t>
      </w:r>
    </w:p>
    <w:p w:rsidR="00C57B69" w:rsidRPr="001A34AC" w:rsidRDefault="00C57B69" w:rsidP="004F2D6C">
      <w:pPr>
        <w:pStyle w:val="H1G"/>
      </w:pPr>
      <w:r w:rsidRPr="001A34AC">
        <w:lastRenderedPageBreak/>
        <w:tab/>
      </w:r>
      <w:bookmarkStart w:id="2" w:name="_Hlk521317391"/>
      <w:r w:rsidR="004F2D6C">
        <w:t>D.</w:t>
      </w:r>
      <w:r w:rsidRPr="001A34AC">
        <w:tab/>
        <w:t>The relationship between the origin of goods and transport operations</w:t>
      </w:r>
    </w:p>
    <w:bookmarkEnd w:id="2"/>
    <w:p w:rsidR="00C57B69" w:rsidRPr="004F2D6C" w:rsidRDefault="00222F32" w:rsidP="004F2D6C">
      <w:pPr>
        <w:pStyle w:val="SingleTxtG"/>
      </w:pPr>
      <w:r>
        <w:t>4</w:t>
      </w:r>
      <w:r w:rsidR="0007597C">
        <w:t>5</w:t>
      </w:r>
      <w:r>
        <w:t>.</w:t>
      </w:r>
      <w:r>
        <w:tab/>
      </w:r>
      <w:r w:rsidR="00C57B69" w:rsidRPr="004F2D6C">
        <w:t>Based on the comments received at the last session in relation to Poland</w:t>
      </w:r>
      <w:r w:rsidR="00DA74CB">
        <w:t xml:space="preserve"> </w:t>
      </w:r>
      <w:r w:rsidR="00C57B69" w:rsidRPr="004F2D6C">
        <w:t>proposal to revise the Revised Consolidated Resolution on the Facilitation of International Road Transport (R.E.4) to include a definition of “bilateral transport” as a new subpoint 4.1.9 (ECE/TRANS/SC.1/2017/4), Poland ha</w:t>
      </w:r>
      <w:r w:rsidR="00DA74CB">
        <w:t>d</w:t>
      </w:r>
      <w:r w:rsidR="00C57B69" w:rsidRPr="004F2D6C">
        <w:t xml:space="preserve"> submitted Informal </w:t>
      </w:r>
      <w:proofErr w:type="gramStart"/>
      <w:r w:rsidR="00C57B69" w:rsidRPr="004F2D6C">
        <w:t>document</w:t>
      </w:r>
      <w:proofErr w:type="gramEnd"/>
      <w:r w:rsidR="00C57B69" w:rsidRPr="004F2D6C">
        <w:t xml:space="preserve"> No. 6. Latvia had earlier been a proponent to a similar proposal, and the Netherlands indicated its support for the proposed definition at this session. </w:t>
      </w:r>
    </w:p>
    <w:p w:rsidR="00C57B69" w:rsidRPr="00E61662" w:rsidRDefault="00D141BE" w:rsidP="00E61662">
      <w:pPr>
        <w:pStyle w:val="SingleTxtG"/>
      </w:pPr>
      <w:r w:rsidRPr="00E61662">
        <w:t>4</w:t>
      </w:r>
      <w:r w:rsidR="0007597C">
        <w:t>6</w:t>
      </w:r>
      <w:r w:rsidRPr="00E61662">
        <w:t>.</w:t>
      </w:r>
      <w:r w:rsidRPr="00E61662">
        <w:tab/>
      </w:r>
      <w:r w:rsidR="00C57B69" w:rsidRPr="00E61662">
        <w:t>SC.</w:t>
      </w:r>
      <w:r w:rsidR="00222F32" w:rsidRPr="00E61662">
        <w:t>1 requested</w:t>
      </w:r>
      <w:r w:rsidR="00C57B69" w:rsidRPr="00E61662">
        <w:t xml:space="preserve"> that Poland submits an amendment proposal for adoption at the next session:</w:t>
      </w:r>
    </w:p>
    <w:p w:rsidR="00C57B69" w:rsidRPr="004F2D6C" w:rsidRDefault="00C57B69" w:rsidP="004F2D6C">
      <w:pPr>
        <w:pStyle w:val="SingleTxtG"/>
      </w:pPr>
      <w:r w:rsidRPr="004F2D6C">
        <w:t xml:space="preserve">“4.1.9 "Bilateral transport means a road transport operation undertaken by a laden or unladen vehicle registered in one country, the point of departure of which is from the territory of registration of the vehicle, and the destination of which is in the territory of the other country, or vice versa. The country of origin of goods or the country of the recipient of goods could be any country, at least one of them should be a UNECE </w:t>
      </w:r>
      <w:r w:rsidR="00DA74CB">
        <w:t>m</w:t>
      </w:r>
      <w:r w:rsidRPr="004F2D6C">
        <w:t>ember State.”</w:t>
      </w:r>
    </w:p>
    <w:p w:rsidR="00C57B69" w:rsidRPr="001A34AC" w:rsidRDefault="00C57B69" w:rsidP="004F2D6C">
      <w:pPr>
        <w:pStyle w:val="HChG"/>
      </w:pPr>
      <w:r w:rsidRPr="001A34AC">
        <w:tab/>
      </w:r>
      <w:r w:rsidR="004F2D6C">
        <w:t>IX</w:t>
      </w:r>
      <w:r w:rsidRPr="001A34AC">
        <w:t>.</w:t>
      </w:r>
      <w:r w:rsidRPr="001A34AC">
        <w:tab/>
        <w:t>Safety at Level Crossings Group of Experts</w:t>
      </w:r>
    </w:p>
    <w:p w:rsidR="00C57B69" w:rsidRPr="004F2D6C" w:rsidRDefault="00F74939" w:rsidP="004F2D6C">
      <w:pPr>
        <w:pStyle w:val="SingleTxtG"/>
      </w:pPr>
      <w:r>
        <w:t>4</w:t>
      </w:r>
      <w:r w:rsidR="0007597C">
        <w:t>7</w:t>
      </w:r>
      <w:r>
        <w:t>.</w:t>
      </w:r>
      <w:r>
        <w:tab/>
      </w:r>
      <w:r w:rsidR="00C57B69" w:rsidRPr="004F2D6C">
        <w:t xml:space="preserve">The secretariat advised that, due to a lack of positive responses from </w:t>
      </w:r>
      <w:r w:rsidR="00476696">
        <w:t>International Union of Railways (</w:t>
      </w:r>
      <w:r w:rsidR="00C57B69" w:rsidRPr="004F2D6C">
        <w:t>UIC</w:t>
      </w:r>
      <w:r w:rsidR="00476696">
        <w:t>)</w:t>
      </w:r>
      <w:r w:rsidR="00C57B69" w:rsidRPr="004F2D6C">
        <w:t xml:space="preserve"> and E</w:t>
      </w:r>
      <w:r w:rsidR="00476696">
        <w:t xml:space="preserve">uropean </w:t>
      </w:r>
      <w:r w:rsidR="00C57B69" w:rsidRPr="004F2D6C">
        <w:t>R</w:t>
      </w:r>
      <w:r w:rsidR="00476696">
        <w:t>ailway Agency (ERA)</w:t>
      </w:r>
      <w:r w:rsidR="00C57B69" w:rsidRPr="004F2D6C">
        <w:t xml:space="preserve">, that this item should be removed from SC.1 agenda until a future time when there is renewed interest. The secretariat also shared the </w:t>
      </w:r>
      <w:r w:rsidR="00DA74CB">
        <w:t>“</w:t>
      </w:r>
      <w:r w:rsidR="00C57B69" w:rsidRPr="004F2D6C">
        <w:t>sign to crash through gates (barrier)</w:t>
      </w:r>
      <w:r w:rsidR="00DA74CB">
        <w:t>”</w:t>
      </w:r>
      <w:r w:rsidR="00C57B69" w:rsidRPr="004F2D6C">
        <w:t xml:space="preserve"> which had been developed by the Group of Experts on Road Signs and Signals of the Global Forum for Road Traffic Safety.</w:t>
      </w:r>
    </w:p>
    <w:p w:rsidR="00C57B69" w:rsidRPr="001A34AC" w:rsidRDefault="00C57B69" w:rsidP="004F2D6C">
      <w:pPr>
        <w:pStyle w:val="HChG"/>
      </w:pPr>
      <w:r w:rsidRPr="001A34AC">
        <w:tab/>
      </w:r>
      <w:r w:rsidR="004F2D6C">
        <w:t>X</w:t>
      </w:r>
      <w:r w:rsidRPr="001A34AC">
        <w:t>.</w:t>
      </w:r>
      <w:r w:rsidRPr="001A34AC">
        <w:tab/>
        <w:t>Revision of SC.1 terms of reference and rules of procedure</w:t>
      </w:r>
    </w:p>
    <w:p w:rsidR="00C57B69" w:rsidRPr="004F2D6C" w:rsidRDefault="00F74939" w:rsidP="004F2D6C">
      <w:pPr>
        <w:pStyle w:val="SingleTxtG"/>
      </w:pPr>
      <w:r>
        <w:t>4</w:t>
      </w:r>
      <w:r w:rsidR="0007597C">
        <w:t>8</w:t>
      </w:r>
      <w:r>
        <w:t>.</w:t>
      </w:r>
      <w:r>
        <w:tab/>
      </w:r>
      <w:r w:rsidR="00C57B69" w:rsidRPr="004F2D6C">
        <w:t>In 2016, Belgium and Germany</w:t>
      </w:r>
      <w:r w:rsidR="008D4316">
        <w:t xml:space="preserve"> had</w:t>
      </w:r>
      <w:r w:rsidR="00C57B69" w:rsidRPr="004F2D6C">
        <w:t xml:space="preserve"> submitted a proposal for changes to SC.1</w:t>
      </w:r>
      <w:r w:rsidR="00DA74CB">
        <w:t xml:space="preserve"> </w:t>
      </w:r>
      <w:r w:rsidR="00C57B69" w:rsidRPr="004F2D6C">
        <w:t xml:space="preserve">terms of reference and rules of procedures (Informal document (2016) Nos 3 and 4). </w:t>
      </w:r>
    </w:p>
    <w:p w:rsidR="00C57B69" w:rsidRPr="004F2D6C" w:rsidRDefault="0007597C" w:rsidP="004F2D6C">
      <w:pPr>
        <w:pStyle w:val="SingleTxtG"/>
      </w:pPr>
      <w:r>
        <w:t>49</w:t>
      </w:r>
      <w:r w:rsidR="00F74939">
        <w:t>.</w:t>
      </w:r>
      <w:r w:rsidR="00F74939">
        <w:tab/>
      </w:r>
      <w:r w:rsidR="00C57B69" w:rsidRPr="004F2D6C">
        <w:t>SC.1 decided to postpone its discussion until the adoption of new terms of reference and rules of procedure by the Global Forum on Road Traffic Safety (WP.1) which could be used as a template for SC.1</w:t>
      </w:r>
      <w:r w:rsidR="00DA74CB">
        <w:t xml:space="preserve"> </w:t>
      </w:r>
      <w:r w:rsidR="00C57B69" w:rsidRPr="004F2D6C">
        <w:t>future terms of reference.</w:t>
      </w:r>
    </w:p>
    <w:p w:rsidR="00C57B69" w:rsidRPr="001A34AC" w:rsidRDefault="00C57B69" w:rsidP="004F2D6C">
      <w:pPr>
        <w:pStyle w:val="HChG"/>
      </w:pPr>
      <w:r w:rsidRPr="001A34AC">
        <w:tab/>
      </w:r>
      <w:r w:rsidR="004F2D6C">
        <w:t>XI</w:t>
      </w:r>
      <w:r w:rsidRPr="001A34AC">
        <w:t>.</w:t>
      </w:r>
      <w:r w:rsidRPr="001A34AC">
        <w:tab/>
        <w:t>Other business</w:t>
      </w:r>
    </w:p>
    <w:p w:rsidR="00C57B69" w:rsidRPr="004F2D6C" w:rsidRDefault="00E61662" w:rsidP="004F2D6C">
      <w:pPr>
        <w:pStyle w:val="SingleTxtG"/>
      </w:pPr>
      <w:r>
        <w:t>5</w:t>
      </w:r>
      <w:r w:rsidR="0007597C">
        <w:t>0</w:t>
      </w:r>
      <w:r w:rsidR="00F74939">
        <w:t>.</w:t>
      </w:r>
      <w:r w:rsidR="00F74939">
        <w:tab/>
      </w:r>
      <w:r w:rsidR="00C57B69" w:rsidRPr="004F2D6C">
        <w:t>There were no issues raised under this agenda item.</w:t>
      </w:r>
    </w:p>
    <w:p w:rsidR="00C57B69" w:rsidRPr="001A34AC" w:rsidRDefault="00C57B69" w:rsidP="004F2D6C">
      <w:pPr>
        <w:pStyle w:val="HChG"/>
        <w:rPr>
          <w:rStyle w:val="SingleTxtGChar"/>
          <w:szCs w:val="24"/>
        </w:rPr>
      </w:pPr>
      <w:r w:rsidRPr="001A34AC">
        <w:tab/>
      </w:r>
      <w:r w:rsidR="004F2D6C">
        <w:t>XII</w:t>
      </w:r>
      <w:r w:rsidRPr="001A34AC">
        <w:t>.</w:t>
      </w:r>
      <w:r w:rsidRPr="001A34AC">
        <w:tab/>
      </w:r>
      <w:r w:rsidRPr="001A34AC">
        <w:rPr>
          <w:rStyle w:val="SingleTxtGChar"/>
          <w:szCs w:val="24"/>
        </w:rPr>
        <w:t>Date of next session</w:t>
      </w:r>
    </w:p>
    <w:p w:rsidR="00C57B69" w:rsidRPr="004F2D6C" w:rsidRDefault="00E61662" w:rsidP="004F2D6C">
      <w:pPr>
        <w:pStyle w:val="SingleTxtG"/>
      </w:pPr>
      <w:r>
        <w:t>5</w:t>
      </w:r>
      <w:r w:rsidR="0007597C">
        <w:t>1</w:t>
      </w:r>
      <w:r w:rsidR="00F74939">
        <w:t>.</w:t>
      </w:r>
      <w:r w:rsidR="00F74939">
        <w:tab/>
      </w:r>
      <w:r w:rsidR="00C57B69" w:rsidRPr="004F2D6C">
        <w:t xml:space="preserve">The next session will take </w:t>
      </w:r>
      <w:r w:rsidR="00DA74CB" w:rsidRPr="004F2D6C">
        <w:t xml:space="preserve">place </w:t>
      </w:r>
      <w:r w:rsidR="00DA74CB">
        <w:t xml:space="preserve">from </w:t>
      </w:r>
      <w:r w:rsidR="00C57B69" w:rsidRPr="004F2D6C">
        <w:t>16</w:t>
      </w:r>
      <w:r w:rsidR="00DA74CB">
        <w:t xml:space="preserve"> to </w:t>
      </w:r>
      <w:r w:rsidR="00C57B69" w:rsidRPr="004F2D6C">
        <w:t>18 October 2019 in Geneva.</w:t>
      </w:r>
    </w:p>
    <w:p w:rsidR="00C57B69" w:rsidRPr="001A34AC" w:rsidRDefault="00C57B69" w:rsidP="004F2D6C">
      <w:pPr>
        <w:pStyle w:val="HChG"/>
      </w:pPr>
      <w:r w:rsidRPr="001A34AC">
        <w:tab/>
      </w:r>
      <w:r w:rsidR="004F2D6C">
        <w:t>XIII.</w:t>
      </w:r>
      <w:r w:rsidRPr="001A34AC">
        <w:tab/>
        <w:t xml:space="preserve">Election of </w:t>
      </w:r>
      <w:r w:rsidR="004B06D5">
        <w:t>O</w:t>
      </w:r>
      <w:r w:rsidRPr="001A34AC">
        <w:t>fficers</w:t>
      </w:r>
    </w:p>
    <w:p w:rsidR="00C57B69" w:rsidRPr="004F2D6C" w:rsidRDefault="00E61662" w:rsidP="004F2D6C">
      <w:pPr>
        <w:pStyle w:val="SingleTxtG"/>
      </w:pPr>
      <w:r>
        <w:t>5</w:t>
      </w:r>
      <w:r w:rsidR="0007597C">
        <w:t>2</w:t>
      </w:r>
      <w:r w:rsidR="00F74939">
        <w:t>.</w:t>
      </w:r>
      <w:r w:rsidR="00F74939">
        <w:tab/>
      </w:r>
      <w:r w:rsidR="00C57B69" w:rsidRPr="004F2D6C">
        <w:t xml:space="preserve">The Working Party elected its officers for the period November 2018 – October 2020. Mr. R. </w:t>
      </w:r>
      <w:proofErr w:type="spellStart"/>
      <w:r w:rsidR="00C57B69" w:rsidRPr="004F2D6C">
        <w:t>Symonenko</w:t>
      </w:r>
      <w:proofErr w:type="spellEnd"/>
      <w:r w:rsidR="00C57B69" w:rsidRPr="004F2D6C">
        <w:t xml:space="preserve"> from Ukraine (Chair), Mr. K. </w:t>
      </w:r>
      <w:proofErr w:type="spellStart"/>
      <w:r w:rsidR="00C57B69" w:rsidRPr="004F2D6C">
        <w:t>Lewczak</w:t>
      </w:r>
      <w:proofErr w:type="spellEnd"/>
      <w:r w:rsidR="00C57B69" w:rsidRPr="004F2D6C">
        <w:t xml:space="preserve"> from Poland (Vice-Chair) and Mr. D. de Groot from the Netherlands (Vice-Chair). </w:t>
      </w:r>
    </w:p>
    <w:p w:rsidR="00C57B69" w:rsidRPr="001A34AC" w:rsidRDefault="00C57B69" w:rsidP="004F2D6C">
      <w:pPr>
        <w:pStyle w:val="HChG"/>
        <w:rPr>
          <w:rStyle w:val="SingleTxtGChar"/>
          <w:szCs w:val="24"/>
        </w:rPr>
      </w:pPr>
      <w:r w:rsidRPr="001A34AC">
        <w:lastRenderedPageBreak/>
        <w:tab/>
      </w:r>
      <w:r w:rsidR="004F2D6C">
        <w:t>XIV</w:t>
      </w:r>
      <w:r w:rsidRPr="001A34AC">
        <w:t>.</w:t>
      </w:r>
      <w:r w:rsidRPr="001A34AC">
        <w:tab/>
      </w:r>
      <w:r w:rsidRPr="001A34AC">
        <w:rPr>
          <w:rStyle w:val="SingleTxtGChar"/>
          <w:szCs w:val="24"/>
        </w:rPr>
        <w:t>Adoption of the report</w:t>
      </w:r>
    </w:p>
    <w:p w:rsidR="00C57B69" w:rsidRPr="004F2D6C" w:rsidRDefault="00F74939" w:rsidP="004F2D6C">
      <w:pPr>
        <w:pStyle w:val="SingleTxtG"/>
      </w:pPr>
      <w:r>
        <w:t>5</w:t>
      </w:r>
      <w:r w:rsidR="002D27C1">
        <w:t>3</w:t>
      </w:r>
      <w:bookmarkStart w:id="3" w:name="_GoBack"/>
      <w:bookmarkEnd w:id="3"/>
      <w:r>
        <w:t>.</w:t>
      </w:r>
      <w:r>
        <w:tab/>
      </w:r>
      <w:r w:rsidR="00C57B69" w:rsidRPr="004F2D6C">
        <w:t>The Working Party adopted the report of this session.</w:t>
      </w:r>
    </w:p>
    <w:p w:rsidR="00C57B69" w:rsidRDefault="00C57B69">
      <w:pPr>
        <w:suppressAutoHyphens w:val="0"/>
        <w:spacing w:line="240" w:lineRule="auto"/>
        <w:rPr>
          <w:b/>
        </w:rPr>
      </w:pPr>
      <w:r>
        <w:rPr>
          <w:b/>
        </w:rPr>
        <w:br w:type="page"/>
      </w:r>
    </w:p>
    <w:p w:rsidR="00C57B69" w:rsidRPr="001A34AC" w:rsidRDefault="00C57B69" w:rsidP="00C57B69">
      <w:pPr>
        <w:pStyle w:val="HChG"/>
      </w:pPr>
      <w:r w:rsidRPr="001A34AC">
        <w:lastRenderedPageBreak/>
        <w:t xml:space="preserve">Annex </w:t>
      </w:r>
    </w:p>
    <w:p w:rsidR="00C57B69" w:rsidRPr="001A34AC" w:rsidRDefault="00C57B69" w:rsidP="00C57B69">
      <w:pPr>
        <w:pStyle w:val="HChG"/>
        <w:rPr>
          <w:bCs/>
        </w:rPr>
      </w:pPr>
      <w:r>
        <w:rPr>
          <w:bCs/>
        </w:rPr>
        <w:tab/>
      </w:r>
      <w:r>
        <w:rPr>
          <w:bCs/>
        </w:rPr>
        <w:tab/>
      </w:r>
      <w:r w:rsidRPr="001A34AC">
        <w:rPr>
          <w:bCs/>
        </w:rPr>
        <w:t xml:space="preserve">ITC Strategy until 2030 </w:t>
      </w:r>
    </w:p>
    <w:p w:rsidR="00C57B69" w:rsidRPr="001A34AC" w:rsidRDefault="00C57B69" w:rsidP="00C57B69">
      <w:pPr>
        <w:pStyle w:val="SingleTxtG"/>
        <w:rPr>
          <w:rFonts w:asciiTheme="majorBidi" w:hAnsiTheme="majorBidi" w:cstheme="majorBidi"/>
        </w:rPr>
      </w:pPr>
      <w:r w:rsidRPr="001A34AC">
        <w:t>The Working Party on Road Transport (SC.1</w:t>
      </w:r>
      <w:r w:rsidRPr="001A34AC">
        <w:rPr>
          <w:lang w:val="en-US"/>
        </w:rPr>
        <w:t xml:space="preserve">) supports the proposed strategy outlined in </w:t>
      </w:r>
      <w:r w:rsidRPr="001A34AC">
        <w:t xml:space="preserve">ECE/TRANS/2019/R.1 (ITC Strategy, draft zero). SC.1 also welcomes the opportunity to provide the following comments </w:t>
      </w:r>
      <w:r w:rsidR="00C67F43">
        <w:t>on</w:t>
      </w:r>
      <w:r w:rsidRPr="001A34AC">
        <w:t xml:space="preserve"> the strategy:</w:t>
      </w:r>
    </w:p>
    <w:p w:rsidR="00C57B69" w:rsidRPr="00F215F9" w:rsidRDefault="00C57B69" w:rsidP="00C57B69">
      <w:pPr>
        <w:pStyle w:val="Bullet1G"/>
      </w:pPr>
      <w:r w:rsidRPr="00F215F9">
        <w:t>The strategy appropriately captures modern transport scenarios and emerging issues, and UNECE’s role in assisting member States to address the latter;</w:t>
      </w:r>
    </w:p>
    <w:p w:rsidR="00C57B69" w:rsidRPr="001A34AC" w:rsidRDefault="00C57B69" w:rsidP="00C57B69">
      <w:pPr>
        <w:pStyle w:val="Bullet1G"/>
      </w:pPr>
      <w:r w:rsidRPr="001A34AC">
        <w:t>SC.1 supports and emphasizes the importance of digitalizing transport systems and documents for road safety, environmental issues, efficiency and security;</w:t>
      </w:r>
    </w:p>
    <w:p w:rsidR="00C57B69" w:rsidRPr="001A34AC" w:rsidRDefault="00C57B69" w:rsidP="00C57B69">
      <w:pPr>
        <w:pStyle w:val="Bullet1G"/>
      </w:pPr>
      <w:r w:rsidRPr="001A34AC">
        <w:t>SC.1 supports and highlights the necessity of developing existing transport (road) corridors;</w:t>
      </w:r>
    </w:p>
    <w:p w:rsidR="00C57B69" w:rsidRPr="001A34AC" w:rsidRDefault="00C57B69" w:rsidP="00C57B69">
      <w:pPr>
        <w:pStyle w:val="Bullet1G"/>
      </w:pPr>
      <w:r w:rsidRPr="001A34AC">
        <w:t>SC.1 supports and highlights the necessity of removing bottlenecks and obstacles through more effective implementation of U</w:t>
      </w:r>
      <w:r w:rsidR="00C67F43">
        <w:t xml:space="preserve">nited </w:t>
      </w:r>
      <w:r w:rsidRPr="001A34AC">
        <w:t>N</w:t>
      </w:r>
      <w:r w:rsidR="00C67F43">
        <w:t>ations</w:t>
      </w:r>
      <w:r w:rsidRPr="001A34AC">
        <w:t xml:space="preserve"> regulatory frameworks arising from international transport conventions and agreements;</w:t>
      </w:r>
    </w:p>
    <w:p w:rsidR="00C57B69" w:rsidRPr="001A34AC" w:rsidRDefault="00C57B69" w:rsidP="00C57B69">
      <w:pPr>
        <w:pStyle w:val="Bullet1G"/>
      </w:pPr>
      <w:r w:rsidRPr="001A34AC">
        <w:t xml:space="preserve">SC.1 recommends that the strategy considers and incorporates the benefits of the promotion of e-fuels or green fuels by motor vehicles which in turn reduce carbon dioxide and other greenhouse gas emissions; and </w:t>
      </w:r>
    </w:p>
    <w:p w:rsidR="00C57B69" w:rsidRPr="001A34AC" w:rsidRDefault="00C57B69" w:rsidP="00C57B69">
      <w:pPr>
        <w:pStyle w:val="Bullet1G"/>
      </w:pPr>
      <w:r w:rsidRPr="001A34AC">
        <w:t>SC.1 supports and recommends that the strategy reflects the necessity of ensuring affordable transport systems.</w:t>
      </w:r>
    </w:p>
    <w:p w:rsidR="00A6129C" w:rsidRPr="004F2D6C" w:rsidRDefault="004F2D6C" w:rsidP="004F2D6C">
      <w:pPr>
        <w:spacing w:before="240"/>
        <w:ind w:left="1134" w:right="1134"/>
        <w:jc w:val="center"/>
        <w:rPr>
          <w:b/>
          <w:u w:val="single"/>
        </w:rPr>
      </w:pPr>
      <w:r>
        <w:rPr>
          <w:b/>
          <w:u w:val="single"/>
        </w:rPr>
        <w:tab/>
      </w:r>
      <w:r>
        <w:rPr>
          <w:b/>
          <w:u w:val="single"/>
        </w:rPr>
        <w:tab/>
      </w:r>
      <w:r>
        <w:rPr>
          <w:b/>
          <w:u w:val="single"/>
        </w:rPr>
        <w:tab/>
      </w:r>
    </w:p>
    <w:sectPr w:rsidR="00A6129C" w:rsidRPr="004F2D6C" w:rsidSect="00222F32">
      <w:headerReference w:type="even" r:id="rId10"/>
      <w:headerReference w:type="default" r:id="rId11"/>
      <w:footerReference w:type="even" r:id="rId12"/>
      <w:footerReference w:type="default" r:id="rId13"/>
      <w:endnotePr>
        <w:numFmt w:val="decimal"/>
      </w:endnotePr>
      <w:pgSz w:w="11907" w:h="16840" w:code="9"/>
      <w:pgMar w:top="1701" w:right="992"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46E" w:rsidRDefault="006F146E"/>
  </w:endnote>
  <w:endnote w:type="continuationSeparator" w:id="0">
    <w:p w:rsidR="006F146E" w:rsidRDefault="006F146E"/>
  </w:endnote>
  <w:endnote w:type="continuationNotice" w:id="1">
    <w:p w:rsidR="006F146E" w:rsidRDefault="006F1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6E" w:rsidRPr="006F146E" w:rsidRDefault="006F146E" w:rsidP="006F146E">
    <w:pPr>
      <w:pStyle w:val="Footer"/>
      <w:tabs>
        <w:tab w:val="right" w:pos="9638"/>
      </w:tabs>
      <w:rPr>
        <w:sz w:val="18"/>
      </w:rPr>
    </w:pPr>
    <w:r w:rsidRPr="006F146E">
      <w:rPr>
        <w:b/>
        <w:sz w:val="18"/>
      </w:rPr>
      <w:fldChar w:fldCharType="begin"/>
    </w:r>
    <w:r w:rsidRPr="006F146E">
      <w:rPr>
        <w:b/>
        <w:sz w:val="18"/>
      </w:rPr>
      <w:instrText xml:space="preserve"> PAGE  \* MERGEFORMAT </w:instrText>
    </w:r>
    <w:r w:rsidRPr="006F146E">
      <w:rPr>
        <w:b/>
        <w:sz w:val="18"/>
      </w:rPr>
      <w:fldChar w:fldCharType="separate"/>
    </w:r>
    <w:r w:rsidRPr="006F146E">
      <w:rPr>
        <w:b/>
        <w:noProof/>
        <w:sz w:val="18"/>
      </w:rPr>
      <w:t>2</w:t>
    </w:r>
    <w:r w:rsidRPr="006F14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6E" w:rsidRPr="006F146E" w:rsidRDefault="006F146E" w:rsidP="006F146E">
    <w:pPr>
      <w:pStyle w:val="Footer"/>
      <w:tabs>
        <w:tab w:val="right" w:pos="9638"/>
      </w:tabs>
      <w:rPr>
        <w:b/>
        <w:sz w:val="18"/>
      </w:rPr>
    </w:pPr>
    <w:r>
      <w:tab/>
    </w:r>
    <w:r w:rsidRPr="006F146E">
      <w:rPr>
        <w:b/>
        <w:sz w:val="18"/>
      </w:rPr>
      <w:fldChar w:fldCharType="begin"/>
    </w:r>
    <w:r w:rsidRPr="006F146E">
      <w:rPr>
        <w:b/>
        <w:sz w:val="18"/>
      </w:rPr>
      <w:instrText xml:space="preserve"> PAGE  \* MERGEFORMAT </w:instrText>
    </w:r>
    <w:r w:rsidRPr="006F146E">
      <w:rPr>
        <w:b/>
        <w:sz w:val="18"/>
      </w:rPr>
      <w:fldChar w:fldCharType="separate"/>
    </w:r>
    <w:r w:rsidRPr="006F146E">
      <w:rPr>
        <w:b/>
        <w:noProof/>
        <w:sz w:val="18"/>
      </w:rPr>
      <w:t>3</w:t>
    </w:r>
    <w:r w:rsidRPr="006F146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46E" w:rsidRPr="000B175B" w:rsidRDefault="006F146E" w:rsidP="000B175B">
      <w:pPr>
        <w:tabs>
          <w:tab w:val="right" w:pos="2155"/>
        </w:tabs>
        <w:spacing w:after="80"/>
        <w:ind w:left="680"/>
        <w:rPr>
          <w:u w:val="single"/>
        </w:rPr>
      </w:pPr>
      <w:r>
        <w:rPr>
          <w:u w:val="single"/>
        </w:rPr>
        <w:tab/>
      </w:r>
    </w:p>
  </w:footnote>
  <w:footnote w:type="continuationSeparator" w:id="0">
    <w:p w:rsidR="006F146E" w:rsidRPr="00FC68B7" w:rsidRDefault="006F146E" w:rsidP="00FC68B7">
      <w:pPr>
        <w:tabs>
          <w:tab w:val="left" w:pos="2155"/>
        </w:tabs>
        <w:spacing w:after="80"/>
        <w:ind w:left="680"/>
        <w:rPr>
          <w:u w:val="single"/>
        </w:rPr>
      </w:pPr>
      <w:r>
        <w:rPr>
          <w:u w:val="single"/>
        </w:rPr>
        <w:tab/>
      </w:r>
    </w:p>
  </w:footnote>
  <w:footnote w:type="continuationNotice" w:id="1">
    <w:p w:rsidR="006F146E" w:rsidRDefault="006F1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6E" w:rsidRPr="006F146E" w:rsidRDefault="006F146E">
    <w:pPr>
      <w:pStyle w:val="Header"/>
    </w:pPr>
    <w:r>
      <w:t>ECE/TRANS/SC.1/410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46E" w:rsidRPr="006F146E" w:rsidRDefault="006F146E" w:rsidP="006F146E">
    <w:pPr>
      <w:pStyle w:val="Header"/>
      <w:jc w:val="right"/>
    </w:pPr>
    <w:r>
      <w:t>ECE/TRANS/SC.1/410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13445"/>
    <w:multiLevelType w:val="hybridMultilevel"/>
    <w:tmpl w:val="3B92D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7B"/>
    <w:rsid w:val="00032254"/>
    <w:rsid w:val="00046B1F"/>
    <w:rsid w:val="00050F6B"/>
    <w:rsid w:val="00057E97"/>
    <w:rsid w:val="000646F4"/>
    <w:rsid w:val="00072C8C"/>
    <w:rsid w:val="000733B5"/>
    <w:rsid w:val="0007597C"/>
    <w:rsid w:val="00081815"/>
    <w:rsid w:val="00086396"/>
    <w:rsid w:val="00087B22"/>
    <w:rsid w:val="00091B72"/>
    <w:rsid w:val="000931C0"/>
    <w:rsid w:val="000B0595"/>
    <w:rsid w:val="000B175B"/>
    <w:rsid w:val="000B3A0F"/>
    <w:rsid w:val="000B4EF7"/>
    <w:rsid w:val="000C2C03"/>
    <w:rsid w:val="000C2D2E"/>
    <w:rsid w:val="000C5ABF"/>
    <w:rsid w:val="000E0415"/>
    <w:rsid w:val="001103AA"/>
    <w:rsid w:val="00111D84"/>
    <w:rsid w:val="0011666B"/>
    <w:rsid w:val="00154CB3"/>
    <w:rsid w:val="00165F3A"/>
    <w:rsid w:val="001A4715"/>
    <w:rsid w:val="001B4B04"/>
    <w:rsid w:val="001C2134"/>
    <w:rsid w:val="001C6663"/>
    <w:rsid w:val="001C7895"/>
    <w:rsid w:val="001D0C8C"/>
    <w:rsid w:val="001D1419"/>
    <w:rsid w:val="001D26DF"/>
    <w:rsid w:val="001D3A03"/>
    <w:rsid w:val="001E6A0A"/>
    <w:rsid w:val="001E7B67"/>
    <w:rsid w:val="001F04CA"/>
    <w:rsid w:val="00202DA8"/>
    <w:rsid w:val="00211E0B"/>
    <w:rsid w:val="0022192B"/>
    <w:rsid w:val="00222F32"/>
    <w:rsid w:val="0024772E"/>
    <w:rsid w:val="00253A0A"/>
    <w:rsid w:val="00267F5F"/>
    <w:rsid w:val="00286B4D"/>
    <w:rsid w:val="002904B4"/>
    <w:rsid w:val="002A74D7"/>
    <w:rsid w:val="002B130E"/>
    <w:rsid w:val="002C2634"/>
    <w:rsid w:val="002D27C1"/>
    <w:rsid w:val="002D4643"/>
    <w:rsid w:val="002E0674"/>
    <w:rsid w:val="002F175C"/>
    <w:rsid w:val="00302E18"/>
    <w:rsid w:val="003145B2"/>
    <w:rsid w:val="003229D8"/>
    <w:rsid w:val="00352709"/>
    <w:rsid w:val="003619B5"/>
    <w:rsid w:val="00365763"/>
    <w:rsid w:val="00371178"/>
    <w:rsid w:val="0038622D"/>
    <w:rsid w:val="00392E47"/>
    <w:rsid w:val="00395092"/>
    <w:rsid w:val="003A6810"/>
    <w:rsid w:val="003B6357"/>
    <w:rsid w:val="003C2CC4"/>
    <w:rsid w:val="003D1847"/>
    <w:rsid w:val="003D4B23"/>
    <w:rsid w:val="003E130E"/>
    <w:rsid w:val="003F6C52"/>
    <w:rsid w:val="003F6EDD"/>
    <w:rsid w:val="00410C89"/>
    <w:rsid w:val="00412962"/>
    <w:rsid w:val="004141DE"/>
    <w:rsid w:val="00422E03"/>
    <w:rsid w:val="00426B9B"/>
    <w:rsid w:val="004325CB"/>
    <w:rsid w:val="004411B7"/>
    <w:rsid w:val="00442A83"/>
    <w:rsid w:val="0045495B"/>
    <w:rsid w:val="004561E5"/>
    <w:rsid w:val="00476696"/>
    <w:rsid w:val="0048397A"/>
    <w:rsid w:val="00485CBB"/>
    <w:rsid w:val="004866B7"/>
    <w:rsid w:val="004B06D5"/>
    <w:rsid w:val="004C2461"/>
    <w:rsid w:val="004C474D"/>
    <w:rsid w:val="004C6F1B"/>
    <w:rsid w:val="004C72B4"/>
    <w:rsid w:val="004C7462"/>
    <w:rsid w:val="004D5544"/>
    <w:rsid w:val="004D615F"/>
    <w:rsid w:val="004E77B2"/>
    <w:rsid w:val="004F2D6C"/>
    <w:rsid w:val="004F4BE9"/>
    <w:rsid w:val="00504B2D"/>
    <w:rsid w:val="005173E1"/>
    <w:rsid w:val="0052136D"/>
    <w:rsid w:val="00523AA7"/>
    <w:rsid w:val="0052775E"/>
    <w:rsid w:val="005420F2"/>
    <w:rsid w:val="00543D57"/>
    <w:rsid w:val="005628B6"/>
    <w:rsid w:val="005941EC"/>
    <w:rsid w:val="0059724D"/>
    <w:rsid w:val="005B3DB3"/>
    <w:rsid w:val="005B49E9"/>
    <w:rsid w:val="005B4E13"/>
    <w:rsid w:val="005C342F"/>
    <w:rsid w:val="005E2F20"/>
    <w:rsid w:val="005E6E93"/>
    <w:rsid w:val="005F7B75"/>
    <w:rsid w:val="005F7F30"/>
    <w:rsid w:val="006001EE"/>
    <w:rsid w:val="00605042"/>
    <w:rsid w:val="00611FC4"/>
    <w:rsid w:val="006176FB"/>
    <w:rsid w:val="00625E7B"/>
    <w:rsid w:val="00640B26"/>
    <w:rsid w:val="00652D0A"/>
    <w:rsid w:val="006556C9"/>
    <w:rsid w:val="00662BB6"/>
    <w:rsid w:val="00676606"/>
    <w:rsid w:val="00684C21"/>
    <w:rsid w:val="006A2530"/>
    <w:rsid w:val="006A636E"/>
    <w:rsid w:val="006C3589"/>
    <w:rsid w:val="006C747B"/>
    <w:rsid w:val="006D37AF"/>
    <w:rsid w:val="006D51D0"/>
    <w:rsid w:val="006D5FB9"/>
    <w:rsid w:val="006E2150"/>
    <w:rsid w:val="006E564B"/>
    <w:rsid w:val="006E7191"/>
    <w:rsid w:val="006F146E"/>
    <w:rsid w:val="00703577"/>
    <w:rsid w:val="007048FD"/>
    <w:rsid w:val="00705894"/>
    <w:rsid w:val="00706491"/>
    <w:rsid w:val="00711E18"/>
    <w:rsid w:val="00712600"/>
    <w:rsid w:val="007232FB"/>
    <w:rsid w:val="0072632A"/>
    <w:rsid w:val="00726728"/>
    <w:rsid w:val="007327D5"/>
    <w:rsid w:val="007440FA"/>
    <w:rsid w:val="00752A3A"/>
    <w:rsid w:val="007629C8"/>
    <w:rsid w:val="0077047D"/>
    <w:rsid w:val="00776C83"/>
    <w:rsid w:val="007B54BC"/>
    <w:rsid w:val="007B6BA5"/>
    <w:rsid w:val="007C3390"/>
    <w:rsid w:val="007C4F4B"/>
    <w:rsid w:val="007E01E9"/>
    <w:rsid w:val="007E63F3"/>
    <w:rsid w:val="007F0A15"/>
    <w:rsid w:val="007F6611"/>
    <w:rsid w:val="00804D0D"/>
    <w:rsid w:val="00811920"/>
    <w:rsid w:val="00815794"/>
    <w:rsid w:val="00815AD0"/>
    <w:rsid w:val="008242D7"/>
    <w:rsid w:val="008257B1"/>
    <w:rsid w:val="00832334"/>
    <w:rsid w:val="00843767"/>
    <w:rsid w:val="0085799B"/>
    <w:rsid w:val="00860279"/>
    <w:rsid w:val="008679D9"/>
    <w:rsid w:val="008878DE"/>
    <w:rsid w:val="008979B1"/>
    <w:rsid w:val="008A6B25"/>
    <w:rsid w:val="008A6C4F"/>
    <w:rsid w:val="008B2335"/>
    <w:rsid w:val="008D4316"/>
    <w:rsid w:val="008E0678"/>
    <w:rsid w:val="008E1249"/>
    <w:rsid w:val="008F31D2"/>
    <w:rsid w:val="00911766"/>
    <w:rsid w:val="009141A9"/>
    <w:rsid w:val="00917FDE"/>
    <w:rsid w:val="009223CA"/>
    <w:rsid w:val="00924080"/>
    <w:rsid w:val="00940F93"/>
    <w:rsid w:val="009635A7"/>
    <w:rsid w:val="009760F3"/>
    <w:rsid w:val="00976CFB"/>
    <w:rsid w:val="0099674C"/>
    <w:rsid w:val="009A0830"/>
    <w:rsid w:val="009A0E8D"/>
    <w:rsid w:val="009A649F"/>
    <w:rsid w:val="009B26E7"/>
    <w:rsid w:val="009D3D67"/>
    <w:rsid w:val="009E40AB"/>
    <w:rsid w:val="009F0DCB"/>
    <w:rsid w:val="00A00697"/>
    <w:rsid w:val="00A00A3F"/>
    <w:rsid w:val="00A01489"/>
    <w:rsid w:val="00A07472"/>
    <w:rsid w:val="00A3026E"/>
    <w:rsid w:val="00A338F1"/>
    <w:rsid w:val="00A35BE0"/>
    <w:rsid w:val="00A424DD"/>
    <w:rsid w:val="00A50B18"/>
    <w:rsid w:val="00A6129C"/>
    <w:rsid w:val="00A72F22"/>
    <w:rsid w:val="00A7360F"/>
    <w:rsid w:val="00A748A6"/>
    <w:rsid w:val="00A769F4"/>
    <w:rsid w:val="00A776B4"/>
    <w:rsid w:val="00A77CF0"/>
    <w:rsid w:val="00A857BB"/>
    <w:rsid w:val="00A91174"/>
    <w:rsid w:val="00A94361"/>
    <w:rsid w:val="00AA293C"/>
    <w:rsid w:val="00AB427A"/>
    <w:rsid w:val="00AF3989"/>
    <w:rsid w:val="00B30179"/>
    <w:rsid w:val="00B35AEF"/>
    <w:rsid w:val="00B421C1"/>
    <w:rsid w:val="00B464A8"/>
    <w:rsid w:val="00B5002C"/>
    <w:rsid w:val="00B55C71"/>
    <w:rsid w:val="00B56E4A"/>
    <w:rsid w:val="00B56E9C"/>
    <w:rsid w:val="00B64B1F"/>
    <w:rsid w:val="00B6553F"/>
    <w:rsid w:val="00B77D05"/>
    <w:rsid w:val="00B81206"/>
    <w:rsid w:val="00B81E12"/>
    <w:rsid w:val="00BA0573"/>
    <w:rsid w:val="00BB5976"/>
    <w:rsid w:val="00BC3FA0"/>
    <w:rsid w:val="00BC74E9"/>
    <w:rsid w:val="00BF68A8"/>
    <w:rsid w:val="00C11299"/>
    <w:rsid w:val="00C11A03"/>
    <w:rsid w:val="00C22C0C"/>
    <w:rsid w:val="00C4527F"/>
    <w:rsid w:val="00C463DD"/>
    <w:rsid w:val="00C4724C"/>
    <w:rsid w:val="00C57B69"/>
    <w:rsid w:val="00C629A0"/>
    <w:rsid w:val="00C64629"/>
    <w:rsid w:val="00C67F43"/>
    <w:rsid w:val="00C745C3"/>
    <w:rsid w:val="00C96DF2"/>
    <w:rsid w:val="00C97E53"/>
    <w:rsid w:val="00CB3E03"/>
    <w:rsid w:val="00CB4E79"/>
    <w:rsid w:val="00CD29B1"/>
    <w:rsid w:val="00CD4AA6"/>
    <w:rsid w:val="00CE409F"/>
    <w:rsid w:val="00CE4A8F"/>
    <w:rsid w:val="00CF0B12"/>
    <w:rsid w:val="00D141BE"/>
    <w:rsid w:val="00D2031B"/>
    <w:rsid w:val="00D248B6"/>
    <w:rsid w:val="00D25FE2"/>
    <w:rsid w:val="00D30A6D"/>
    <w:rsid w:val="00D32346"/>
    <w:rsid w:val="00D43252"/>
    <w:rsid w:val="00D46842"/>
    <w:rsid w:val="00D47EEA"/>
    <w:rsid w:val="00D7725F"/>
    <w:rsid w:val="00D773DF"/>
    <w:rsid w:val="00D95303"/>
    <w:rsid w:val="00D978C6"/>
    <w:rsid w:val="00DA3C1C"/>
    <w:rsid w:val="00DA74CB"/>
    <w:rsid w:val="00DC4C6F"/>
    <w:rsid w:val="00E046DF"/>
    <w:rsid w:val="00E27346"/>
    <w:rsid w:val="00E60D85"/>
    <w:rsid w:val="00E61662"/>
    <w:rsid w:val="00E66D41"/>
    <w:rsid w:val="00E71BC8"/>
    <w:rsid w:val="00E7260F"/>
    <w:rsid w:val="00E73F5D"/>
    <w:rsid w:val="00E77E4E"/>
    <w:rsid w:val="00E96630"/>
    <w:rsid w:val="00E97CAC"/>
    <w:rsid w:val="00EA688D"/>
    <w:rsid w:val="00ED7451"/>
    <w:rsid w:val="00ED7A2A"/>
    <w:rsid w:val="00EF1D7F"/>
    <w:rsid w:val="00F31E5F"/>
    <w:rsid w:val="00F55AE2"/>
    <w:rsid w:val="00F6100A"/>
    <w:rsid w:val="00F67405"/>
    <w:rsid w:val="00F74939"/>
    <w:rsid w:val="00F93781"/>
    <w:rsid w:val="00F951C0"/>
    <w:rsid w:val="00FA1F7C"/>
    <w:rsid w:val="00FA7D6D"/>
    <w:rsid w:val="00FB613B"/>
    <w:rsid w:val="00FC68B7"/>
    <w:rsid w:val="00FD3024"/>
    <w:rsid w:val="00FD3F98"/>
    <w:rsid w:val="00FE106A"/>
    <w:rsid w:val="00FE2894"/>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330A74"/>
  <w15:docId w15:val="{4ED58445-F108-4928-BCD2-F0304EA9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rsid w:val="009E40AB"/>
    <w:rPr>
      <w:lang w:eastAsia="en-US"/>
    </w:rPr>
  </w:style>
  <w:style w:type="character" w:customStyle="1" w:styleId="H1GChar">
    <w:name w:val="_ H_1_G Char"/>
    <w:link w:val="H1G"/>
    <w:rsid w:val="00C57B69"/>
    <w:rPr>
      <w:b/>
      <w:sz w:val="24"/>
      <w:lang w:eastAsia="en-US"/>
    </w:rPr>
  </w:style>
  <w:style w:type="paragraph" w:styleId="ListParagraph">
    <w:name w:val="List Paragraph"/>
    <w:basedOn w:val="Normal"/>
    <w:uiPriority w:val="34"/>
    <w:qFormat/>
    <w:rsid w:val="00C57B69"/>
    <w:pPr>
      <w:suppressAutoHyphens w:val="0"/>
      <w:spacing w:after="200" w:line="276" w:lineRule="auto"/>
      <w:ind w:left="720"/>
      <w:contextualSpacing/>
    </w:pPr>
    <w:rPr>
      <w:rFonts w:asciiTheme="minorHAnsi" w:eastAsiaTheme="minorEastAsia" w:hAnsiTheme="minorHAnsi" w:cstheme="minorBidi"/>
      <w:sz w:val="22"/>
      <w:szCs w:val="22"/>
      <w:lang w:val="en-US" w:eastAsia="zh-CN"/>
    </w:rPr>
  </w:style>
  <w:style w:type="character" w:styleId="UnresolvedMention">
    <w:name w:val="Unresolved Mention"/>
    <w:basedOn w:val="DefaultParagraphFont"/>
    <w:uiPriority w:val="99"/>
    <w:semiHidden/>
    <w:unhideWhenUsed/>
    <w:rsid w:val="003862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uri=uriserv:OJ.L_.2018.185.01.0016.01.ENG&amp;toc=OJ:L:2018:185:T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36B1-B95B-4333-AF71-EED919BE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857</TotalTime>
  <Pages>10</Pages>
  <Words>3080</Words>
  <Characters>17562</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99</cp:revision>
  <cp:lastPrinted>2018-10-31T14:56:00Z</cp:lastPrinted>
  <dcterms:created xsi:type="dcterms:W3CDTF">2018-10-18T14:24:00Z</dcterms:created>
  <dcterms:modified xsi:type="dcterms:W3CDTF">2018-11-07T13:23:00Z</dcterms:modified>
</cp:coreProperties>
</file>