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503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503C8" w:rsidP="00F503C8">
            <w:pPr>
              <w:jc w:val="right"/>
            </w:pPr>
            <w:r w:rsidRPr="00F503C8">
              <w:rPr>
                <w:sz w:val="40"/>
              </w:rPr>
              <w:t>ECE</w:t>
            </w:r>
            <w:r>
              <w:t>/TRANS/SC.1/408</w:t>
            </w:r>
          </w:p>
        </w:tc>
      </w:tr>
      <w:tr w:rsidR="002D5AAC" w:rsidRPr="00DF7D9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503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503C8" w:rsidRDefault="00F503C8" w:rsidP="00F503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November 2017</w:t>
            </w:r>
          </w:p>
          <w:p w:rsidR="00F503C8" w:rsidRDefault="00F503C8" w:rsidP="00F503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503C8" w:rsidRPr="008D53B6" w:rsidRDefault="00F503C8" w:rsidP="00F503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503C8" w:rsidRPr="00F503C8" w:rsidRDefault="00F503C8" w:rsidP="00F503C8">
      <w:pPr>
        <w:spacing w:before="120" w:after="120"/>
        <w:rPr>
          <w:sz w:val="28"/>
          <w:szCs w:val="28"/>
        </w:rPr>
      </w:pPr>
      <w:r w:rsidRPr="00F503C8">
        <w:rPr>
          <w:sz w:val="28"/>
          <w:szCs w:val="28"/>
        </w:rPr>
        <w:t>Комитет по внутреннему транспорту</w:t>
      </w:r>
    </w:p>
    <w:p w:rsidR="00F503C8" w:rsidRPr="00F503C8" w:rsidRDefault="00F503C8" w:rsidP="00F503C8">
      <w:pPr>
        <w:spacing w:after="120"/>
        <w:rPr>
          <w:b/>
          <w:bCs/>
          <w:sz w:val="24"/>
          <w:szCs w:val="24"/>
        </w:rPr>
      </w:pPr>
      <w:r w:rsidRPr="00F503C8">
        <w:rPr>
          <w:b/>
          <w:bCs/>
          <w:sz w:val="24"/>
          <w:szCs w:val="24"/>
        </w:rPr>
        <w:t>Рабочая группа по автомобильному транспорту</w:t>
      </w:r>
    </w:p>
    <w:p w:rsidR="00F503C8" w:rsidRPr="00F503C8" w:rsidRDefault="00F503C8" w:rsidP="00F503C8">
      <w:pPr>
        <w:rPr>
          <w:b/>
        </w:rPr>
      </w:pPr>
      <w:r w:rsidRPr="00F503C8">
        <w:rPr>
          <w:b/>
          <w:bCs/>
        </w:rPr>
        <w:t>112-я сессия</w:t>
      </w:r>
    </w:p>
    <w:p w:rsidR="00E12C5F" w:rsidRPr="00F503C8" w:rsidRDefault="00F503C8" w:rsidP="00F503C8">
      <w:r w:rsidRPr="00F503C8">
        <w:t>Женева, 17–18 октября 2017 года</w:t>
      </w:r>
    </w:p>
    <w:p w:rsidR="00F503C8" w:rsidRPr="00F503C8" w:rsidRDefault="00F503C8" w:rsidP="00F503C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F503C8">
        <w:t>Доклад Рабочей группы по автомобильному транспорту о работе ее 112-й сессии</w:t>
      </w:r>
    </w:p>
    <w:p w:rsidR="00F503C8" w:rsidRDefault="00F503C8" w:rsidP="006132A9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F503C8" w:rsidRDefault="00F503C8" w:rsidP="006132A9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proofErr w:type="gramStart"/>
      <w:r>
        <w:rPr>
          <w:i/>
          <w:sz w:val="18"/>
        </w:rPr>
        <w:tab/>
        <w:t>С</w:t>
      </w:r>
      <w:proofErr w:type="gramEnd"/>
      <w:r>
        <w:rPr>
          <w:i/>
          <w:sz w:val="18"/>
        </w:rPr>
        <w:t>тр.</w:t>
      </w:r>
    </w:p>
    <w:p w:rsidR="00F503C8" w:rsidRDefault="00F503C8" w:rsidP="006132A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F7D90">
        <w:tab/>
      </w:r>
      <w:r>
        <w:rPr>
          <w:lang w:val="en-US"/>
        </w:rPr>
        <w:t>I</w:t>
      </w:r>
      <w:r w:rsidRPr="00DF7D90">
        <w:t>.</w:t>
      </w:r>
      <w:r w:rsidRPr="00DF7D90">
        <w:tab/>
      </w:r>
      <w:r>
        <w:t>Участие</w:t>
      </w:r>
      <w:r>
        <w:tab/>
      </w:r>
      <w:r>
        <w:tab/>
      </w:r>
      <w:r>
        <w:tab/>
        <w:t>1–4</w:t>
      </w:r>
      <w:r>
        <w:tab/>
      </w:r>
      <w:r w:rsidR="00350C7A">
        <w:t>3</w:t>
      </w:r>
    </w:p>
    <w:p w:rsidR="00F503C8" w:rsidRPr="00F503C8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F503C8">
        <w:rPr>
          <w:lang w:val="en-GB"/>
        </w:rPr>
        <w:t>II</w:t>
      </w:r>
      <w:r w:rsidRPr="00F503C8">
        <w:t>.</w:t>
      </w:r>
      <w:r w:rsidRPr="00F503C8">
        <w:tab/>
        <w:t>Утверждение повестки дня (пункт 1 повестки дня)</w:t>
      </w:r>
      <w:r w:rsidRPr="00F503C8">
        <w:tab/>
      </w:r>
      <w:r w:rsidRPr="00F503C8">
        <w:tab/>
        <w:t>5</w:t>
      </w:r>
      <w:r w:rsidRPr="00F503C8">
        <w:tab/>
        <w:t>3</w:t>
      </w:r>
    </w:p>
    <w:p w:rsidR="00F503C8" w:rsidRPr="00F503C8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F503C8">
        <w:tab/>
      </w:r>
      <w:r w:rsidRPr="00F503C8">
        <w:rPr>
          <w:lang w:val="en-GB"/>
        </w:rPr>
        <w:t>III</w:t>
      </w:r>
      <w:r w:rsidRPr="00F503C8">
        <w:t>.</w:t>
      </w:r>
      <w:r w:rsidRPr="00F503C8">
        <w:tab/>
        <w:t xml:space="preserve">Деятельность, представляющая интерес для Рабочей группы </w:t>
      </w:r>
      <w:r w:rsidRPr="00F503C8">
        <w:br/>
        <w:t>(пункт 2 повестки дня)</w:t>
      </w:r>
      <w:r w:rsidRPr="00F503C8">
        <w:tab/>
      </w:r>
      <w:r w:rsidRPr="00F503C8">
        <w:tab/>
        <w:t>6</w:t>
      </w:r>
      <w:r w:rsidR="008109C4" w:rsidRPr="008109C4">
        <w:t>–</w:t>
      </w:r>
      <w:r w:rsidRPr="00F503C8">
        <w:t>13</w:t>
      </w:r>
      <w:r w:rsidRPr="00F503C8">
        <w:tab/>
        <w:t>3</w:t>
      </w:r>
    </w:p>
    <w:p w:rsidR="00F503C8" w:rsidRPr="008109C4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503C8">
        <w:tab/>
      </w:r>
      <w:r w:rsidRPr="00F503C8">
        <w:tab/>
      </w:r>
      <w:r w:rsidRPr="00F503C8">
        <w:rPr>
          <w:lang w:val="en-GB"/>
        </w:rPr>
        <w:t>A</w:t>
      </w:r>
      <w:r w:rsidRPr="008109C4">
        <w:t>.</w:t>
      </w:r>
      <w:r w:rsidRPr="008109C4">
        <w:tab/>
      </w:r>
      <w:r w:rsidRPr="00F503C8">
        <w:t>Национальные делегации</w:t>
      </w:r>
      <w:r w:rsidRPr="008109C4">
        <w:tab/>
      </w:r>
      <w:r w:rsidRPr="008109C4">
        <w:tab/>
        <w:t>6</w:t>
      </w:r>
      <w:r w:rsidRPr="008109C4">
        <w:tab/>
        <w:t>3</w:t>
      </w:r>
    </w:p>
    <w:p w:rsidR="00F503C8" w:rsidRPr="008109C4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109C4">
        <w:tab/>
      </w:r>
      <w:r w:rsidRPr="008109C4">
        <w:tab/>
      </w:r>
      <w:r w:rsidRPr="00F503C8">
        <w:rPr>
          <w:lang w:val="en-GB"/>
        </w:rPr>
        <w:t>B</w:t>
      </w:r>
      <w:r w:rsidRPr="008109C4">
        <w:t>.</w:t>
      </w:r>
      <w:r w:rsidRPr="008109C4">
        <w:tab/>
      </w:r>
      <w:r w:rsidR="008109C4" w:rsidRPr="008109C4">
        <w:t>Международные организации</w:t>
      </w:r>
      <w:r w:rsidRPr="008109C4">
        <w:tab/>
      </w:r>
      <w:r w:rsidRPr="008109C4">
        <w:tab/>
        <w:t>7</w:t>
      </w:r>
      <w:r w:rsidR="008109C4" w:rsidRPr="008109C4">
        <w:t>–</w:t>
      </w:r>
      <w:r w:rsidRPr="008109C4">
        <w:t>8</w:t>
      </w:r>
      <w:r w:rsidRPr="008109C4">
        <w:tab/>
        <w:t>3</w:t>
      </w:r>
    </w:p>
    <w:p w:rsidR="00F503C8" w:rsidRPr="008109C4" w:rsidRDefault="00F503C8" w:rsidP="008109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8109C4">
        <w:tab/>
      </w:r>
      <w:r w:rsidRPr="008109C4">
        <w:tab/>
      </w:r>
      <w:r w:rsidRPr="00F503C8">
        <w:rPr>
          <w:lang w:val="en-GB"/>
        </w:rPr>
        <w:t>C</w:t>
      </w:r>
      <w:r w:rsidRPr="008109C4">
        <w:t>.</w:t>
      </w:r>
      <w:r w:rsidRPr="008109C4">
        <w:tab/>
      </w:r>
      <w:r w:rsidR="008109C4" w:rsidRPr="008109C4">
        <w:t xml:space="preserve">Деятельность органов ЕЭК ООН и других организаций системы </w:t>
      </w:r>
      <w:r w:rsidR="008109C4" w:rsidRPr="008109C4">
        <w:br/>
        <w:t>Организации Объединенных Наций</w:t>
      </w:r>
      <w:r w:rsidRPr="008109C4">
        <w:tab/>
      </w:r>
      <w:r w:rsidRPr="008109C4">
        <w:tab/>
        <w:t>9</w:t>
      </w:r>
      <w:r w:rsidR="008109C4" w:rsidRPr="008109C4">
        <w:t>–</w:t>
      </w:r>
      <w:r w:rsidRPr="008109C4">
        <w:t>13</w:t>
      </w:r>
      <w:r w:rsidRPr="008109C4">
        <w:tab/>
        <w:t>3</w:t>
      </w:r>
    </w:p>
    <w:p w:rsidR="00F503C8" w:rsidRPr="008109C4" w:rsidRDefault="00F503C8" w:rsidP="008109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8109C4">
        <w:tab/>
      </w:r>
      <w:r w:rsidRPr="00F503C8">
        <w:rPr>
          <w:lang w:val="en-GB"/>
        </w:rPr>
        <w:t>IV</w:t>
      </w:r>
      <w:r w:rsidRPr="008109C4">
        <w:t>.</w:t>
      </w:r>
      <w:r w:rsidRPr="008109C4">
        <w:tab/>
      </w:r>
      <w:r w:rsidR="008109C4" w:rsidRPr="008109C4">
        <w:t xml:space="preserve">Европейское соглашение, касающееся работы экипажей </w:t>
      </w:r>
      <w:r w:rsidR="00DF7D90" w:rsidRPr="00DF7D90">
        <w:br/>
      </w:r>
      <w:r w:rsidR="008109C4" w:rsidRPr="008109C4">
        <w:t xml:space="preserve">транспортных средств, производящих международные </w:t>
      </w:r>
      <w:r w:rsidR="00DF7D90" w:rsidRPr="00DF7D90">
        <w:br/>
      </w:r>
      <w:r w:rsidR="008109C4" w:rsidRPr="008109C4">
        <w:t>автомобильные перевозки (ЕСТР) (пункт 3 повестки дня)</w:t>
      </w:r>
      <w:r w:rsidRPr="008109C4">
        <w:tab/>
      </w:r>
      <w:r w:rsidRPr="008109C4">
        <w:tab/>
        <w:t>14</w:t>
      </w:r>
      <w:r w:rsidR="008109C4" w:rsidRPr="008109C4">
        <w:t>–</w:t>
      </w:r>
      <w:r w:rsidRPr="008109C4">
        <w:t>24</w:t>
      </w:r>
      <w:r w:rsidRPr="008109C4">
        <w:tab/>
        <w:t>4</w:t>
      </w:r>
    </w:p>
    <w:p w:rsidR="00F503C8" w:rsidRPr="008109C4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109C4">
        <w:tab/>
      </w:r>
      <w:r w:rsidRPr="008109C4">
        <w:tab/>
      </w:r>
      <w:r w:rsidRPr="00F503C8">
        <w:rPr>
          <w:lang w:val="en-GB"/>
        </w:rPr>
        <w:t>A</w:t>
      </w:r>
      <w:r w:rsidRPr="008109C4">
        <w:t>.</w:t>
      </w:r>
      <w:r w:rsidRPr="008109C4">
        <w:tab/>
      </w:r>
      <w:r w:rsidR="008109C4" w:rsidRPr="008109C4">
        <w:t>Статус Соглашения</w:t>
      </w:r>
      <w:r w:rsidRPr="008109C4">
        <w:tab/>
      </w:r>
      <w:r w:rsidRPr="008109C4">
        <w:tab/>
        <w:t>14</w:t>
      </w:r>
      <w:r w:rsidR="008109C4" w:rsidRPr="008109C4">
        <w:t>–</w:t>
      </w:r>
      <w:r w:rsidRPr="008109C4">
        <w:t>19</w:t>
      </w:r>
      <w:r w:rsidRPr="008109C4">
        <w:tab/>
        <w:t>4</w:t>
      </w:r>
    </w:p>
    <w:p w:rsidR="00F503C8" w:rsidRPr="008109C4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109C4">
        <w:tab/>
      </w:r>
      <w:r w:rsidRPr="008109C4">
        <w:tab/>
      </w:r>
      <w:r w:rsidRPr="00F503C8">
        <w:rPr>
          <w:lang w:val="en-GB"/>
        </w:rPr>
        <w:t>B</w:t>
      </w:r>
      <w:r w:rsidRPr="008109C4">
        <w:t>.</w:t>
      </w:r>
      <w:r w:rsidRPr="008109C4">
        <w:tab/>
      </w:r>
      <w:r w:rsidR="008109C4" w:rsidRPr="008109C4">
        <w:t>Группа экспертов по ЕСТР</w:t>
      </w:r>
      <w:r w:rsidRPr="008109C4">
        <w:tab/>
      </w:r>
      <w:r w:rsidRPr="008109C4">
        <w:tab/>
        <w:t>20</w:t>
      </w:r>
      <w:r w:rsidR="008109C4" w:rsidRPr="008109C4">
        <w:t>–</w:t>
      </w:r>
      <w:r w:rsidRPr="008109C4">
        <w:t>24</w:t>
      </w:r>
      <w:r w:rsidRPr="008109C4">
        <w:tab/>
        <w:t>5</w:t>
      </w:r>
    </w:p>
    <w:p w:rsidR="00F503C8" w:rsidRPr="008109C4" w:rsidRDefault="00F503C8" w:rsidP="008109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8109C4">
        <w:tab/>
      </w:r>
      <w:r w:rsidRPr="00F503C8">
        <w:rPr>
          <w:lang w:val="en-GB"/>
        </w:rPr>
        <w:t>V</w:t>
      </w:r>
      <w:r w:rsidRPr="00DF7D90">
        <w:t xml:space="preserve">. </w:t>
      </w:r>
      <w:r w:rsidRPr="00DF7D90">
        <w:tab/>
      </w:r>
      <w:r w:rsidR="008109C4" w:rsidRPr="008109C4">
        <w:t xml:space="preserve">Европейское соглашение о международных автомагистралях (СМА) </w:t>
      </w:r>
      <w:r w:rsidR="008109C4" w:rsidRPr="008109C4">
        <w:br/>
        <w:t>(пункт 4 повестки дня)</w:t>
      </w:r>
      <w:r w:rsidRPr="008109C4">
        <w:tab/>
      </w:r>
      <w:r w:rsidR="008109C4" w:rsidRPr="008109C4">
        <w:tab/>
      </w:r>
      <w:r w:rsidRPr="008109C4">
        <w:t>25</w:t>
      </w:r>
      <w:r w:rsidR="008109C4" w:rsidRPr="008109C4">
        <w:t>–</w:t>
      </w:r>
      <w:r w:rsidRPr="008109C4">
        <w:t>26</w:t>
      </w:r>
      <w:r w:rsidRPr="008109C4">
        <w:tab/>
        <w:t>6</w:t>
      </w:r>
    </w:p>
    <w:p w:rsidR="00F503C8" w:rsidRPr="008109C4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109C4">
        <w:tab/>
      </w:r>
      <w:r w:rsidRPr="008109C4">
        <w:tab/>
      </w:r>
      <w:r w:rsidRPr="00F503C8">
        <w:rPr>
          <w:lang w:val="en-GB"/>
        </w:rPr>
        <w:t>A</w:t>
      </w:r>
      <w:r w:rsidRPr="008109C4">
        <w:t>.</w:t>
      </w:r>
      <w:r w:rsidRPr="008109C4">
        <w:tab/>
      </w:r>
      <w:r w:rsidR="008109C4" w:rsidRPr="008109C4">
        <w:t>Статус Соглашения</w:t>
      </w:r>
      <w:r w:rsidRPr="008109C4">
        <w:tab/>
      </w:r>
      <w:r w:rsidRPr="008109C4">
        <w:tab/>
        <w:t>25</w:t>
      </w:r>
      <w:r w:rsidRPr="008109C4">
        <w:tab/>
        <w:t>6</w:t>
      </w:r>
    </w:p>
    <w:p w:rsidR="00F503C8" w:rsidRPr="00DF7D90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109C4">
        <w:tab/>
      </w:r>
      <w:r w:rsidRPr="008109C4">
        <w:tab/>
      </w:r>
      <w:r w:rsidRPr="00F503C8">
        <w:rPr>
          <w:lang w:val="en-GB"/>
        </w:rPr>
        <w:t>B</w:t>
      </w:r>
      <w:r w:rsidRPr="008109C4">
        <w:t>.</w:t>
      </w:r>
      <w:r w:rsidRPr="008109C4">
        <w:tab/>
      </w:r>
      <w:r w:rsidR="008109C4" w:rsidRPr="008109C4">
        <w:t>Поправки к Соглашению</w:t>
      </w:r>
      <w:r w:rsidRPr="008109C4">
        <w:tab/>
      </w:r>
      <w:r w:rsidRPr="008109C4">
        <w:tab/>
      </w:r>
      <w:r w:rsidRPr="00DF7D90">
        <w:t>26</w:t>
      </w:r>
      <w:r w:rsidRPr="00DF7D90">
        <w:tab/>
        <w:t>6</w:t>
      </w:r>
    </w:p>
    <w:p w:rsidR="00F503C8" w:rsidRPr="008109C4" w:rsidRDefault="00F503C8" w:rsidP="008109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F7D90">
        <w:tab/>
      </w:r>
      <w:r w:rsidRPr="00F503C8">
        <w:rPr>
          <w:lang w:val="en-GB"/>
        </w:rPr>
        <w:t>VI</w:t>
      </w:r>
      <w:r w:rsidRPr="008109C4">
        <w:t>.</w:t>
      </w:r>
      <w:r w:rsidRPr="008109C4">
        <w:tab/>
      </w:r>
      <w:r w:rsidR="008109C4" w:rsidRPr="008109C4">
        <w:t xml:space="preserve">Проект Трансъевропейской магистрали Север−Юг (ТЕА) </w:t>
      </w:r>
      <w:r w:rsidR="008109C4" w:rsidRPr="008109C4">
        <w:br/>
        <w:t>(пункт 5 повестки дня)</w:t>
      </w:r>
      <w:r w:rsidRPr="008109C4">
        <w:tab/>
      </w:r>
      <w:r w:rsidRPr="008109C4">
        <w:tab/>
        <w:t>27</w:t>
      </w:r>
      <w:r w:rsidRPr="008109C4">
        <w:tab/>
        <w:t>6</w:t>
      </w:r>
    </w:p>
    <w:p w:rsidR="00F503C8" w:rsidRPr="008109C4" w:rsidRDefault="00F503C8" w:rsidP="008109C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8109C4">
        <w:tab/>
      </w:r>
      <w:r w:rsidRPr="00F503C8">
        <w:rPr>
          <w:lang w:val="en-GB"/>
        </w:rPr>
        <w:t>VII</w:t>
      </w:r>
      <w:r w:rsidRPr="008109C4">
        <w:t>.</w:t>
      </w:r>
      <w:r w:rsidRPr="008109C4">
        <w:tab/>
      </w:r>
      <w:r w:rsidR="008109C4" w:rsidRPr="008109C4">
        <w:t xml:space="preserve">Конвенция о договоре международной дорожной перевозки грузов </w:t>
      </w:r>
      <w:r w:rsidR="008109C4" w:rsidRPr="008109C4">
        <w:br/>
        <w:t>(КДПГ) (пункт 6 повестки дня)</w:t>
      </w:r>
      <w:r w:rsidRPr="008109C4">
        <w:tab/>
      </w:r>
      <w:r w:rsidRPr="008109C4">
        <w:tab/>
      </w:r>
      <w:r w:rsidR="008109C4" w:rsidRPr="008109C4">
        <w:t>28–</w:t>
      </w:r>
      <w:r w:rsidRPr="008109C4">
        <w:t>33</w:t>
      </w:r>
      <w:r w:rsidRPr="008109C4">
        <w:tab/>
      </w:r>
      <w:r w:rsidR="00350C7A">
        <w:t>7</w:t>
      </w:r>
    </w:p>
    <w:p w:rsidR="00F503C8" w:rsidRPr="008109C4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109C4">
        <w:tab/>
      </w:r>
      <w:r w:rsidRPr="008109C4">
        <w:tab/>
      </w:r>
      <w:r w:rsidRPr="00F503C8">
        <w:rPr>
          <w:lang w:val="en-GB"/>
        </w:rPr>
        <w:t>A</w:t>
      </w:r>
      <w:r w:rsidRPr="008109C4">
        <w:t>.</w:t>
      </w:r>
      <w:r w:rsidRPr="008109C4">
        <w:tab/>
      </w:r>
      <w:r w:rsidR="008109C4" w:rsidRPr="008109C4">
        <w:t>Статус Конвенции</w:t>
      </w:r>
      <w:r w:rsidRPr="008109C4">
        <w:tab/>
      </w:r>
      <w:r w:rsidRPr="008109C4">
        <w:tab/>
        <w:t>28</w:t>
      </w:r>
      <w:r w:rsidRPr="008109C4">
        <w:tab/>
      </w:r>
      <w:r w:rsidR="00350C7A">
        <w:t>7</w:t>
      </w:r>
    </w:p>
    <w:p w:rsidR="00F503C8" w:rsidRPr="008109C4" w:rsidRDefault="00F503C8" w:rsidP="008109C4">
      <w:pPr>
        <w:tabs>
          <w:tab w:val="right" w:pos="850"/>
          <w:tab w:val="left" w:pos="1134"/>
          <w:tab w:val="left" w:pos="1560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8109C4">
        <w:lastRenderedPageBreak/>
        <w:tab/>
      </w:r>
      <w:r w:rsidRPr="008109C4">
        <w:tab/>
      </w:r>
      <w:r w:rsidRPr="00F503C8">
        <w:rPr>
          <w:lang w:val="en-GB"/>
        </w:rPr>
        <w:t>B</w:t>
      </w:r>
      <w:r w:rsidRPr="008109C4">
        <w:t>.</w:t>
      </w:r>
      <w:r w:rsidRPr="008109C4">
        <w:tab/>
      </w:r>
      <w:r w:rsidR="008109C4" w:rsidRPr="008109C4">
        <w:t xml:space="preserve">Протокол к Конвенции о договоре международной дорожной </w:t>
      </w:r>
      <w:r w:rsidR="008109C4" w:rsidRPr="008109C4">
        <w:br/>
        <w:t>перевозки грузов (КДПГ)</w:t>
      </w:r>
      <w:r w:rsidRPr="008109C4">
        <w:tab/>
      </w:r>
      <w:r w:rsidRPr="008109C4">
        <w:tab/>
        <w:t>29</w:t>
      </w:r>
      <w:r w:rsidRPr="008109C4">
        <w:tab/>
      </w:r>
      <w:r w:rsidR="00350C7A">
        <w:t>7</w:t>
      </w:r>
    </w:p>
    <w:p w:rsidR="00F503C8" w:rsidRPr="008109C4" w:rsidRDefault="00F503C8" w:rsidP="008109C4">
      <w:pPr>
        <w:tabs>
          <w:tab w:val="right" w:pos="850"/>
          <w:tab w:val="left" w:pos="1134"/>
          <w:tab w:val="left" w:pos="1560"/>
          <w:tab w:val="left" w:pos="1984"/>
          <w:tab w:val="left" w:leader="dot" w:pos="7654"/>
          <w:tab w:val="right" w:pos="8929"/>
          <w:tab w:val="right" w:pos="9638"/>
        </w:tabs>
        <w:spacing w:after="120"/>
        <w:ind w:left="1560" w:hanging="1560"/>
      </w:pPr>
      <w:r w:rsidRPr="008109C4">
        <w:tab/>
      </w:r>
      <w:r w:rsidRPr="008109C4">
        <w:tab/>
      </w:r>
      <w:r w:rsidRPr="00F503C8">
        <w:rPr>
          <w:lang w:val="en-GB"/>
        </w:rPr>
        <w:t>C</w:t>
      </w:r>
      <w:r w:rsidRPr="008109C4">
        <w:t>.</w:t>
      </w:r>
      <w:r w:rsidRPr="008109C4">
        <w:tab/>
      </w:r>
      <w:r w:rsidR="008109C4" w:rsidRPr="008109C4">
        <w:t xml:space="preserve">Дополнительный протокол к КДПГ, касающийся электронной </w:t>
      </w:r>
      <w:r w:rsidR="008109C4" w:rsidRPr="008109C4">
        <w:br/>
        <w:t>накладной</w:t>
      </w:r>
      <w:r w:rsidRPr="008109C4">
        <w:tab/>
      </w:r>
      <w:r w:rsidR="008109C4" w:rsidRPr="008109C4">
        <w:tab/>
      </w:r>
      <w:r w:rsidRPr="008109C4">
        <w:t>30</w:t>
      </w:r>
      <w:r w:rsidR="008109C4" w:rsidRPr="008109C4">
        <w:t>–</w:t>
      </w:r>
      <w:r w:rsidRPr="008109C4">
        <w:t>33</w:t>
      </w:r>
      <w:r w:rsidRPr="008109C4">
        <w:tab/>
      </w:r>
      <w:r w:rsidR="00350C7A">
        <w:t>7</w:t>
      </w:r>
    </w:p>
    <w:p w:rsidR="00F503C8" w:rsidRPr="008109C4" w:rsidRDefault="00F503C8" w:rsidP="008B1F7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8109C4">
        <w:tab/>
      </w:r>
      <w:r w:rsidRPr="00F503C8">
        <w:rPr>
          <w:lang w:val="en-GB"/>
        </w:rPr>
        <w:t>VIII</w:t>
      </w:r>
      <w:r w:rsidRPr="00DF7D90">
        <w:t>.</w:t>
      </w:r>
      <w:r w:rsidRPr="00DF7D90">
        <w:tab/>
      </w:r>
      <w:r w:rsidR="008109C4" w:rsidRPr="008109C4">
        <w:t xml:space="preserve">Облегчение международных автомобильных перевозок </w:t>
      </w:r>
      <w:r w:rsidR="008B1F7B" w:rsidRPr="008B1F7B">
        <w:br/>
      </w:r>
      <w:r w:rsidR="008109C4" w:rsidRPr="008109C4">
        <w:t>(пункт 7 повестки дня)</w:t>
      </w:r>
      <w:r w:rsidRPr="008109C4">
        <w:tab/>
      </w:r>
      <w:r w:rsidRPr="008109C4">
        <w:tab/>
        <w:t>34</w:t>
      </w:r>
      <w:r w:rsidR="008109C4" w:rsidRPr="008109C4">
        <w:t>–</w:t>
      </w:r>
      <w:r w:rsidRPr="008109C4">
        <w:t>42</w:t>
      </w:r>
      <w:r w:rsidRPr="008109C4">
        <w:tab/>
      </w:r>
      <w:r w:rsidR="00350C7A">
        <w:t>8</w:t>
      </w:r>
    </w:p>
    <w:p w:rsidR="00F503C8" w:rsidRPr="008B1F7B" w:rsidRDefault="00F503C8" w:rsidP="008B1F7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8109C4">
        <w:tab/>
      </w:r>
      <w:r w:rsidRPr="008109C4">
        <w:tab/>
      </w:r>
      <w:r w:rsidRPr="00F503C8">
        <w:rPr>
          <w:lang w:val="en-GB"/>
        </w:rPr>
        <w:t>A</w:t>
      </w:r>
      <w:r w:rsidRPr="008B1F7B">
        <w:t>.</w:t>
      </w:r>
      <w:r w:rsidRPr="008B1F7B">
        <w:tab/>
      </w:r>
      <w:r w:rsidR="008B1F7B" w:rsidRPr="008B1F7B">
        <w:t xml:space="preserve">Международная система страхования автотранспортных средств </w:t>
      </w:r>
      <w:r w:rsidR="008B1F7B" w:rsidRPr="008B1F7B">
        <w:br/>
        <w:t xml:space="preserve">(система </w:t>
      </w:r>
      <w:r w:rsidR="00535290">
        <w:t>«</w:t>
      </w:r>
      <w:r w:rsidR="008B1F7B" w:rsidRPr="008B1F7B">
        <w:t>Зеленой карты</w:t>
      </w:r>
      <w:r w:rsidR="00535290">
        <w:t>»</w:t>
      </w:r>
      <w:r w:rsidR="008B1F7B" w:rsidRPr="008B1F7B">
        <w:t>)</w:t>
      </w:r>
      <w:r w:rsidRPr="008B1F7B">
        <w:tab/>
      </w:r>
      <w:r w:rsidRPr="008B1F7B">
        <w:tab/>
        <w:t>34</w:t>
      </w:r>
      <w:r w:rsidRPr="008B1F7B">
        <w:tab/>
      </w:r>
      <w:r w:rsidR="00350C7A">
        <w:t>8</w:t>
      </w:r>
    </w:p>
    <w:p w:rsidR="00F503C8" w:rsidRPr="008B1F7B" w:rsidRDefault="00F503C8" w:rsidP="008B1F7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8B1F7B">
        <w:tab/>
      </w:r>
      <w:r w:rsidRPr="008B1F7B">
        <w:tab/>
      </w:r>
      <w:r w:rsidRPr="00F503C8">
        <w:rPr>
          <w:lang w:val="en-GB"/>
        </w:rPr>
        <w:t>B</w:t>
      </w:r>
      <w:r w:rsidRPr="008B1F7B">
        <w:t>.</w:t>
      </w:r>
      <w:r w:rsidRPr="008B1F7B">
        <w:tab/>
      </w:r>
      <w:r w:rsidR="008B1F7B" w:rsidRPr="008B1F7B">
        <w:t xml:space="preserve">Предложение по заключению глобального многостороннего </w:t>
      </w:r>
      <w:r w:rsidR="008B1F7B" w:rsidRPr="008B1F7B">
        <w:br/>
        <w:t xml:space="preserve">соглашения о международных регулярных перевозках </w:t>
      </w:r>
      <w:r w:rsidR="00DF7D90" w:rsidRPr="00DF7D90">
        <w:br/>
      </w:r>
      <w:r w:rsidR="008B1F7B" w:rsidRPr="008B1F7B">
        <w:t>пассажиров</w:t>
      </w:r>
      <w:r w:rsidR="00DF7D90" w:rsidRPr="00DF7D90">
        <w:t xml:space="preserve"> </w:t>
      </w:r>
      <w:r w:rsidR="008B1F7B" w:rsidRPr="008B1F7B">
        <w:t xml:space="preserve">междугородными и городскими автобусами </w:t>
      </w:r>
      <w:r w:rsidR="00DF7D90" w:rsidRPr="00DF7D90">
        <w:br/>
      </w:r>
      <w:r w:rsidR="008B1F7B" w:rsidRPr="008B1F7B">
        <w:t>(</w:t>
      </w:r>
      <w:r w:rsidR="00535290">
        <w:t>«</w:t>
      </w:r>
      <w:proofErr w:type="spellStart"/>
      <w:r w:rsidR="008B1F7B" w:rsidRPr="008B1F7B">
        <w:t>ОмниБУС</w:t>
      </w:r>
      <w:proofErr w:type="spellEnd"/>
      <w:r w:rsidR="00535290">
        <w:t>»</w:t>
      </w:r>
      <w:r w:rsidR="008B1F7B" w:rsidRPr="008B1F7B">
        <w:t>)</w:t>
      </w:r>
      <w:r w:rsidRPr="008B1F7B">
        <w:tab/>
      </w:r>
      <w:r w:rsidRPr="008B1F7B">
        <w:tab/>
        <w:t>35</w:t>
      </w:r>
      <w:r w:rsidR="008B1F7B" w:rsidRPr="008B1F7B">
        <w:t>–</w:t>
      </w:r>
      <w:r w:rsidRPr="008B1F7B">
        <w:t>36</w:t>
      </w:r>
      <w:r w:rsidRPr="008B1F7B">
        <w:tab/>
      </w:r>
      <w:r w:rsidR="00350C7A">
        <w:t>8</w:t>
      </w:r>
    </w:p>
    <w:p w:rsidR="00F503C8" w:rsidRPr="008B1F7B" w:rsidRDefault="00F503C8" w:rsidP="008B1F7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8B1F7B">
        <w:tab/>
      </w:r>
      <w:r w:rsidRPr="008B1F7B">
        <w:tab/>
      </w:r>
      <w:r w:rsidRPr="00F503C8">
        <w:rPr>
          <w:lang w:val="en-GB"/>
        </w:rPr>
        <w:t>C</w:t>
      </w:r>
      <w:r w:rsidRPr="008B1F7B">
        <w:t>.</w:t>
      </w:r>
      <w:r w:rsidRPr="008B1F7B">
        <w:tab/>
      </w:r>
      <w:r w:rsidR="008B1F7B" w:rsidRPr="008B1F7B">
        <w:t xml:space="preserve">Количественные ограничения на международные автомобильные </w:t>
      </w:r>
      <w:r w:rsidR="008B1F7B" w:rsidRPr="008B1F7B">
        <w:br/>
        <w:t>перевозки грузов</w:t>
      </w:r>
      <w:r w:rsidRPr="008B1F7B">
        <w:tab/>
      </w:r>
      <w:r w:rsidRPr="008B1F7B">
        <w:tab/>
        <w:t>37</w:t>
      </w:r>
      <w:r w:rsidR="008B1F7B" w:rsidRPr="008B1F7B">
        <w:t>–</w:t>
      </w:r>
      <w:r w:rsidRPr="008B1F7B">
        <w:t>38</w:t>
      </w:r>
      <w:r w:rsidRPr="008B1F7B">
        <w:tab/>
      </w:r>
      <w:r w:rsidR="00350C7A">
        <w:t>8</w:t>
      </w:r>
    </w:p>
    <w:p w:rsidR="00F503C8" w:rsidRPr="008B1F7B" w:rsidRDefault="00F503C8" w:rsidP="008B1F7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8B1F7B">
        <w:tab/>
      </w:r>
      <w:r w:rsidRPr="008B1F7B">
        <w:tab/>
      </w:r>
      <w:r w:rsidRPr="00F503C8">
        <w:rPr>
          <w:lang w:val="en-GB"/>
        </w:rPr>
        <w:t>D</w:t>
      </w:r>
      <w:r w:rsidRPr="008B1F7B">
        <w:t>.</w:t>
      </w:r>
      <w:r w:rsidRPr="008B1F7B">
        <w:tab/>
      </w:r>
      <w:r w:rsidR="008B1F7B" w:rsidRPr="008B1F7B">
        <w:t xml:space="preserve">Связь между происхождением товаров и транспортными </w:t>
      </w:r>
      <w:r w:rsidR="008B1F7B" w:rsidRPr="008B1F7B">
        <w:br/>
        <w:t>операциями</w:t>
      </w:r>
      <w:r w:rsidRPr="008B1F7B">
        <w:tab/>
      </w:r>
      <w:r w:rsidRPr="008B1F7B">
        <w:tab/>
      </w:r>
      <w:r w:rsidR="008B1F7B">
        <w:t>39</w:t>
      </w:r>
      <w:r w:rsidR="008B1F7B" w:rsidRPr="008B1F7B">
        <w:t>–</w:t>
      </w:r>
      <w:r w:rsidRPr="008B1F7B">
        <w:t>42</w:t>
      </w:r>
      <w:r w:rsidRPr="008B1F7B">
        <w:tab/>
        <w:t>8</w:t>
      </w:r>
    </w:p>
    <w:p w:rsidR="00F503C8" w:rsidRPr="008B1F7B" w:rsidRDefault="00F503C8" w:rsidP="008B1F7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8B1F7B">
        <w:tab/>
      </w:r>
      <w:r w:rsidRPr="00F503C8">
        <w:rPr>
          <w:lang w:val="en-GB"/>
        </w:rPr>
        <w:t>IX</w:t>
      </w:r>
      <w:r w:rsidRPr="008B1F7B">
        <w:t>.</w:t>
      </w:r>
      <w:r w:rsidRPr="008B1F7B">
        <w:tab/>
      </w:r>
      <w:r w:rsidR="008B1F7B" w:rsidRPr="008B1F7B">
        <w:t xml:space="preserve">Группа экспертов по безопасности на железнодорожных переездах </w:t>
      </w:r>
      <w:r w:rsidR="008B1F7B" w:rsidRPr="008B1F7B">
        <w:br/>
        <w:t>(пункт 8 повестки дня)</w:t>
      </w:r>
      <w:r w:rsidRPr="008B1F7B">
        <w:tab/>
      </w:r>
      <w:r w:rsidRPr="008B1F7B">
        <w:tab/>
        <w:t>43</w:t>
      </w:r>
      <w:r w:rsidR="008B1F7B" w:rsidRPr="008B1F7B">
        <w:t>–</w:t>
      </w:r>
      <w:r w:rsidRPr="008B1F7B">
        <w:t>44</w:t>
      </w:r>
      <w:r w:rsidRPr="008B1F7B">
        <w:tab/>
      </w:r>
      <w:r w:rsidR="00350C7A">
        <w:t>9</w:t>
      </w:r>
    </w:p>
    <w:p w:rsidR="00F503C8" w:rsidRPr="008B1F7B" w:rsidRDefault="00F503C8" w:rsidP="008B1F7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8B1F7B">
        <w:tab/>
      </w:r>
      <w:r w:rsidRPr="00F503C8">
        <w:rPr>
          <w:lang w:val="en-GB"/>
        </w:rPr>
        <w:t>X</w:t>
      </w:r>
      <w:r w:rsidRPr="008B1F7B">
        <w:t>.</w:t>
      </w:r>
      <w:r w:rsidRPr="008B1F7B">
        <w:tab/>
      </w:r>
      <w:r w:rsidR="008B1F7B" w:rsidRPr="008B1F7B">
        <w:t xml:space="preserve">Пересмотр круга ведения и правил процедуры SC.1 </w:t>
      </w:r>
      <w:r w:rsidR="008B1F7B" w:rsidRPr="008B1F7B">
        <w:br/>
        <w:t>(пункт 9 повестки дня)</w:t>
      </w:r>
      <w:r w:rsidRPr="008B1F7B">
        <w:tab/>
      </w:r>
      <w:r w:rsidRPr="008B1F7B">
        <w:tab/>
        <w:t>45</w:t>
      </w:r>
      <w:r w:rsidR="008B1F7B" w:rsidRPr="008B1F7B">
        <w:t>–</w:t>
      </w:r>
      <w:r w:rsidRPr="008B1F7B">
        <w:t>47</w:t>
      </w:r>
      <w:r w:rsidRPr="008B1F7B">
        <w:tab/>
        <w:t>9</w:t>
      </w:r>
    </w:p>
    <w:p w:rsidR="00F503C8" w:rsidRPr="008B1F7B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B1F7B">
        <w:tab/>
      </w:r>
      <w:r w:rsidRPr="00F503C8">
        <w:rPr>
          <w:lang w:val="en-GB"/>
        </w:rPr>
        <w:t>XI</w:t>
      </w:r>
      <w:r w:rsidRPr="008B1F7B">
        <w:t>.</w:t>
      </w:r>
      <w:r w:rsidRPr="008B1F7B">
        <w:tab/>
      </w:r>
      <w:r w:rsidR="008B1F7B" w:rsidRPr="008B1F7B">
        <w:t>Программа работы и двухгодичная оценка</w:t>
      </w:r>
      <w:r w:rsidR="00350C7A">
        <w:t xml:space="preserve"> (пункт 10 повестки дня)</w:t>
      </w:r>
      <w:r w:rsidRPr="008B1F7B">
        <w:tab/>
      </w:r>
      <w:r w:rsidRPr="008B1F7B">
        <w:tab/>
        <w:t>48</w:t>
      </w:r>
      <w:r w:rsidR="008B1F7B" w:rsidRPr="008B1F7B">
        <w:t>–</w:t>
      </w:r>
      <w:r w:rsidRPr="008B1F7B">
        <w:t>49</w:t>
      </w:r>
      <w:r w:rsidRPr="008B1F7B">
        <w:tab/>
      </w:r>
      <w:r w:rsidR="00350C7A">
        <w:t>10</w:t>
      </w:r>
    </w:p>
    <w:p w:rsidR="00F503C8" w:rsidRPr="008B1F7B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B1F7B">
        <w:tab/>
      </w:r>
      <w:r w:rsidRPr="00F503C8">
        <w:rPr>
          <w:lang w:val="en-GB"/>
        </w:rPr>
        <w:t>XII</w:t>
      </w:r>
      <w:r w:rsidRPr="008B1F7B">
        <w:t>.</w:t>
      </w:r>
      <w:r w:rsidRPr="008B1F7B">
        <w:tab/>
      </w:r>
      <w:r w:rsidR="008B1F7B" w:rsidRPr="008B1F7B">
        <w:t>Прочие вопросы (пункт 11 повестки дня)</w:t>
      </w:r>
      <w:r w:rsidRPr="008B1F7B">
        <w:tab/>
      </w:r>
      <w:r w:rsidRPr="008B1F7B">
        <w:tab/>
        <w:t>50</w:t>
      </w:r>
      <w:r w:rsidRPr="008B1F7B">
        <w:tab/>
      </w:r>
      <w:r w:rsidR="00350C7A">
        <w:t>10</w:t>
      </w:r>
    </w:p>
    <w:p w:rsidR="00F503C8" w:rsidRPr="008B1F7B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B1F7B">
        <w:tab/>
      </w:r>
      <w:r w:rsidRPr="00F503C8">
        <w:rPr>
          <w:lang w:val="en-GB"/>
        </w:rPr>
        <w:t>XIII</w:t>
      </w:r>
      <w:r w:rsidRPr="00DF7D90">
        <w:t>.</w:t>
      </w:r>
      <w:r w:rsidRPr="00DF7D90">
        <w:tab/>
      </w:r>
      <w:r w:rsidR="008B1F7B" w:rsidRPr="008B1F7B">
        <w:t>Сроки проведения следующей сессии (пункт 12 повестки дня)</w:t>
      </w:r>
      <w:r w:rsidRPr="008B1F7B">
        <w:tab/>
      </w:r>
      <w:r w:rsidRPr="008B1F7B">
        <w:tab/>
        <w:t>51</w:t>
      </w:r>
      <w:r w:rsidRPr="008B1F7B">
        <w:tab/>
      </w:r>
      <w:r w:rsidR="00350C7A">
        <w:t>10</w:t>
      </w:r>
    </w:p>
    <w:p w:rsidR="00F503C8" w:rsidRPr="008B1F7B" w:rsidRDefault="00F503C8" w:rsidP="00F503C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B1F7B">
        <w:tab/>
      </w:r>
      <w:r w:rsidRPr="00F503C8">
        <w:rPr>
          <w:lang w:val="en-GB"/>
        </w:rPr>
        <w:t>XIV</w:t>
      </w:r>
      <w:r w:rsidRPr="008B1F7B">
        <w:t>.</w:t>
      </w:r>
      <w:r w:rsidRPr="008B1F7B">
        <w:tab/>
      </w:r>
      <w:r w:rsidR="008B1F7B" w:rsidRPr="008B1F7B">
        <w:t>Утверждение доклада (пункт 13 повестки дня)</w:t>
      </w:r>
      <w:r w:rsidRPr="008B1F7B">
        <w:tab/>
      </w:r>
      <w:r w:rsidRPr="008B1F7B">
        <w:tab/>
        <w:t>52</w:t>
      </w:r>
      <w:r w:rsidR="00350C7A">
        <w:tab/>
        <w:t>10</w:t>
      </w:r>
    </w:p>
    <w:p w:rsidR="00535290" w:rsidRPr="00535290" w:rsidRDefault="008B1F7B" w:rsidP="00535290">
      <w:pPr>
        <w:pStyle w:val="HChGR"/>
      </w:pPr>
      <w:r>
        <w:br w:type="page"/>
      </w:r>
      <w:r w:rsidR="00535290">
        <w:lastRenderedPageBreak/>
        <w:tab/>
      </w:r>
      <w:r w:rsidR="00535290" w:rsidRPr="00535290">
        <w:t>I.</w:t>
      </w:r>
      <w:r w:rsidR="00535290" w:rsidRPr="00535290">
        <w:tab/>
        <w:t>Участие</w:t>
      </w:r>
    </w:p>
    <w:p w:rsidR="00535290" w:rsidRPr="00535290" w:rsidRDefault="00535290" w:rsidP="00535290">
      <w:pPr>
        <w:pStyle w:val="SingleTxtGR"/>
      </w:pPr>
      <w:r w:rsidRPr="00535290">
        <w:t>1.</w:t>
      </w:r>
      <w:r w:rsidRPr="00535290">
        <w:tab/>
        <w:t xml:space="preserve">Рабочая группа по автомобильному транспорту (SC.1) провела свою </w:t>
      </w:r>
      <w:r>
        <w:br/>
      </w:r>
      <w:r w:rsidRPr="00535290">
        <w:t>112-ю сессию 17–18 октября 2017 года под председательством г-на Р. Симоне</w:t>
      </w:r>
      <w:r w:rsidRPr="00535290">
        <w:t>н</w:t>
      </w:r>
      <w:r w:rsidRPr="00535290">
        <w:t xml:space="preserve">ко (Украина). На сессии были представлены следующие государства − члены Европейской экономической комиссии Организации Объединенных Наций (ЕЭК ООН): </w:t>
      </w:r>
      <w:proofErr w:type="gramStart"/>
      <w:r w:rsidRPr="00535290">
        <w:t>Австрия, Венгрия, Германия, Латвия, Нидерланды, Норвегия, Польша, Российская Федерация, Румыния, Словакия, Турция, Украина, Фи</w:t>
      </w:r>
      <w:r w:rsidRPr="00535290">
        <w:t>н</w:t>
      </w:r>
      <w:r w:rsidRPr="00535290">
        <w:t>ляндия, Швейцария и Швеция.</w:t>
      </w:r>
      <w:proofErr w:type="gramEnd"/>
    </w:p>
    <w:p w:rsidR="00535290" w:rsidRPr="00535290" w:rsidRDefault="00535290" w:rsidP="00535290">
      <w:pPr>
        <w:pStyle w:val="SingleTxtGR"/>
      </w:pPr>
      <w:r w:rsidRPr="00535290">
        <w:t>2.</w:t>
      </w:r>
      <w:r w:rsidRPr="00535290">
        <w:tab/>
        <w:t xml:space="preserve">На сессии были представлены следующие государства, не являющиеся членами ЕЭК ООН: Исламская Республика Иран и Ливан. </w:t>
      </w:r>
    </w:p>
    <w:p w:rsidR="00535290" w:rsidRPr="00535290" w:rsidRDefault="00535290" w:rsidP="00535290">
      <w:pPr>
        <w:pStyle w:val="SingleTxtGR"/>
      </w:pPr>
      <w:r w:rsidRPr="00535290">
        <w:t>3.</w:t>
      </w:r>
      <w:r w:rsidRPr="00535290">
        <w:tab/>
        <w:t xml:space="preserve">На сессии были представлены Европейский союз, </w:t>
      </w:r>
      <w:proofErr w:type="spellStart"/>
      <w:r w:rsidRPr="00535290">
        <w:t>ЕвроМед</w:t>
      </w:r>
      <w:proofErr w:type="spellEnd"/>
      <w:r w:rsidRPr="00535290">
        <w:t xml:space="preserve"> и следующие неправительственные организации: Совет страховых бюро (ССБ) и Междун</w:t>
      </w:r>
      <w:r w:rsidRPr="00535290">
        <w:t>а</w:t>
      </w:r>
      <w:r w:rsidRPr="00535290">
        <w:t xml:space="preserve">родный союз автомобильного транспорта (МСАТ). </w:t>
      </w:r>
    </w:p>
    <w:p w:rsidR="00535290" w:rsidRPr="00535290" w:rsidRDefault="00535290" w:rsidP="00535290">
      <w:pPr>
        <w:pStyle w:val="SingleTxtGR"/>
      </w:pPr>
      <w:r w:rsidRPr="00535290">
        <w:t>4.</w:t>
      </w:r>
      <w:r w:rsidRPr="00535290">
        <w:tab/>
        <w:t>И наконец, присутствовали представители следующих частных тран</w:t>
      </w:r>
      <w:r w:rsidRPr="00535290">
        <w:t>с</w:t>
      </w:r>
      <w:r>
        <w:t>портных операторов: «</w:t>
      </w:r>
      <w:proofErr w:type="spellStart"/>
      <w:r w:rsidRPr="00535290">
        <w:t>Аселсан</w:t>
      </w:r>
      <w:proofErr w:type="spellEnd"/>
      <w:r>
        <w:t>»</w:t>
      </w:r>
      <w:r w:rsidRPr="00535290">
        <w:t xml:space="preserve"> (Турция), </w:t>
      </w:r>
      <w:r>
        <w:t>«</w:t>
      </w:r>
      <w:r w:rsidRPr="00535290">
        <w:t>ПАРС АРГЕ</w:t>
      </w:r>
      <w:r>
        <w:t>»</w:t>
      </w:r>
      <w:r w:rsidRPr="00535290">
        <w:t xml:space="preserve"> (Турция) и </w:t>
      </w:r>
      <w:r>
        <w:t>«</w:t>
      </w:r>
      <w:proofErr w:type="spellStart"/>
      <w:r w:rsidRPr="00535290">
        <w:t>Сетир</w:t>
      </w:r>
      <w:proofErr w:type="spellEnd"/>
      <w:r>
        <w:t>»</w:t>
      </w:r>
      <w:r w:rsidRPr="00535290">
        <w:t xml:space="preserve"> (Испания).</w:t>
      </w:r>
    </w:p>
    <w:p w:rsidR="00535290" w:rsidRPr="00535290" w:rsidRDefault="00535290" w:rsidP="00535290">
      <w:pPr>
        <w:pStyle w:val="HChGR"/>
      </w:pPr>
      <w:r w:rsidRPr="00535290">
        <w:tab/>
        <w:t>II.</w:t>
      </w:r>
      <w:r w:rsidRPr="00535290">
        <w:tab/>
        <w:t>Утверждение повестки дня (пункт 1 повестки дня)</w:t>
      </w:r>
    </w:p>
    <w:p w:rsidR="00535290" w:rsidRPr="00535290" w:rsidRDefault="00535290" w:rsidP="00535290">
      <w:pPr>
        <w:pStyle w:val="SingleTxtGR"/>
      </w:pPr>
      <w:r w:rsidRPr="00535290">
        <w:t>5.</w:t>
      </w:r>
      <w:r w:rsidRPr="00535290">
        <w:tab/>
        <w:t>SC.1 утвердила повестку дня сессии (ECE/TRANS/SC.1/407).</w:t>
      </w:r>
    </w:p>
    <w:p w:rsidR="00535290" w:rsidRPr="00535290" w:rsidRDefault="00535290" w:rsidP="00535290">
      <w:pPr>
        <w:pStyle w:val="HChGR"/>
      </w:pPr>
      <w:r w:rsidRPr="00535290">
        <w:tab/>
        <w:t>III.</w:t>
      </w:r>
      <w:r w:rsidRPr="00535290">
        <w:tab/>
        <w:t>Деятельность, представляющая интерес для Рабочей группы (пункт 2 повестки дня)</w:t>
      </w:r>
    </w:p>
    <w:p w:rsidR="00535290" w:rsidRPr="00535290" w:rsidRDefault="00535290" w:rsidP="00535290">
      <w:pPr>
        <w:pStyle w:val="H1GR"/>
      </w:pPr>
      <w:r w:rsidRPr="00535290">
        <w:tab/>
        <w:t>A.</w:t>
      </w:r>
      <w:r w:rsidRPr="00535290">
        <w:tab/>
        <w:t>Национальные делегации</w:t>
      </w:r>
    </w:p>
    <w:p w:rsidR="00535290" w:rsidRPr="00535290" w:rsidRDefault="00535290" w:rsidP="00535290">
      <w:pPr>
        <w:pStyle w:val="SingleTxtGR"/>
      </w:pPr>
      <w:r w:rsidRPr="00535290">
        <w:t>6.</w:t>
      </w:r>
      <w:r w:rsidRPr="00535290">
        <w:tab/>
        <w:t>На нынешней сессии национальными делегациями не было представлено никакой новой информации.</w:t>
      </w:r>
    </w:p>
    <w:p w:rsidR="00535290" w:rsidRPr="00535290" w:rsidRDefault="00535290" w:rsidP="00535290">
      <w:pPr>
        <w:pStyle w:val="H1GR"/>
      </w:pPr>
      <w:r w:rsidRPr="00535290">
        <w:tab/>
        <w:t>B.</w:t>
      </w:r>
      <w:r w:rsidRPr="00535290">
        <w:tab/>
        <w:t>Международные организации</w:t>
      </w:r>
    </w:p>
    <w:p w:rsidR="00535290" w:rsidRPr="00535290" w:rsidRDefault="00535290" w:rsidP="00535290">
      <w:pPr>
        <w:pStyle w:val="SingleTxtGR"/>
      </w:pPr>
      <w:r w:rsidRPr="00535290">
        <w:t>7.</w:t>
      </w:r>
      <w:r w:rsidRPr="00535290">
        <w:tab/>
      </w:r>
      <w:proofErr w:type="gramStart"/>
      <w:r w:rsidRPr="00535290">
        <w:t>МСАТ проинформировал SC.1 о том, что за</w:t>
      </w:r>
      <w:r>
        <w:t xml:space="preserve"> </w:t>
      </w:r>
      <w:r w:rsidRPr="00535290">
        <w:t>последние 12 месяцев к Ко</w:t>
      </w:r>
      <w:r w:rsidRPr="00535290">
        <w:t>н</w:t>
      </w:r>
      <w:r w:rsidRPr="00535290">
        <w:t>венции МДП присоединились Индия и Китай.</w:t>
      </w:r>
      <w:proofErr w:type="gramEnd"/>
      <w:r w:rsidRPr="00535290">
        <w:t xml:space="preserve"> Представитель МСАТ сообщил также о ходе работы Группы по автомобильному транспорту ЕКМТ в подгото</w:t>
      </w:r>
      <w:r w:rsidRPr="00535290">
        <w:t>в</w:t>
      </w:r>
      <w:r w:rsidRPr="00535290">
        <w:t>ке хартии качества и последующих шагах. Это было подтверждено представ</w:t>
      </w:r>
      <w:r w:rsidRPr="00535290">
        <w:t>и</w:t>
      </w:r>
      <w:r w:rsidRPr="00535290">
        <w:t>телями Нидерландов и Турции.</w:t>
      </w:r>
    </w:p>
    <w:p w:rsidR="00535290" w:rsidRPr="00535290" w:rsidRDefault="00535290" w:rsidP="00535290">
      <w:pPr>
        <w:pStyle w:val="SingleTxtGR"/>
      </w:pPr>
      <w:r w:rsidRPr="00535290">
        <w:t>8.</w:t>
      </w:r>
      <w:r w:rsidRPr="00535290">
        <w:tab/>
        <w:t xml:space="preserve">Европейская комиссия сообщила о завершении двух раундов переговоров с договаривающимися сторонами по соглашению </w:t>
      </w:r>
      <w:r>
        <w:t>«</w:t>
      </w:r>
      <w:proofErr w:type="spellStart"/>
      <w:r w:rsidRPr="00535290">
        <w:t>Интербус</w:t>
      </w:r>
      <w:proofErr w:type="spellEnd"/>
      <w:r>
        <w:t>»</w:t>
      </w:r>
      <w:r w:rsidRPr="00535290">
        <w:t>. Третий раунд п</w:t>
      </w:r>
      <w:r w:rsidRPr="00535290">
        <w:t>е</w:t>
      </w:r>
      <w:r w:rsidRPr="00535290">
        <w:t xml:space="preserve">реговоров, как ожидается, пройдет в ноябре 2017 года. Цель заключается в том, чтобы распространить действие соглашения с </w:t>
      </w:r>
      <w:proofErr w:type="gramStart"/>
      <w:r w:rsidRPr="00535290">
        <w:t>нерегулярных</w:t>
      </w:r>
      <w:proofErr w:type="gramEnd"/>
      <w:r w:rsidRPr="00535290">
        <w:t xml:space="preserve"> на регулярные транспортные услуги. Европейская комиссия также ведет переговоры с Маро</w:t>
      </w:r>
      <w:r w:rsidRPr="00535290">
        <w:t>к</w:t>
      </w:r>
      <w:r w:rsidRPr="00535290">
        <w:t xml:space="preserve">ко на предмет присоединения этой страны к соглашению </w:t>
      </w:r>
      <w:r>
        <w:t>«</w:t>
      </w:r>
      <w:proofErr w:type="spellStart"/>
      <w:r w:rsidRPr="00535290">
        <w:t>Интербус</w:t>
      </w:r>
      <w:proofErr w:type="spellEnd"/>
      <w:r>
        <w:t>»</w:t>
      </w:r>
      <w:r w:rsidRPr="00535290">
        <w:t>.</w:t>
      </w:r>
    </w:p>
    <w:p w:rsidR="00535290" w:rsidRPr="00535290" w:rsidRDefault="00535290" w:rsidP="00535290">
      <w:pPr>
        <w:pStyle w:val="H1GR"/>
      </w:pPr>
      <w:r w:rsidRPr="00535290">
        <w:tab/>
        <w:t>C.</w:t>
      </w:r>
      <w:r w:rsidRPr="00535290">
        <w:tab/>
        <w:t>Деятельность органов ЕЭК ООН и других организаций системы Организации Объединенных Наций</w:t>
      </w:r>
    </w:p>
    <w:p w:rsidR="00535290" w:rsidRPr="00535290" w:rsidRDefault="00535290" w:rsidP="00535290">
      <w:pPr>
        <w:pStyle w:val="SingleTxtGR"/>
      </w:pPr>
      <w:r w:rsidRPr="00535290">
        <w:t>9.</w:t>
      </w:r>
      <w:r w:rsidRPr="00535290">
        <w:tab/>
        <w:t>Секретариат проинформировал SC.1 об итогах соответствующих после</w:t>
      </w:r>
      <w:r w:rsidRPr="00535290">
        <w:t>д</w:t>
      </w:r>
      <w:r w:rsidRPr="00535290">
        <w:t>них сессий Комитета по внутреннему транспорту, его вспомогательных органов и других подразделений Организации Объединенных Наций по вопросам, пре</w:t>
      </w:r>
      <w:r w:rsidRPr="00535290">
        <w:t>д</w:t>
      </w:r>
      <w:r w:rsidRPr="00535290">
        <w:t>ставляющим интерес для Рабочей группы. В частности, секретариат сообщил SC.1 о ключевых решениях, принятых на семьдесят девятой годовой сессии Комитета по внутреннему транспорту (ECE/TRANS/270, ECE/TRANS/</w:t>
      </w:r>
      <w:r>
        <w:t xml:space="preserve"> </w:t>
      </w:r>
      <w:r w:rsidRPr="00535290">
        <w:t>270/Add.1, неофициальный документ №</w:t>
      </w:r>
      <w:r>
        <w:t xml:space="preserve"> </w:t>
      </w:r>
      <w:r w:rsidRPr="00535290">
        <w:t xml:space="preserve">11 КВТ (2017 год)). </w:t>
      </w:r>
    </w:p>
    <w:p w:rsidR="00535290" w:rsidRPr="00535290" w:rsidRDefault="00535290" w:rsidP="00535290">
      <w:pPr>
        <w:pStyle w:val="SingleTxtGR"/>
      </w:pPr>
      <w:r w:rsidRPr="00535290">
        <w:t>10.</w:t>
      </w:r>
      <w:r w:rsidRPr="00535290">
        <w:tab/>
        <w:t>Секретариат обратил внимание на пункты 6, 10, 32, 34 и 35 неофициал</w:t>
      </w:r>
      <w:r w:rsidRPr="00535290">
        <w:t>ь</w:t>
      </w:r>
      <w:r w:rsidRPr="00535290">
        <w:t>ного документа № 11 КВТ (2017 год). В частности, SC.1 была проинформир</w:t>
      </w:r>
      <w:r w:rsidRPr="00535290">
        <w:t>о</w:t>
      </w:r>
      <w:r w:rsidRPr="00535290">
        <w:t>вана о том, что рабочим группам следует рассмотреть вопрос о подготовке м</w:t>
      </w:r>
      <w:r w:rsidRPr="00535290">
        <w:t>а</w:t>
      </w:r>
      <w:r w:rsidRPr="00535290">
        <w:t>териалов для включения в прое</w:t>
      </w:r>
      <w:proofErr w:type="gramStart"/>
      <w:r w:rsidRPr="00535290">
        <w:t>кт стр</w:t>
      </w:r>
      <w:proofErr w:type="gramEnd"/>
      <w:r w:rsidRPr="00535290">
        <w:t>атегии КВТ, который будет рассмотрен Комитетом на его сессии в 2018 году. SC.1 по достоинству оценила возмо</w:t>
      </w:r>
      <w:r w:rsidRPr="00535290">
        <w:t>ж</w:t>
      </w:r>
      <w:r w:rsidRPr="00535290">
        <w:t>ность представления замечаний, и ее обсуждение по этой теме отражено в ра</w:t>
      </w:r>
      <w:r w:rsidRPr="00535290">
        <w:t>з</w:t>
      </w:r>
      <w:r w:rsidRPr="00535290">
        <w:t>деле доклада, посвященном рассмотрению пункта 10 повестки дня ниже.</w:t>
      </w:r>
    </w:p>
    <w:p w:rsidR="00535290" w:rsidRPr="00535290" w:rsidRDefault="00535290" w:rsidP="00535290">
      <w:pPr>
        <w:pStyle w:val="SingleTxtGR"/>
      </w:pPr>
      <w:r w:rsidRPr="00535290">
        <w:t>11.</w:t>
      </w:r>
      <w:r w:rsidRPr="00535290">
        <w:tab/>
        <w:t>Секретариат сообщил SC.1 о подписании нового дополнения к мемора</w:t>
      </w:r>
      <w:r w:rsidRPr="00535290">
        <w:t>н</w:t>
      </w:r>
      <w:r w:rsidRPr="00535290">
        <w:t>думу о взаимопонимании с Объединенным исследовательским центром (ОИЦ), в соответствии с которым ОИЦ признается компетентным органом ЕСТР для корневой сертификации и сертификации совместимости для Договаривающихся сторон ЕСТР, не являющихся членами ЕС (неофициальный документ № 1). Н</w:t>
      </w:r>
      <w:r w:rsidRPr="00535290">
        <w:t>о</w:t>
      </w:r>
      <w:r w:rsidRPr="00535290">
        <w:t xml:space="preserve">вое дополнение продлило срок действия </w:t>
      </w:r>
      <w:proofErr w:type="spellStart"/>
      <w:r w:rsidRPr="00535290">
        <w:t>МоВ</w:t>
      </w:r>
      <w:proofErr w:type="spellEnd"/>
      <w:r w:rsidRPr="00535290">
        <w:t xml:space="preserve"> до 31 декабря 2018 года. </w:t>
      </w:r>
    </w:p>
    <w:p w:rsidR="00535290" w:rsidRPr="00535290" w:rsidRDefault="00535290" w:rsidP="00535290">
      <w:pPr>
        <w:pStyle w:val="SingleTxtGR"/>
      </w:pPr>
      <w:r w:rsidRPr="00535290">
        <w:t>12.</w:t>
      </w:r>
      <w:r w:rsidRPr="00535290">
        <w:tab/>
      </w:r>
      <w:proofErr w:type="gramStart"/>
      <w:r w:rsidRPr="00535290">
        <w:t>SC.1 была проинформирована о том, что Рабочая группа по вопросам шума (GRB) ЕЭК ООН на своей сессии в сентябре 2017 года рассмотрела ин</w:t>
      </w:r>
      <w:r w:rsidRPr="00535290">
        <w:t>и</w:t>
      </w:r>
      <w:r w:rsidRPr="00535290">
        <w:t>циативу Нидерландов по введению маркировки дорожных покрытий на основе следующих критериев: сопротивление заносу, снижение шума, сопротивление качению и срок службы (неофициальные документы GRB-66-05 и Add.1) в ц</w:t>
      </w:r>
      <w:r w:rsidRPr="00535290">
        <w:t>е</w:t>
      </w:r>
      <w:r w:rsidRPr="00535290">
        <w:t>лях содействия безопасности дорожного движения, улучшению здоровья, устойчивости и экономии</w:t>
      </w:r>
      <w:proofErr w:type="gramEnd"/>
      <w:r w:rsidRPr="00535290">
        <w:t>. Секретариат GRB сообщил, что этот проект выходит за рамки правовых документов, относящихся к ведению GRB (транспортные средства, оборудование и их части) и что GRB предложила другим рабочим группам КВТ, в том числе SC.1, рассмотреть вопрос о том, заинтересованы ли они в реализации данного проекта. После краткого обмена мнениями SC.1 пришла к выводу, что включение этой инициативы в настоящее время не соо</w:t>
      </w:r>
      <w:r w:rsidRPr="00535290">
        <w:t>т</w:t>
      </w:r>
      <w:r w:rsidRPr="00535290">
        <w:t>ветствует ее кругу ведения, но что она будет открыта для рассмотрения во</w:t>
      </w:r>
      <w:r w:rsidRPr="00535290">
        <w:t>з</w:t>
      </w:r>
      <w:r w:rsidRPr="00535290">
        <w:t>можности выполнения такой работы в будущем в случае изменения обстоятел</w:t>
      </w:r>
      <w:r w:rsidRPr="00535290">
        <w:t>ь</w:t>
      </w:r>
      <w:r w:rsidRPr="00535290">
        <w:t>ств.</w:t>
      </w:r>
    </w:p>
    <w:p w:rsidR="00535290" w:rsidRPr="00535290" w:rsidRDefault="00535290" w:rsidP="00535290">
      <w:pPr>
        <w:pStyle w:val="SingleTxtGR"/>
      </w:pPr>
      <w:r w:rsidRPr="00535290">
        <w:t>13.</w:t>
      </w:r>
      <w:r w:rsidRPr="00535290">
        <w:tab/>
        <w:t>И наконец, секретариат представил информацию о деятельности Рабочей группы по статистике транспорта (WP.6), сделав акцент на обследовании дв</w:t>
      </w:r>
      <w:r w:rsidRPr="00535290">
        <w:t>и</w:t>
      </w:r>
      <w:r w:rsidRPr="00535290">
        <w:t>жения по автомобильным дорогам категории</w:t>
      </w:r>
      <w:proofErr w:type="gramStart"/>
      <w:r w:rsidRPr="00535290">
        <w:t xml:space="preserve"> Е</w:t>
      </w:r>
      <w:proofErr w:type="gramEnd"/>
      <w:r w:rsidRPr="00535290">
        <w:t xml:space="preserve"> и Глоссарии по статистике транспорта. Была продемонстрирована интерактивная карта результатов обсл</w:t>
      </w:r>
      <w:r w:rsidRPr="00535290">
        <w:t>е</w:t>
      </w:r>
      <w:r w:rsidRPr="00535290">
        <w:t>дования, и членам SC.1, обладающим соответствующим опытом, было предл</w:t>
      </w:r>
      <w:r w:rsidRPr="00535290">
        <w:t>о</w:t>
      </w:r>
      <w:r w:rsidRPr="00535290">
        <w:t>жено присоединиться к недавно созданной неофициальной группе экспертов WP.6 и принять участие в подготовке следующего издания Глоссария.</w:t>
      </w:r>
    </w:p>
    <w:p w:rsidR="00535290" w:rsidRPr="00535290" w:rsidRDefault="00535290" w:rsidP="00535290">
      <w:pPr>
        <w:pStyle w:val="HChGR"/>
      </w:pPr>
      <w:r w:rsidRPr="00535290">
        <w:tab/>
        <w:t>IV.</w:t>
      </w:r>
      <w:r w:rsidRPr="00535290">
        <w:tab/>
        <w:t>Европейское соглашение, касающееся работы экипажей транспортных средств, производящих международные автомобильные перевозки (ЕСТР) (пункт 3 повестки дня)</w:t>
      </w:r>
    </w:p>
    <w:p w:rsidR="00535290" w:rsidRPr="00535290" w:rsidRDefault="00535290" w:rsidP="00535290">
      <w:pPr>
        <w:pStyle w:val="H1GR"/>
      </w:pPr>
      <w:r w:rsidRPr="00535290">
        <w:tab/>
      </w:r>
      <w:r w:rsidRPr="00535290">
        <w:rPr>
          <w:lang w:val="en-US"/>
        </w:rPr>
        <w:t>A</w:t>
      </w:r>
      <w:r w:rsidRPr="00535290">
        <w:t>.</w:t>
      </w:r>
      <w:r w:rsidRPr="00535290">
        <w:tab/>
        <w:t>Статус Соглашения</w:t>
      </w:r>
    </w:p>
    <w:p w:rsidR="00535290" w:rsidRPr="00535290" w:rsidRDefault="00535290" w:rsidP="00535290">
      <w:pPr>
        <w:pStyle w:val="SingleTxtGR"/>
      </w:pPr>
      <w:r w:rsidRPr="00535290">
        <w:t>14.</w:t>
      </w:r>
      <w:r w:rsidRPr="00535290">
        <w:tab/>
        <w:t xml:space="preserve">Секретариат сообщил </w:t>
      </w:r>
      <w:r w:rsidRPr="00535290">
        <w:rPr>
          <w:lang w:val="en-US"/>
        </w:rPr>
        <w:t>SC</w:t>
      </w:r>
      <w:r w:rsidRPr="00535290">
        <w:t xml:space="preserve">.1, что статус Соглашения ЕСТР не изменился. </w:t>
      </w:r>
      <w:r>
        <w:t>В </w:t>
      </w:r>
      <w:r w:rsidRPr="00535290">
        <w:t>нем по-прежнему участвует 51 Договаривающаяся сторона.</w:t>
      </w:r>
    </w:p>
    <w:p w:rsidR="00535290" w:rsidRPr="00535290" w:rsidRDefault="00535290" w:rsidP="00535290">
      <w:pPr>
        <w:pStyle w:val="SingleTxtGR"/>
      </w:pPr>
      <w:r w:rsidRPr="00535290">
        <w:t>15.</w:t>
      </w:r>
      <w:r w:rsidRPr="00535290">
        <w:tab/>
      </w:r>
      <w:r w:rsidRPr="00535290">
        <w:rPr>
          <w:lang w:val="en-US"/>
        </w:rPr>
        <w:t>SC</w:t>
      </w:r>
      <w:r w:rsidRPr="00535290">
        <w:t>.1 была проинформирована о том, что на шестнадцатой сессии Группы экспертов по ЕСТР правительство Ливана и представитель финансируемого по линии ЕС транспортного проекта ЕВРОМЕД заявили о заинтересованности правительств Ливана и Египта в присоединении к Соглашению ЕСТР и просили внести в статью 14 поправки, с тем чтобы их страны получили право присоед</w:t>
      </w:r>
      <w:r w:rsidRPr="00535290">
        <w:t>и</w:t>
      </w:r>
      <w:r w:rsidRPr="00535290">
        <w:t xml:space="preserve">ниться к Соглашению ЕСТР. Группа приняла эту информацию к сведению и решила направить запрос в </w:t>
      </w:r>
      <w:r w:rsidRPr="00535290">
        <w:rPr>
          <w:lang w:val="en-GB"/>
        </w:rPr>
        <w:t>SC</w:t>
      </w:r>
      <w:r w:rsidRPr="00535290">
        <w:t>.1.</w:t>
      </w:r>
    </w:p>
    <w:p w:rsidR="00535290" w:rsidRPr="00535290" w:rsidRDefault="00535290" w:rsidP="00535290">
      <w:pPr>
        <w:pStyle w:val="SingleTxtGR"/>
      </w:pPr>
      <w:r w:rsidRPr="00535290">
        <w:t>16.</w:t>
      </w:r>
      <w:r w:rsidRPr="00535290">
        <w:tab/>
        <w:t xml:space="preserve">Хотя </w:t>
      </w:r>
      <w:r w:rsidRPr="00535290">
        <w:rPr>
          <w:lang w:val="en-US"/>
        </w:rPr>
        <w:t>SC</w:t>
      </w:r>
      <w:r w:rsidRPr="00535290">
        <w:t>.1 приветствовала заинтересованность, выраженную Египтом и Ливаном, некоторые страны зарезервировали свою позицию в отношении с</w:t>
      </w:r>
      <w:r w:rsidRPr="00535290">
        <w:t>о</w:t>
      </w:r>
      <w:r w:rsidRPr="00535290">
        <w:t>гласия на изменение Соглашения ЕСТР, направленное на предоставление во</w:t>
      </w:r>
      <w:r w:rsidRPr="00535290">
        <w:t>з</w:t>
      </w:r>
      <w:r w:rsidRPr="00535290">
        <w:t>можности этим странам присоединиться к Соглашению, до проведения допо</w:t>
      </w:r>
      <w:r w:rsidRPr="00535290">
        <w:t>л</w:t>
      </w:r>
      <w:r w:rsidRPr="00535290">
        <w:t xml:space="preserve">нительных консультаций со своими правительствами. Ввиду обеспокоенности, высказанной по поводу отсутствия официальных лиц из Египта на сессии </w:t>
      </w:r>
      <w:r w:rsidRPr="00535290">
        <w:rPr>
          <w:lang w:val="en-US"/>
        </w:rPr>
        <w:t>SC</w:t>
      </w:r>
      <w:r w:rsidRPr="00535290">
        <w:t>.1, правительство Египта через представителя ЕВРОМЕД отозвало свое письмо с выражением заинтересованности и указало, что оно подаст официальную зая</w:t>
      </w:r>
      <w:r w:rsidRPr="00535290">
        <w:t>в</w:t>
      </w:r>
      <w:r w:rsidRPr="00535290">
        <w:t>ку позднее.</w:t>
      </w:r>
    </w:p>
    <w:p w:rsidR="00535290" w:rsidRPr="00535290" w:rsidRDefault="00535290" w:rsidP="00535290">
      <w:pPr>
        <w:pStyle w:val="SingleTxtGR"/>
      </w:pPr>
      <w:r>
        <w:t>17.</w:t>
      </w:r>
      <w:r>
        <w:tab/>
      </w:r>
      <w:r w:rsidRPr="00535290">
        <w:t xml:space="preserve">В принципе </w:t>
      </w:r>
      <w:r w:rsidRPr="00535290">
        <w:rPr>
          <w:lang w:val="en-US"/>
        </w:rPr>
        <w:t>SC</w:t>
      </w:r>
      <w:r w:rsidRPr="00535290">
        <w:t xml:space="preserve">.1 приняла следующую поправку к статье 14 Соглашения ЕСТР, с </w:t>
      </w:r>
      <w:proofErr w:type="gramStart"/>
      <w:r w:rsidRPr="00535290">
        <w:t>тем</w:t>
      </w:r>
      <w:proofErr w:type="gramEnd"/>
      <w:r w:rsidRPr="00535290">
        <w:t xml:space="preserve"> чтобы Ливан мог к нему присоединиться.</w:t>
      </w:r>
    </w:p>
    <w:p w:rsidR="00535290" w:rsidRPr="00535290" w:rsidRDefault="00535290" w:rsidP="00535290">
      <w:pPr>
        <w:pStyle w:val="SingleTxtGR"/>
      </w:pPr>
      <w:r>
        <w:t>«</w:t>
      </w:r>
      <w:r w:rsidRPr="00535290">
        <w:t>Статья 14</w:t>
      </w:r>
    </w:p>
    <w:p w:rsidR="00535290" w:rsidRDefault="00535290" w:rsidP="00535290">
      <w:pPr>
        <w:pStyle w:val="SingleTxtGR"/>
      </w:pPr>
      <w:r w:rsidRPr="00535290">
        <w:t>18.</w:t>
      </w:r>
      <w:r w:rsidRPr="00535290">
        <w:tab/>
        <w:t>Настоящее Соглашение открыто для подписания до 31 марта 1971 года и после этой даты для присоединения госуда</w:t>
      </w:r>
      <w:proofErr w:type="gramStart"/>
      <w:r w:rsidRPr="00535290">
        <w:t>рств − чл</w:t>
      </w:r>
      <w:proofErr w:type="gramEnd"/>
      <w:r w:rsidRPr="00535290">
        <w:t>енов Европейской эконом</w:t>
      </w:r>
      <w:r w:rsidRPr="00535290">
        <w:t>и</w:t>
      </w:r>
      <w:r w:rsidRPr="00535290">
        <w:t>ческой комиссии и государств, допущенных к участию в работе Комиссии с консультативным статусом в соответствии с пунктами 8 или 11 Положения о круге ведения Комиссии. Присоединение в соответствии с пунктом 11 Полож</w:t>
      </w:r>
      <w:r w:rsidRPr="00535290">
        <w:t>е</w:t>
      </w:r>
      <w:r w:rsidRPr="00535290">
        <w:t xml:space="preserve">ния о круге ведения Комиссии ограничивается следующими государствами: Алжир, Иордания, </w:t>
      </w:r>
      <w:r w:rsidRPr="00535290">
        <w:rPr>
          <w:b/>
          <w:bCs/>
        </w:rPr>
        <w:t>Ливан</w:t>
      </w:r>
      <w:r w:rsidRPr="00535290">
        <w:t>, Марокко и Тунис</w:t>
      </w:r>
      <w:r>
        <w:t>»</w:t>
      </w:r>
      <w:r w:rsidRPr="00535290">
        <w:t xml:space="preserve">. </w:t>
      </w:r>
    </w:p>
    <w:p w:rsidR="00535290" w:rsidRPr="00535290" w:rsidRDefault="00535290" w:rsidP="00535290">
      <w:pPr>
        <w:pStyle w:val="SingleTxtGR"/>
      </w:pPr>
      <w:r w:rsidRPr="00535290">
        <w:t>19.</w:t>
      </w:r>
      <w:r w:rsidRPr="00535290">
        <w:tab/>
      </w:r>
      <w:proofErr w:type="gramStart"/>
      <w:r w:rsidRPr="00535290">
        <w:t>Отмечая разъяснение секретариата о том, что Договаривающаяся сторона ЕСТР может направить возражение в связи с потенциальным уведомлением д</w:t>
      </w:r>
      <w:r w:rsidRPr="00535290">
        <w:t>е</w:t>
      </w:r>
      <w:r w:rsidRPr="00535290">
        <w:t xml:space="preserve">позитария относительно предложения о внесении поправок в Соглашение ЕСТР, позволяющих Ливану присоединиться к нему, </w:t>
      </w:r>
      <w:r w:rsidRPr="00535290">
        <w:rPr>
          <w:lang w:val="en-US"/>
        </w:rPr>
        <w:t>SC</w:t>
      </w:r>
      <w:r w:rsidRPr="00535290">
        <w:t>.1 просила одну из Д</w:t>
      </w:r>
      <w:r w:rsidRPr="00535290">
        <w:t>о</w:t>
      </w:r>
      <w:r w:rsidRPr="00535290">
        <w:t>говаривающихся сторон ЕСТР при первой же возможности внести официальное предложение по вышеупомянутой поправке и поручила секретариату по пол</w:t>
      </w:r>
      <w:r w:rsidRPr="00535290">
        <w:t>у</w:t>
      </w:r>
      <w:r w:rsidRPr="00535290">
        <w:t>чении такого сообщения передать его Генеральному секретарю</w:t>
      </w:r>
      <w:proofErr w:type="gramEnd"/>
      <w:r w:rsidRPr="00535290">
        <w:t>. Секретариат напомнил о том, что два года назад правительства Турции и Украины выступ</w:t>
      </w:r>
      <w:r w:rsidRPr="00535290">
        <w:t>и</w:t>
      </w:r>
      <w:r w:rsidRPr="00535290">
        <w:t>ли с аналогичным предложением по поправке, направленной на то, чтобы А</w:t>
      </w:r>
      <w:r w:rsidRPr="00535290">
        <w:t>л</w:t>
      </w:r>
      <w:r w:rsidRPr="00535290">
        <w:t xml:space="preserve">жир, Иордания, Марокко и Тунис имели право присоединиться к Соглашению ЕСТР. </w:t>
      </w:r>
    </w:p>
    <w:p w:rsidR="00535290" w:rsidRPr="00535290" w:rsidRDefault="00535290" w:rsidP="00535290">
      <w:pPr>
        <w:pStyle w:val="H1GR"/>
      </w:pPr>
      <w:r w:rsidRPr="00535290">
        <w:tab/>
        <w:t>B.</w:t>
      </w:r>
      <w:r w:rsidRPr="00535290">
        <w:tab/>
        <w:t>Группа экспертов по ЕСТР</w:t>
      </w:r>
    </w:p>
    <w:p w:rsidR="00535290" w:rsidRPr="00535290" w:rsidRDefault="00535290" w:rsidP="00535290">
      <w:pPr>
        <w:pStyle w:val="SingleTxtGR"/>
      </w:pPr>
      <w:r w:rsidRPr="00535290">
        <w:t>20.</w:t>
      </w:r>
      <w:r w:rsidRPr="00535290">
        <w:tab/>
        <w:t>Председатель Группы экспертов по ЕСТР представил обновленную и</w:t>
      </w:r>
      <w:r w:rsidRPr="00535290">
        <w:t>н</w:t>
      </w:r>
      <w:r w:rsidRPr="00535290">
        <w:t>формацию о работе Группы экспертов по ЕСТР со времени проведения после</w:t>
      </w:r>
      <w:r w:rsidRPr="00535290">
        <w:t>д</w:t>
      </w:r>
      <w:r w:rsidRPr="00535290">
        <w:t>ней сессии SC.1 (подробная информация содержится в документах ECE/TRANS/SC.1/GE.21/35, ECE/TRANS/SC.1/GE.21/37 и ECE/TRANS/SC.1/</w:t>
      </w:r>
      <w:r>
        <w:t xml:space="preserve"> </w:t>
      </w:r>
      <w:r w:rsidRPr="00535290">
        <w:t>GE.21/39).</w:t>
      </w:r>
    </w:p>
    <w:p w:rsidR="00535290" w:rsidRPr="00535290" w:rsidRDefault="00535290" w:rsidP="00535290">
      <w:pPr>
        <w:pStyle w:val="SingleTxtGR"/>
      </w:pPr>
      <w:r w:rsidRPr="00535290">
        <w:t>21.</w:t>
      </w:r>
      <w:r w:rsidRPr="00535290">
        <w:tab/>
        <w:t>Секретариат обратил внимание SC.1 на возможную целесообразность рассмотрения вопроса об изменении названия Соглашения ЕСТР путем искл</w:t>
      </w:r>
      <w:r w:rsidRPr="00535290">
        <w:t>ю</w:t>
      </w:r>
      <w:r w:rsidRPr="00535290">
        <w:t xml:space="preserve">чения слова </w:t>
      </w:r>
      <w:r>
        <w:t>«</w:t>
      </w:r>
      <w:r w:rsidRPr="00535290">
        <w:t>Европейское</w:t>
      </w:r>
      <w:r>
        <w:t>»</w:t>
      </w:r>
      <w:r w:rsidRPr="00535290">
        <w:t xml:space="preserve"> из его названия (см. пункт 14, ECE/TRANS/</w:t>
      </w:r>
      <w:r>
        <w:t xml:space="preserve"> </w:t>
      </w:r>
      <w:r w:rsidRPr="00535290">
        <w:t>SC.1/GE.21/37). Председатель предложил членам SC.1 проконсультироваться со своими соответствующими правительствами и изложить соображения на сл</w:t>
      </w:r>
      <w:r w:rsidRPr="00535290">
        <w:t>е</w:t>
      </w:r>
      <w:r w:rsidRPr="00535290">
        <w:t>дующей сессии.</w:t>
      </w:r>
    </w:p>
    <w:p w:rsidR="00535290" w:rsidRPr="00535290" w:rsidRDefault="00535290" w:rsidP="00535290">
      <w:pPr>
        <w:pStyle w:val="SingleTxtGR"/>
      </w:pPr>
      <w:r w:rsidRPr="00535290">
        <w:t>22.</w:t>
      </w:r>
      <w:r w:rsidRPr="00535290">
        <w:tab/>
      </w:r>
      <w:proofErr w:type="gramStart"/>
      <w:r w:rsidRPr="00535290">
        <w:t>После обмена мнениями по предложению о поправке правительства Сл</w:t>
      </w:r>
      <w:r w:rsidRPr="00535290">
        <w:t>о</w:t>
      </w:r>
      <w:r w:rsidRPr="00535290">
        <w:t>вацкой Республики (ECE/TRANS/SC.1/2017/1), предусматривающей новую ст</w:t>
      </w:r>
      <w:r w:rsidRPr="00535290">
        <w:t>а</w:t>
      </w:r>
      <w:r w:rsidRPr="00535290">
        <w:t>тью 10-бис, главная цель которой состоит в обеспечении того, чтобы у водит</w:t>
      </w:r>
      <w:r w:rsidRPr="00535290">
        <w:t>е</w:t>
      </w:r>
      <w:r w:rsidRPr="00535290">
        <w:t>лей имелось не более одной карточки водителя, которую могут выдавать ра</w:t>
      </w:r>
      <w:r w:rsidRPr="00535290">
        <w:t>з</w:t>
      </w:r>
      <w:r w:rsidRPr="00535290">
        <w:t>личные национальные органы, ответственные за выдачу карточек, SC.1 просила Группу экспертов по ЕСТР дополнительно обсудить этот вопрос на следующей сессии</w:t>
      </w:r>
      <w:proofErr w:type="gramEnd"/>
      <w:r w:rsidRPr="00535290">
        <w:t>, а секретариат – подготовить документ ECE/TRANS/SC.1/GE.21/2017/2/</w:t>
      </w:r>
      <w:r w:rsidR="009F74B1">
        <w:t xml:space="preserve"> </w:t>
      </w:r>
      <w:r w:rsidRPr="00535290">
        <w:t>Rev.2, объединяющий существующие предложения правительства Словацкой Республики (т.е. предложения по статьям 22, 22-бис, 14, 10 и 10-бис) для обле</w:t>
      </w:r>
      <w:r w:rsidRPr="00535290">
        <w:t>г</w:t>
      </w:r>
      <w:r w:rsidRPr="00535290">
        <w:t>чения обсуждения. Европейская комиссия выразила недоумение по поводу п</w:t>
      </w:r>
      <w:r w:rsidRPr="00535290">
        <w:t>о</w:t>
      </w:r>
      <w:r w:rsidRPr="00535290">
        <w:t>вторного представления Группе экспертов по ЕСТР предлагаемой статьи 10-бис на основании технических замечаний, которые уже должны были быть ра</w:t>
      </w:r>
      <w:r w:rsidRPr="00535290">
        <w:t>с</w:t>
      </w:r>
      <w:r w:rsidRPr="00535290">
        <w:t>смотрены на предыдущих сессиях Группы экспертов по ЕСТР.</w:t>
      </w:r>
    </w:p>
    <w:p w:rsidR="00535290" w:rsidRPr="00535290" w:rsidRDefault="00535290" w:rsidP="00535290">
      <w:pPr>
        <w:pStyle w:val="SingleTxtGR"/>
      </w:pPr>
      <w:r w:rsidRPr="00535290">
        <w:t>23.</w:t>
      </w:r>
      <w:r w:rsidRPr="00535290">
        <w:tab/>
        <w:t xml:space="preserve">Правительство Турции сообщило </w:t>
      </w:r>
      <w:proofErr w:type="gramStart"/>
      <w:r w:rsidRPr="00535290">
        <w:t>о новых изменениях в связи с проектом по созданию национального центра мониторинга данных о продолжительности</w:t>
      </w:r>
      <w:proofErr w:type="gramEnd"/>
      <w:r w:rsidRPr="00535290">
        <w:t xml:space="preserve"> периодов управления транспортным средством и отдыха (см. пункт 18, ECE/TRANS/SC.1/406). Оно проинформировало о том, что 9 февраля 2017 года был подписан протокол с Союзом торговых палат и сырьевых бирж Турции. Благодаря этому проекту будут собираться, храниться и анализироваться да</w:t>
      </w:r>
      <w:r w:rsidRPr="00535290">
        <w:t>н</w:t>
      </w:r>
      <w:r w:rsidRPr="00535290">
        <w:t>ные, собранные на турецких грузовых автомобилях. Эта база данных, как ож</w:t>
      </w:r>
      <w:r w:rsidRPr="00535290">
        <w:t>и</w:t>
      </w:r>
      <w:r w:rsidRPr="00535290">
        <w:t>дается, будет создана к середине 2018 года. Турция представит обновленную информацию по этому вопросу на следующей сессии.</w:t>
      </w:r>
    </w:p>
    <w:p w:rsidR="00535290" w:rsidRPr="00535290" w:rsidRDefault="00535290" w:rsidP="00535290">
      <w:pPr>
        <w:pStyle w:val="SingleTxtGR"/>
      </w:pPr>
      <w:r w:rsidRPr="00535290">
        <w:t>24.</w:t>
      </w:r>
      <w:r w:rsidRPr="00535290">
        <w:tab/>
        <w:t xml:space="preserve">Два турецких изготовителя цифровых </w:t>
      </w:r>
      <w:proofErr w:type="spellStart"/>
      <w:r w:rsidRPr="00535290">
        <w:t>тахографов</w:t>
      </w:r>
      <w:proofErr w:type="spellEnd"/>
      <w:r w:rsidRPr="00535290">
        <w:t xml:space="preserve"> представили информ</w:t>
      </w:r>
      <w:r w:rsidRPr="00535290">
        <w:t>а</w:t>
      </w:r>
      <w:r w:rsidRPr="00535290">
        <w:t xml:space="preserve">цию </w:t>
      </w:r>
      <w:proofErr w:type="gramStart"/>
      <w:r w:rsidRPr="00535290">
        <w:t>о</w:t>
      </w:r>
      <w:proofErr w:type="gramEnd"/>
      <w:r w:rsidRPr="00535290">
        <w:t xml:space="preserve"> выпускаемых ими </w:t>
      </w:r>
      <w:proofErr w:type="spellStart"/>
      <w:r w:rsidRPr="00535290">
        <w:t>тахографах</w:t>
      </w:r>
      <w:proofErr w:type="spellEnd"/>
      <w:r w:rsidRPr="00535290">
        <w:t xml:space="preserve">. </w:t>
      </w:r>
      <w:proofErr w:type="gramStart"/>
      <w:r w:rsidRPr="00535290">
        <w:t xml:space="preserve">Представитель компании </w:t>
      </w:r>
      <w:r>
        <w:t>«</w:t>
      </w:r>
      <w:r w:rsidRPr="00535290">
        <w:t>ПАРС АРГЕ</w:t>
      </w:r>
      <w:r>
        <w:t>»</w:t>
      </w:r>
      <w:r w:rsidRPr="00535290">
        <w:t xml:space="preserve"> проинформировал об используемых ею технических новшествах, таких как </w:t>
      </w:r>
      <w:r>
        <w:t>«</w:t>
      </w:r>
      <w:proofErr w:type="spellStart"/>
      <w:r w:rsidRPr="00535290">
        <w:t>блутус</w:t>
      </w:r>
      <w:proofErr w:type="spellEnd"/>
      <w:r>
        <w:t>»</w:t>
      </w:r>
      <w:r w:rsidRPr="00535290">
        <w:t xml:space="preserve">, а представитель </w:t>
      </w:r>
      <w:r>
        <w:t>«</w:t>
      </w:r>
      <w:proofErr w:type="spellStart"/>
      <w:r w:rsidRPr="00535290">
        <w:t>Аселсан</w:t>
      </w:r>
      <w:proofErr w:type="spellEnd"/>
      <w:r>
        <w:t>»</w:t>
      </w:r>
      <w:r w:rsidRPr="00535290">
        <w:t xml:space="preserve"> рассказал о своей компании, сообщил о заявленных международных патентах на ее цифровые </w:t>
      </w:r>
      <w:proofErr w:type="spellStart"/>
      <w:r w:rsidRPr="00535290">
        <w:t>тахографы</w:t>
      </w:r>
      <w:proofErr w:type="spellEnd"/>
      <w:r w:rsidRPr="00535290">
        <w:t xml:space="preserve"> и призах, к</w:t>
      </w:r>
      <w:r w:rsidRPr="00535290">
        <w:t>о</w:t>
      </w:r>
      <w:r w:rsidRPr="00535290">
        <w:t xml:space="preserve">торые получила ее продукция. </w:t>
      </w:r>
      <w:proofErr w:type="gramEnd"/>
    </w:p>
    <w:p w:rsidR="00535290" w:rsidRPr="00535290" w:rsidRDefault="00535290" w:rsidP="009F74B1">
      <w:pPr>
        <w:pStyle w:val="HChGR"/>
      </w:pPr>
      <w:r w:rsidRPr="00535290">
        <w:tab/>
        <w:t>V.</w:t>
      </w:r>
      <w:r w:rsidRPr="00535290">
        <w:tab/>
        <w:t>Европейское соглашение о международных автомагистралях (СМА) (пункт 4 повестки дня)</w:t>
      </w:r>
    </w:p>
    <w:p w:rsidR="00535290" w:rsidRPr="00535290" w:rsidRDefault="00535290" w:rsidP="00631F8E">
      <w:pPr>
        <w:pStyle w:val="H1GR"/>
      </w:pPr>
      <w:r w:rsidRPr="00535290">
        <w:tab/>
        <w:t>A.</w:t>
      </w:r>
      <w:r w:rsidRPr="00535290">
        <w:tab/>
        <w:t>Статус Соглашения</w:t>
      </w:r>
    </w:p>
    <w:p w:rsidR="00535290" w:rsidRPr="00535290" w:rsidRDefault="00535290" w:rsidP="00535290">
      <w:pPr>
        <w:pStyle w:val="SingleTxtGR"/>
      </w:pPr>
      <w:r w:rsidRPr="00535290">
        <w:t>25.</w:t>
      </w:r>
      <w:r w:rsidRPr="00535290">
        <w:tab/>
        <w:t>Секретариат проинформировал SC.1 о статусе Соглашения СМА. Со вр</w:t>
      </w:r>
      <w:r w:rsidRPr="00535290">
        <w:t>е</w:t>
      </w:r>
      <w:r w:rsidRPr="00535290">
        <w:t>мени проведения последней сессии SC.1 число Договаривающихся сторон осталось неизменным (37).</w:t>
      </w:r>
    </w:p>
    <w:p w:rsidR="00535290" w:rsidRPr="00535290" w:rsidRDefault="00535290" w:rsidP="00631F8E">
      <w:pPr>
        <w:pStyle w:val="H1GR"/>
      </w:pPr>
      <w:r w:rsidRPr="00535290">
        <w:tab/>
        <w:t>B.</w:t>
      </w:r>
      <w:r w:rsidRPr="00535290">
        <w:tab/>
        <w:t>Поправки к Соглашению</w:t>
      </w:r>
    </w:p>
    <w:p w:rsidR="00535290" w:rsidRPr="00535290" w:rsidRDefault="00535290" w:rsidP="00535290">
      <w:pPr>
        <w:pStyle w:val="SingleTxtGR"/>
      </w:pPr>
      <w:r w:rsidRPr="00535290">
        <w:t>26.</w:t>
      </w:r>
      <w:r w:rsidRPr="00535290">
        <w:tab/>
      </w:r>
      <w:proofErr w:type="gramStart"/>
      <w:r w:rsidRPr="00535290">
        <w:t>Секретариат проинформировал SC.1 о том, что поправки к приложению I к Соглашению СМА, предложенные правительствами Норвегии (ECE/TRANS/</w:t>
      </w:r>
      <w:r w:rsidR="00631F8E">
        <w:t xml:space="preserve"> </w:t>
      </w:r>
      <w:r w:rsidRPr="00535290">
        <w:t>SC.1/2016/1), а также Финляндии и Норвегии (ECE/TRANS/SC.1/2016/2), пр</w:t>
      </w:r>
      <w:r w:rsidRPr="00535290">
        <w:t>и</w:t>
      </w:r>
      <w:r w:rsidRPr="00535290">
        <w:t>нятые на последней сессии, вступят в силу одновременно</w:t>
      </w:r>
      <w:r w:rsidR="00631F8E">
        <w:t>, т.е. 5 декабря 2017 </w:t>
      </w:r>
      <w:r w:rsidRPr="00535290">
        <w:t>года (см. уведомления депозитария C.N.491.2017.TREATIES-XI.B.28 и C.N</w:t>
      </w:r>
      <w:proofErr w:type="gramEnd"/>
      <w:r w:rsidRPr="00535290">
        <w:t>.</w:t>
      </w:r>
      <w:proofErr w:type="gramStart"/>
      <w:r w:rsidRPr="00535290">
        <w:t xml:space="preserve">492.2017.TREATIES-XI.B.28). </w:t>
      </w:r>
      <w:proofErr w:type="gramEnd"/>
    </w:p>
    <w:p w:rsidR="00535290" w:rsidRPr="00535290" w:rsidRDefault="00535290" w:rsidP="00631F8E">
      <w:pPr>
        <w:pStyle w:val="HChGR"/>
      </w:pPr>
      <w:r w:rsidRPr="00535290">
        <w:tab/>
        <w:t>VI.</w:t>
      </w:r>
      <w:r w:rsidRPr="00535290">
        <w:tab/>
        <w:t>Проект Трансъевропейской магистрали Север−Юг (ТЕА) (пункт 5 повестки дня)</w:t>
      </w:r>
    </w:p>
    <w:p w:rsidR="00535290" w:rsidRPr="00535290" w:rsidRDefault="00535290" w:rsidP="00535290">
      <w:pPr>
        <w:pStyle w:val="SingleTxtGR"/>
      </w:pPr>
      <w:r w:rsidRPr="00535290">
        <w:t>27.</w:t>
      </w:r>
      <w:r w:rsidRPr="00535290">
        <w:tab/>
        <w:t>SC.1 приняла к сведению представленную информацию о проекте ТЕА. Управляющий проекта ТЕА сообщил, что новая стратегия и финансовые сре</w:t>
      </w:r>
      <w:r w:rsidRPr="00535290">
        <w:t>д</w:t>
      </w:r>
      <w:r w:rsidRPr="00535290">
        <w:t xml:space="preserve">ства на этот проект утверждены в феврале 2017 года. В стратегии перечислены пять стратегических сфер интересов, определенных странами </w:t>
      </w:r>
      <w:r w:rsidR="00350C7A">
        <w:t>– членами ТЕА, и </w:t>
      </w:r>
      <w:r w:rsidRPr="00535290">
        <w:t>изложен план работы на период 2017–2021 годов. С планом работы можно ознакомиться в приложении к документу ECE/TRANS/SC.1/2017/3/Rev.1.</w:t>
      </w:r>
    </w:p>
    <w:p w:rsidR="00535290" w:rsidRPr="00535290" w:rsidRDefault="00535290" w:rsidP="00631F8E">
      <w:pPr>
        <w:pStyle w:val="HChGR"/>
      </w:pPr>
      <w:r w:rsidRPr="00535290">
        <w:tab/>
        <w:t>VII.</w:t>
      </w:r>
      <w:r w:rsidRPr="00535290">
        <w:tab/>
        <w:t>Конвенция о договоре международной дорожной перевозки грузов (КДПГ) (пункт 6 повестки дня)</w:t>
      </w:r>
    </w:p>
    <w:p w:rsidR="00535290" w:rsidRPr="00535290" w:rsidRDefault="00535290" w:rsidP="00631F8E">
      <w:pPr>
        <w:pStyle w:val="H1GR"/>
      </w:pPr>
      <w:r w:rsidRPr="00535290">
        <w:tab/>
        <w:t>A.</w:t>
      </w:r>
      <w:r w:rsidRPr="00535290">
        <w:tab/>
        <w:t>Статус Конвенции</w:t>
      </w:r>
    </w:p>
    <w:p w:rsidR="00535290" w:rsidRPr="00535290" w:rsidRDefault="00535290" w:rsidP="00535290">
      <w:pPr>
        <w:pStyle w:val="SingleTxtGR"/>
      </w:pPr>
      <w:r w:rsidRPr="00535290">
        <w:t>28.</w:t>
      </w:r>
      <w:r w:rsidRPr="00535290">
        <w:tab/>
        <w:t>Секретариат проинформировал SC.1 о том, что со времени проведения последней сессии SC.1 число Договаривающихся сторон Конвенции осталось неизменным (55).</w:t>
      </w:r>
    </w:p>
    <w:p w:rsidR="00535290" w:rsidRPr="00535290" w:rsidRDefault="00535290" w:rsidP="00631F8E">
      <w:pPr>
        <w:pStyle w:val="H1GR"/>
      </w:pPr>
      <w:r w:rsidRPr="00535290">
        <w:tab/>
        <w:t>B.</w:t>
      </w:r>
      <w:r w:rsidRPr="00535290">
        <w:tab/>
        <w:t>Протокол к Конвенции о договоре международной дорожной перевозки грузов (КДПГ)</w:t>
      </w:r>
    </w:p>
    <w:p w:rsidR="00535290" w:rsidRPr="00535290" w:rsidRDefault="00535290" w:rsidP="00535290">
      <w:pPr>
        <w:pStyle w:val="SingleTxtGR"/>
      </w:pPr>
      <w:r w:rsidRPr="00535290">
        <w:t>29.</w:t>
      </w:r>
      <w:r w:rsidRPr="00535290">
        <w:tab/>
        <w:t>Секретариат сообщил, что со времени проведения последней сессии SC.1 к Протоколу присоединилось одно государство (Хорватия), в результате чего общее число его Договаривающихся сторон достигло 43.</w:t>
      </w:r>
    </w:p>
    <w:p w:rsidR="00535290" w:rsidRPr="00535290" w:rsidRDefault="00535290" w:rsidP="00631F8E">
      <w:pPr>
        <w:pStyle w:val="H1GR"/>
      </w:pPr>
      <w:r w:rsidRPr="00535290">
        <w:tab/>
        <w:t>C.</w:t>
      </w:r>
      <w:r w:rsidRPr="00535290">
        <w:tab/>
        <w:t>Дополнительный протокол к КДПГ, касающийся электронной накладной</w:t>
      </w:r>
    </w:p>
    <w:p w:rsidR="00535290" w:rsidRPr="00535290" w:rsidRDefault="00535290" w:rsidP="00535290">
      <w:pPr>
        <w:pStyle w:val="SingleTxtGR"/>
      </w:pPr>
      <w:r w:rsidRPr="00535290">
        <w:t>30.</w:t>
      </w:r>
      <w:r w:rsidRPr="00535290">
        <w:tab/>
        <w:t>Секретариат сообщил, что со времени проведения последней сессии SC.1 к Дополнительному протоколу присоединились два государства (Словения и Эстония), в результате чего общее число его Договаривающихся сторон дости</w:t>
      </w:r>
      <w:r w:rsidRPr="00535290">
        <w:t>г</w:t>
      </w:r>
      <w:r w:rsidRPr="00535290">
        <w:t xml:space="preserve">ло 12. </w:t>
      </w:r>
    </w:p>
    <w:p w:rsidR="00535290" w:rsidRPr="00535290" w:rsidRDefault="00535290" w:rsidP="00535290">
      <w:pPr>
        <w:pStyle w:val="SingleTxtGR"/>
      </w:pPr>
      <w:r w:rsidRPr="00535290">
        <w:t>31.</w:t>
      </w:r>
      <w:r w:rsidRPr="00535290">
        <w:tab/>
        <w:t>Правительство Турция сообщило, что эта страна завершила внутренние правовые процедуры для присоединения к Дополнительному протоколу к КДПГ. Правительство Российской Федерации проинформировало о своем нам</w:t>
      </w:r>
      <w:r w:rsidRPr="00535290">
        <w:t>е</w:t>
      </w:r>
      <w:r w:rsidRPr="00535290">
        <w:t>рении присоединиться к Дополнительному протоколу к КДПГ в ближайшем б</w:t>
      </w:r>
      <w:r w:rsidRPr="00535290">
        <w:t>у</w:t>
      </w:r>
      <w:r w:rsidRPr="00535290">
        <w:t>дущем, а также о том, что она начала внутренние процедуры с этой целью.</w:t>
      </w:r>
    </w:p>
    <w:p w:rsidR="00535290" w:rsidRPr="00535290" w:rsidRDefault="00535290" w:rsidP="00535290">
      <w:pPr>
        <w:pStyle w:val="SingleTxtGR"/>
      </w:pPr>
      <w:r w:rsidRPr="00535290">
        <w:t>32.</w:t>
      </w:r>
      <w:r w:rsidRPr="00535290">
        <w:tab/>
        <w:t>Секретариат в сотрудничестве с Международным союзом автомобильного транспорта организовал специальное совещание по e-CMR для подведения ит</w:t>
      </w:r>
      <w:r w:rsidRPr="00535290">
        <w:t>о</w:t>
      </w:r>
      <w:r w:rsidRPr="00535290">
        <w:t>гов и определения будущих направлений деятельности в области разработки электронных накладных на основе этого Дополнительного протокола (неофиц</w:t>
      </w:r>
      <w:r w:rsidRPr="00535290">
        <w:t>и</w:t>
      </w:r>
      <w:r w:rsidRPr="00535290">
        <w:t>альный документ № 2). На совещании, которое открыл заместитель Исполн</w:t>
      </w:r>
      <w:r w:rsidRPr="00535290">
        <w:t>и</w:t>
      </w:r>
      <w:r w:rsidRPr="00535290">
        <w:t xml:space="preserve">тельного секретаря ЕЭК ООН, были сделаны следующие сообщения: </w:t>
      </w:r>
      <w:proofErr w:type="gramStart"/>
      <w:r>
        <w:t>«</w:t>
      </w:r>
      <w:r w:rsidRPr="00535290">
        <w:t>Конве</w:t>
      </w:r>
      <w:r w:rsidRPr="00535290">
        <w:t>н</w:t>
      </w:r>
      <w:r w:rsidRPr="00535290">
        <w:t>ция о договоре международной дорожной перевозки грузов и Дополнительный протокол, касающийся электронной накладной</w:t>
      </w:r>
      <w:r>
        <w:t>»</w:t>
      </w:r>
      <w:r w:rsidRPr="00535290">
        <w:t xml:space="preserve">) (секретариат); </w:t>
      </w:r>
      <w:r>
        <w:t>«</w:t>
      </w:r>
      <w:r w:rsidRPr="00535290">
        <w:t>Доклад о ра</w:t>
      </w:r>
      <w:r w:rsidRPr="00535290">
        <w:t>з</w:t>
      </w:r>
      <w:r w:rsidRPr="00535290">
        <w:t xml:space="preserve">работке </w:t>
      </w:r>
      <w:proofErr w:type="spellStart"/>
      <w:r w:rsidRPr="00535290">
        <w:t>международно</w:t>
      </w:r>
      <w:proofErr w:type="spellEnd"/>
      <w:r w:rsidRPr="00535290">
        <w:t xml:space="preserve"> признанного стандарта сообщения по электронной накладной (проект СЕФАКТ ООН) (СЕФАКТ ООН); </w:t>
      </w:r>
      <w:r>
        <w:t>«</w:t>
      </w:r>
      <w:r w:rsidRPr="00535290">
        <w:t>Нынешнее положение дел в области применения электронной накладной (e-CMR) и расширение ее ге</w:t>
      </w:r>
      <w:r w:rsidRPr="00535290">
        <w:t>о</w:t>
      </w:r>
      <w:r w:rsidRPr="00535290">
        <w:t>графического охвата</w:t>
      </w:r>
      <w:r>
        <w:t>»</w:t>
      </w:r>
      <w:r w:rsidRPr="00535290">
        <w:t xml:space="preserve"> (МСАТ); и </w:t>
      </w:r>
      <w:r>
        <w:t>«</w:t>
      </w:r>
      <w:r w:rsidRPr="00535290">
        <w:t>Электронные накладные: операции и пило</w:t>
      </w:r>
      <w:r w:rsidRPr="00535290">
        <w:t>т</w:t>
      </w:r>
      <w:r w:rsidRPr="00535290">
        <w:t>ные проекты</w:t>
      </w:r>
      <w:r>
        <w:t>»</w:t>
      </w:r>
      <w:r w:rsidRPr="00535290">
        <w:t xml:space="preserve"> (правительство Нидерландов и испанский транспортный опер</w:t>
      </w:r>
      <w:r w:rsidRPr="00535290">
        <w:t>а</w:t>
      </w:r>
      <w:r w:rsidRPr="00535290">
        <w:t xml:space="preserve">тор </w:t>
      </w:r>
      <w:r>
        <w:t>«</w:t>
      </w:r>
      <w:proofErr w:type="spellStart"/>
      <w:r w:rsidRPr="00535290">
        <w:t>Сетир</w:t>
      </w:r>
      <w:proofErr w:type="spellEnd"/>
      <w:r>
        <w:t>»</w:t>
      </w:r>
      <w:r w:rsidRPr="00535290">
        <w:t>).</w:t>
      </w:r>
      <w:proofErr w:type="gramEnd"/>
    </w:p>
    <w:p w:rsidR="00535290" w:rsidRPr="00535290" w:rsidRDefault="00535290" w:rsidP="00535290">
      <w:pPr>
        <w:pStyle w:val="SingleTxtGR"/>
      </w:pPr>
      <w:r w:rsidRPr="00535290">
        <w:t>33.</w:t>
      </w:r>
      <w:r w:rsidRPr="00535290">
        <w:tab/>
        <w:t>SC.1 высоко оценила представленную информацию. Была выражена большая заинтересованность в обсуждении, но ввиду ограниченного времени для рассмотрения представленной информации SC.1 просила секретариат пр</w:t>
      </w:r>
      <w:r w:rsidRPr="00535290">
        <w:t>о</w:t>
      </w:r>
      <w:r w:rsidRPr="00535290">
        <w:t xml:space="preserve">вести специальную сессию SC.1, посвященную </w:t>
      </w:r>
      <w:proofErr w:type="gramStart"/>
      <w:r w:rsidRPr="00535290">
        <w:t>е</w:t>
      </w:r>
      <w:proofErr w:type="gramEnd"/>
      <w:r w:rsidR="00350C7A">
        <w:t>-</w:t>
      </w:r>
      <w:r w:rsidRPr="00535290">
        <w:t>CMR, в начале 2018 года с устным переводом для дальнейшего изучения этого вопроса и принятия реш</w:t>
      </w:r>
      <w:r w:rsidRPr="00535290">
        <w:t>е</w:t>
      </w:r>
      <w:r w:rsidRPr="00535290">
        <w:t>ния относительно дальнейших действий. МСАТ сообщил о своей готовности оказать SC.1 поддержку в организации этого совещания.</w:t>
      </w:r>
    </w:p>
    <w:p w:rsidR="00535290" w:rsidRPr="00535290" w:rsidRDefault="00535290" w:rsidP="00733EB6">
      <w:pPr>
        <w:pStyle w:val="HChGR"/>
      </w:pPr>
      <w:r w:rsidRPr="00535290">
        <w:tab/>
        <w:t>VIII.</w:t>
      </w:r>
      <w:r w:rsidRPr="00535290">
        <w:tab/>
        <w:t>Облегчение международных автомобильных перевозок (пункт 7 повестки дня)</w:t>
      </w:r>
    </w:p>
    <w:p w:rsidR="00535290" w:rsidRPr="00535290" w:rsidRDefault="00535290" w:rsidP="00733EB6">
      <w:pPr>
        <w:pStyle w:val="H1GR"/>
      </w:pPr>
      <w:r w:rsidRPr="00535290">
        <w:tab/>
        <w:t>A.</w:t>
      </w:r>
      <w:r w:rsidRPr="00535290">
        <w:tab/>
        <w:t xml:space="preserve">Международная система страхования автотранспортных средств (система </w:t>
      </w:r>
      <w:r>
        <w:t>«</w:t>
      </w:r>
      <w:r w:rsidRPr="00535290">
        <w:t>Зеленой карты</w:t>
      </w:r>
      <w:r>
        <w:t>»</w:t>
      </w:r>
      <w:r w:rsidRPr="00535290">
        <w:t>)</w:t>
      </w:r>
    </w:p>
    <w:p w:rsidR="00535290" w:rsidRPr="00535290" w:rsidRDefault="00535290" w:rsidP="00535290">
      <w:pPr>
        <w:pStyle w:val="SingleTxtGR"/>
      </w:pPr>
      <w:r w:rsidRPr="00535290">
        <w:t>34.</w:t>
      </w:r>
      <w:r w:rsidRPr="00535290">
        <w:tab/>
        <w:t>Рабочая группа была проинформирована Председателем Совета страх</w:t>
      </w:r>
      <w:r w:rsidRPr="00535290">
        <w:t>о</w:t>
      </w:r>
      <w:r w:rsidRPr="00535290">
        <w:t xml:space="preserve">вых бюро о последних изменениях в системе </w:t>
      </w:r>
      <w:r>
        <w:t>«</w:t>
      </w:r>
      <w:r w:rsidRPr="00535290">
        <w:t>Зеленой карты</w:t>
      </w:r>
      <w:r>
        <w:t>»</w:t>
      </w:r>
      <w:r w:rsidRPr="00535290">
        <w:t xml:space="preserve"> (подробная и</w:t>
      </w:r>
      <w:r w:rsidRPr="00535290">
        <w:t>н</w:t>
      </w:r>
      <w:r w:rsidRPr="00535290">
        <w:t>формация содержится в документе ECE/TRANS/SC.1/2017/2).</w:t>
      </w:r>
    </w:p>
    <w:p w:rsidR="00535290" w:rsidRPr="00535290" w:rsidRDefault="00535290" w:rsidP="00733EB6">
      <w:pPr>
        <w:pStyle w:val="H1GR"/>
      </w:pPr>
      <w:r w:rsidRPr="00535290">
        <w:tab/>
        <w:t>B.</w:t>
      </w:r>
      <w:r w:rsidRPr="00535290">
        <w:tab/>
        <w:t>Предложение по заключению глобального многостороннего соглашения о международных регулярных перевозках пассажиров междугородными и городскими автобусами (</w:t>
      </w:r>
      <w:r>
        <w:t>«</w:t>
      </w:r>
      <w:proofErr w:type="spellStart"/>
      <w:r w:rsidRPr="00535290">
        <w:t>ОмниБУС</w:t>
      </w:r>
      <w:proofErr w:type="spellEnd"/>
      <w:r>
        <w:t>»</w:t>
      </w:r>
      <w:r w:rsidRPr="00535290">
        <w:t>)</w:t>
      </w:r>
    </w:p>
    <w:p w:rsidR="00535290" w:rsidRPr="00535290" w:rsidRDefault="00535290" w:rsidP="00535290">
      <w:pPr>
        <w:pStyle w:val="SingleTxtGR"/>
      </w:pPr>
      <w:r w:rsidRPr="00535290">
        <w:t>35.</w:t>
      </w:r>
      <w:r w:rsidRPr="00535290">
        <w:tab/>
        <w:t>На своей прошлой сессии SC.1 отметила, что принятая Европейским с</w:t>
      </w:r>
      <w:r w:rsidRPr="00535290">
        <w:t>о</w:t>
      </w:r>
      <w:r w:rsidRPr="00535290">
        <w:t xml:space="preserve">юзом процедура разработки нового Соглашения </w:t>
      </w:r>
      <w:r>
        <w:t>«</w:t>
      </w:r>
      <w:proofErr w:type="spellStart"/>
      <w:r w:rsidRPr="00535290">
        <w:t>ИнтерБус</w:t>
      </w:r>
      <w:proofErr w:type="spellEnd"/>
      <w:r>
        <w:t>»</w:t>
      </w:r>
      <w:r w:rsidRPr="00535290">
        <w:t xml:space="preserve"> не позволит чл</w:t>
      </w:r>
      <w:r w:rsidRPr="00535290">
        <w:t>е</w:t>
      </w:r>
      <w:r w:rsidRPr="00535290">
        <w:t>нам ЕКМТ принять участие в переговорах, если они не являются Договарив</w:t>
      </w:r>
      <w:r w:rsidRPr="00535290">
        <w:t>а</w:t>
      </w:r>
      <w:r w:rsidRPr="00535290">
        <w:t xml:space="preserve">ющимися сторонами Соглашения </w:t>
      </w:r>
      <w:r>
        <w:t>«</w:t>
      </w:r>
      <w:proofErr w:type="spellStart"/>
      <w:r w:rsidRPr="00535290">
        <w:t>ИнтерБус</w:t>
      </w:r>
      <w:proofErr w:type="spellEnd"/>
      <w:r>
        <w:t>»</w:t>
      </w:r>
      <w:r w:rsidRPr="00535290">
        <w:t xml:space="preserve">. Исходя из этого, SC.1 просила Европейский союз пересмотреть процедуру, с </w:t>
      </w:r>
      <w:proofErr w:type="gramStart"/>
      <w:r w:rsidRPr="00535290">
        <w:t>тем</w:t>
      </w:r>
      <w:proofErr w:type="gramEnd"/>
      <w:r w:rsidRPr="00535290">
        <w:t xml:space="preserve"> чтобы переговоры были о</w:t>
      </w:r>
      <w:r w:rsidRPr="00535290">
        <w:t>т</w:t>
      </w:r>
      <w:r w:rsidRPr="00535290">
        <w:t xml:space="preserve">крыты для всех членов ЕКМТ, включая те страны, которые сыграли важную роль в разработке проекта соглашения </w:t>
      </w:r>
      <w:r>
        <w:t>«</w:t>
      </w:r>
      <w:proofErr w:type="spellStart"/>
      <w:r w:rsidRPr="00535290">
        <w:t>ОмниБус</w:t>
      </w:r>
      <w:proofErr w:type="spellEnd"/>
      <w:r>
        <w:t>»</w:t>
      </w:r>
      <w:r w:rsidRPr="00535290">
        <w:t xml:space="preserve"> (пункт 33, ECE/TRANS/</w:t>
      </w:r>
      <w:r w:rsidR="00733EB6">
        <w:t xml:space="preserve"> </w:t>
      </w:r>
      <w:r w:rsidRPr="00535290">
        <w:t xml:space="preserve">SC.1/406). Европейский союз подтвердил свою позицию по этому вопросу. SC.1 вновь обратился к Европейскому союзу с просьбой разъяснить взаимосвязь между Соглашением </w:t>
      </w:r>
      <w:r>
        <w:t>«</w:t>
      </w:r>
      <w:proofErr w:type="spellStart"/>
      <w:r w:rsidRPr="00535290">
        <w:t>ИнтерБус</w:t>
      </w:r>
      <w:proofErr w:type="spellEnd"/>
      <w:r>
        <w:t>»</w:t>
      </w:r>
      <w:r w:rsidRPr="00535290">
        <w:t xml:space="preserve"> и проектом соглашения </w:t>
      </w:r>
      <w:r>
        <w:t>«</w:t>
      </w:r>
      <w:proofErr w:type="spellStart"/>
      <w:r w:rsidRPr="00535290">
        <w:t>ОмниБус</w:t>
      </w:r>
      <w:proofErr w:type="spellEnd"/>
      <w:r>
        <w:t>»</w:t>
      </w:r>
      <w:r w:rsidRPr="00535290">
        <w:t>.</w:t>
      </w:r>
    </w:p>
    <w:p w:rsidR="00535290" w:rsidRPr="00535290" w:rsidRDefault="00535290" w:rsidP="00535290">
      <w:pPr>
        <w:pStyle w:val="SingleTxtGR"/>
      </w:pPr>
      <w:r w:rsidRPr="00535290">
        <w:t>36.</w:t>
      </w:r>
      <w:r w:rsidRPr="00535290">
        <w:tab/>
        <w:t>SC.1 решила продолжить работу по завершению проекта Соглашения</w:t>
      </w:r>
      <w:r>
        <w:t xml:space="preserve"> «</w:t>
      </w:r>
      <w:proofErr w:type="spellStart"/>
      <w:r w:rsidRPr="00535290">
        <w:t>ОмниБус</w:t>
      </w:r>
      <w:proofErr w:type="spellEnd"/>
      <w:r>
        <w:t>»</w:t>
      </w:r>
      <w:r w:rsidRPr="00535290">
        <w:t xml:space="preserve"> и поручила секретариату найти подходящие даты в 2018 году для организации совещаний, посвященных решению этой задачи.</w:t>
      </w:r>
    </w:p>
    <w:p w:rsidR="00535290" w:rsidRPr="00535290" w:rsidRDefault="00535290" w:rsidP="00733EB6">
      <w:pPr>
        <w:pStyle w:val="H1GR"/>
      </w:pPr>
      <w:r w:rsidRPr="00535290">
        <w:tab/>
        <w:t>C.</w:t>
      </w:r>
      <w:r w:rsidRPr="00535290">
        <w:tab/>
        <w:t>Количественные ограничения на международные автомобильные перевозки грузов</w:t>
      </w:r>
    </w:p>
    <w:p w:rsidR="00535290" w:rsidRPr="00535290" w:rsidRDefault="00535290" w:rsidP="00535290">
      <w:pPr>
        <w:pStyle w:val="SingleTxtGR"/>
      </w:pPr>
      <w:r w:rsidRPr="00535290">
        <w:t>37.</w:t>
      </w:r>
      <w:r w:rsidRPr="00535290">
        <w:tab/>
        <w:t xml:space="preserve">На последней сессии SC.1 обсудила исследование Европейской комиссии по экономическому анализу соглашения между Европейским союзом и </w:t>
      </w:r>
      <w:proofErr w:type="gramStart"/>
      <w:r w:rsidRPr="00535290">
        <w:t>Тур</w:t>
      </w:r>
      <w:r w:rsidR="00350C7A">
        <w:t>-</w:t>
      </w:r>
      <w:proofErr w:type="spellStart"/>
      <w:r w:rsidRPr="00535290">
        <w:t>цией</w:t>
      </w:r>
      <w:proofErr w:type="spellEnd"/>
      <w:proofErr w:type="gramEnd"/>
      <w:r w:rsidRPr="00535290">
        <w:t xml:space="preserve">, в котором делается вывод о том, что Европейский союз и Турция понесли большие финансовые потери из-за транспортных квот и ограничений. </w:t>
      </w:r>
    </w:p>
    <w:p w:rsidR="00535290" w:rsidRPr="00535290" w:rsidRDefault="00535290" w:rsidP="00535290">
      <w:pPr>
        <w:pStyle w:val="SingleTxtGR"/>
      </w:pPr>
      <w:r w:rsidRPr="00535290">
        <w:t>38.</w:t>
      </w:r>
      <w:r w:rsidRPr="00535290">
        <w:tab/>
        <w:t>SC.1 приняла к сведению информацию Европейской комиссии о новых изменениях, касающихся продления действия Таможенного соглашения. Евр</w:t>
      </w:r>
      <w:r w:rsidRPr="00535290">
        <w:t>о</w:t>
      </w:r>
      <w:r w:rsidRPr="00535290">
        <w:t>пейская комиссия сообщила также о том, что данный вопрос в настоящее время находится на рассмотрении Совета и что службой, отвечающей в ЕК за это направление, является ГД по торговле. Правительство Турции обратилось к ГД по мобильности и транспорту с просьбой продолжить обсуждение этого вопр</w:t>
      </w:r>
      <w:r w:rsidRPr="00535290">
        <w:t>о</w:t>
      </w:r>
      <w:r w:rsidRPr="00535290">
        <w:t>са в рамках ЕК.</w:t>
      </w:r>
    </w:p>
    <w:p w:rsidR="00535290" w:rsidRPr="00535290" w:rsidRDefault="00535290" w:rsidP="00733EB6">
      <w:pPr>
        <w:pStyle w:val="H1GR"/>
      </w:pPr>
      <w:r w:rsidRPr="00535290">
        <w:tab/>
        <w:t>D.</w:t>
      </w:r>
      <w:r w:rsidRPr="00535290">
        <w:tab/>
        <w:t>Связь между происхождением товаров и транспортными операциями</w:t>
      </w:r>
    </w:p>
    <w:p w:rsidR="00F503C8" w:rsidRPr="008B1F7B" w:rsidRDefault="00535290" w:rsidP="00535290">
      <w:pPr>
        <w:pStyle w:val="SingleTxtGR"/>
      </w:pPr>
      <w:r w:rsidRPr="00535290">
        <w:t>39.</w:t>
      </w:r>
      <w:r w:rsidRPr="00535290">
        <w:tab/>
        <w:t>На последней сессии Латвия и Польша представили предложение (н</w:t>
      </w:r>
      <w:r w:rsidRPr="00535290">
        <w:t>е</w:t>
      </w:r>
      <w:r w:rsidRPr="00535290">
        <w:t>официальный документ №</w:t>
      </w:r>
      <w:r>
        <w:t xml:space="preserve"> </w:t>
      </w:r>
      <w:r w:rsidRPr="00535290">
        <w:t xml:space="preserve">6, который лег в </w:t>
      </w:r>
      <w:r w:rsidR="00733EB6">
        <w:t>основу ECE/TRANS/SC.1/2017/4) о </w:t>
      </w:r>
      <w:r w:rsidRPr="00535290">
        <w:t>внесении поправок в пересмотренную Сводную резолюцию об облегчении международных автомобильных перевозок (СР.4) для включения в нее опред</w:t>
      </w:r>
      <w:r w:rsidRPr="00535290">
        <w:t>е</w:t>
      </w:r>
      <w:r w:rsidRPr="00535290">
        <w:t xml:space="preserve">ления </w:t>
      </w:r>
      <w:r>
        <w:t>«</w:t>
      </w:r>
      <w:r w:rsidRPr="00535290">
        <w:t>двусторонних перевозок</w:t>
      </w:r>
      <w:r>
        <w:t>»</w:t>
      </w:r>
      <w:r w:rsidRPr="00535290">
        <w:t xml:space="preserve"> в качестве следующего нового подпун</w:t>
      </w:r>
      <w:r w:rsidRPr="00535290">
        <w:t>к</w:t>
      </w:r>
      <w:r w:rsidRPr="00535290">
        <w:t>т</w:t>
      </w:r>
      <w:r w:rsidR="00733EB6">
        <w:t>а </w:t>
      </w:r>
      <w:r w:rsidRPr="00535290">
        <w:t>4.1.9.</w:t>
      </w:r>
    </w:p>
    <w:p w:rsidR="00F503C8" w:rsidRDefault="00535290" w:rsidP="00F503C8">
      <w:pPr>
        <w:pStyle w:val="SingleTxtGR"/>
      </w:pPr>
      <w:r w:rsidRPr="00535290">
        <w:t>40.</w:t>
      </w:r>
      <w:r w:rsidRPr="00535290">
        <w:tab/>
      </w:r>
      <w:r>
        <w:t>«</w:t>
      </w:r>
      <w:r w:rsidRPr="00535290">
        <w:t xml:space="preserve">Под </w:t>
      </w:r>
      <w:r w:rsidR="00350C7A">
        <w:t>"</w:t>
      </w:r>
      <w:r w:rsidRPr="00535290">
        <w:t>двусторонней перевозкой</w:t>
      </w:r>
      <w:r w:rsidR="00350C7A">
        <w:t>"</w:t>
      </w:r>
      <w:r w:rsidRPr="00535290">
        <w:t xml:space="preserve"> подразумевается транспортная опер</w:t>
      </w:r>
      <w:r w:rsidRPr="00535290">
        <w:t>а</w:t>
      </w:r>
      <w:r w:rsidRPr="00535290">
        <w:t>ция, осуществляемая транспортным средством с грузом или без груза, зарег</w:t>
      </w:r>
      <w:r w:rsidRPr="00535290">
        <w:t>и</w:t>
      </w:r>
      <w:r w:rsidRPr="00535290">
        <w:t>стрированным в одной стране, пункт назначения которого расположен на те</w:t>
      </w:r>
      <w:r w:rsidRPr="00535290">
        <w:t>р</w:t>
      </w:r>
      <w:r w:rsidRPr="00535290">
        <w:t xml:space="preserve">ритории другой стороны или наоборот, независимо от страны происхождения груза и страны </w:t>
      </w:r>
      <w:r w:rsidRPr="00535290">
        <w:rPr>
          <w:strike/>
        </w:rPr>
        <w:t>конечного</w:t>
      </w:r>
      <w:r w:rsidRPr="00535290">
        <w:t xml:space="preserve"> получателя груза</w:t>
      </w:r>
      <w:r>
        <w:t>»</w:t>
      </w:r>
      <w:r w:rsidRPr="00535290">
        <w:t>.</w:t>
      </w:r>
    </w:p>
    <w:p w:rsidR="00535290" w:rsidRPr="00535290" w:rsidRDefault="00535290" w:rsidP="00535290">
      <w:pPr>
        <w:pStyle w:val="SingleTxtGR"/>
      </w:pPr>
      <w:r w:rsidRPr="00535290">
        <w:t>41.</w:t>
      </w:r>
      <w:r w:rsidRPr="00535290">
        <w:tab/>
        <w:t xml:space="preserve">После обстоятельного обсуждения SC.1 решила продолжить обсуждение этого вопроса на своем следующем совещании и просила Латвию и Польшу подготовить документ ECE/TRANS/SC.1/2017/4/Rev.1 с учетом озабоченностей, выраженных на сессии SC.1. </w:t>
      </w:r>
    </w:p>
    <w:p w:rsidR="00535290" w:rsidRPr="00535290" w:rsidRDefault="00535290" w:rsidP="00535290">
      <w:pPr>
        <w:pStyle w:val="SingleTxtGR"/>
      </w:pPr>
      <w:r w:rsidRPr="00535290">
        <w:t>42.</w:t>
      </w:r>
      <w:r w:rsidRPr="00535290">
        <w:tab/>
        <w:t xml:space="preserve">В этой связи Турция согласилась с предложением Латвии и Польши, но высказала мнение о том, что пересмотренное определение термина </w:t>
      </w:r>
      <w:r>
        <w:t>«</w:t>
      </w:r>
      <w:r w:rsidRPr="00535290">
        <w:t>двусторо</w:t>
      </w:r>
      <w:r w:rsidRPr="00535290">
        <w:t>н</w:t>
      </w:r>
      <w:r w:rsidRPr="00535290">
        <w:t>няя перевозка</w:t>
      </w:r>
      <w:r>
        <w:t>»</w:t>
      </w:r>
      <w:r w:rsidRPr="00535290">
        <w:t xml:space="preserve"> вряд ли решит практические задачи по обеспечению безопасн</w:t>
      </w:r>
      <w:r w:rsidRPr="00535290">
        <w:t>о</w:t>
      </w:r>
      <w:r w:rsidRPr="00535290">
        <w:t xml:space="preserve">сти и надежности накладных КДПГ. Российская Федерация полагала, что текст после слова </w:t>
      </w:r>
      <w:r>
        <w:t>«</w:t>
      </w:r>
      <w:r w:rsidRPr="00535290">
        <w:t>… наоборот</w:t>
      </w:r>
      <w:r>
        <w:t>»</w:t>
      </w:r>
      <w:r w:rsidRPr="00535290">
        <w:t xml:space="preserve"> является излишним и может быть исключен и что можно было бы предложить альтернативный вариант.</w:t>
      </w:r>
    </w:p>
    <w:p w:rsidR="00535290" w:rsidRPr="00535290" w:rsidRDefault="00535290" w:rsidP="00733EB6">
      <w:pPr>
        <w:pStyle w:val="HChGR"/>
      </w:pPr>
      <w:r w:rsidRPr="00535290">
        <w:tab/>
        <w:t>IX.</w:t>
      </w:r>
      <w:r w:rsidRPr="00535290">
        <w:tab/>
        <w:t>Группа экспертов по безоп</w:t>
      </w:r>
      <w:r w:rsidR="00733EB6">
        <w:t>асности на </w:t>
      </w:r>
      <w:r w:rsidRPr="00535290">
        <w:t>железнодорожных переездах (пункт 8 повестки дня)</w:t>
      </w:r>
    </w:p>
    <w:p w:rsidR="00535290" w:rsidRPr="00535290" w:rsidRDefault="00535290" w:rsidP="00535290">
      <w:pPr>
        <w:pStyle w:val="SingleTxtGR"/>
      </w:pPr>
      <w:r w:rsidRPr="00535290">
        <w:t>43.</w:t>
      </w:r>
      <w:r w:rsidRPr="00535290">
        <w:tab/>
        <w:t>Секретариат представил обзор заключительного доклада Группы экспе</w:t>
      </w:r>
      <w:r w:rsidRPr="00535290">
        <w:t>р</w:t>
      </w:r>
      <w:r w:rsidRPr="00535290">
        <w:t>тов, касающегося, в частности, наличия данных о безопасности на железнод</w:t>
      </w:r>
      <w:r w:rsidRPr="00535290">
        <w:t>о</w:t>
      </w:r>
      <w:r w:rsidRPr="00535290">
        <w:t>рожных переездах и оценки связанных с ДТП издержек, а также изменений в ключевых областях для обеспечения безопасности на железнодорожных пер</w:t>
      </w:r>
      <w:r w:rsidRPr="00535290">
        <w:t>е</w:t>
      </w:r>
      <w:r w:rsidRPr="00535290">
        <w:t>ездах (инфраструктура, образование и профессиональная подготовка, законод</w:t>
      </w:r>
      <w:r w:rsidRPr="00535290">
        <w:t>а</w:t>
      </w:r>
      <w:r w:rsidRPr="00535290">
        <w:t xml:space="preserve">тельство, </w:t>
      </w:r>
      <w:proofErr w:type="spellStart"/>
      <w:r w:rsidRPr="00535290">
        <w:t>правоприменение</w:t>
      </w:r>
      <w:proofErr w:type="spellEnd"/>
      <w:r w:rsidRPr="00535290">
        <w:t>, институциональные рамки, человеческий фактор и управление рисками). Кроме того, в докладе было рекомендовано разработать и применять безопасный системный подход с учетом специфики железнодоро</w:t>
      </w:r>
      <w:r w:rsidRPr="00535290">
        <w:t>ж</w:t>
      </w:r>
      <w:r w:rsidRPr="00535290">
        <w:t xml:space="preserve">ных переездов. </w:t>
      </w:r>
    </w:p>
    <w:p w:rsidR="00535290" w:rsidRPr="00535290" w:rsidRDefault="00535290" w:rsidP="00535290">
      <w:pPr>
        <w:pStyle w:val="SingleTxtGR"/>
      </w:pPr>
      <w:r w:rsidRPr="00535290">
        <w:t>44.</w:t>
      </w:r>
      <w:r w:rsidRPr="00535290">
        <w:tab/>
        <w:t>Секретариат проинформировал также SC.1 о международном плане де</w:t>
      </w:r>
      <w:r w:rsidRPr="00535290">
        <w:t>й</w:t>
      </w:r>
      <w:r w:rsidRPr="00535290">
        <w:t>ствий, который, по мнению Группы экспертов, необходим для оказания помощи странам в осуществлении рекомендаций, включая создание международной р</w:t>
      </w:r>
      <w:r w:rsidRPr="00535290">
        <w:t>а</w:t>
      </w:r>
      <w:r w:rsidRPr="00535290">
        <w:t>бочей группы для содействия реализации этого плана. В этой связи Исполн</w:t>
      </w:r>
      <w:r w:rsidRPr="00535290">
        <w:t>и</w:t>
      </w:r>
      <w:r w:rsidRPr="00535290">
        <w:t>тельный секретарь ЕЭК ООН направил Международному союзу железных д</w:t>
      </w:r>
      <w:r w:rsidRPr="00535290">
        <w:t>о</w:t>
      </w:r>
      <w:r w:rsidRPr="00535290">
        <w:t xml:space="preserve">рог (МСЖД) и Европейскому железнодорожному агентству (ЕЖДА) письмо с просьбой уточнить, заинтересованы ли они в этом, но ответа пока не получил. Секретариат проинформирует по данному </w:t>
      </w:r>
      <w:r w:rsidR="00350C7A">
        <w:t>вопросу на следующей сессии. Он </w:t>
      </w:r>
      <w:r w:rsidRPr="00535290">
        <w:t>воспользовался также этой возможностью, чтобы направить такое пригл</w:t>
      </w:r>
      <w:r w:rsidRPr="00535290">
        <w:t>а</w:t>
      </w:r>
      <w:r w:rsidRPr="00535290">
        <w:t>шение членам SC.1. Рабочая группа SC.1 высоко оценила сообщение секрет</w:t>
      </w:r>
      <w:r w:rsidRPr="00535290">
        <w:t>а</w:t>
      </w:r>
      <w:r w:rsidRPr="00535290">
        <w:t>риата и одобрила доклад и содержащиеся в нем рекомендации.</w:t>
      </w:r>
    </w:p>
    <w:p w:rsidR="00535290" w:rsidRPr="00535290" w:rsidRDefault="00535290" w:rsidP="00733EB6">
      <w:pPr>
        <w:pStyle w:val="HChGR"/>
      </w:pPr>
      <w:r w:rsidRPr="00535290">
        <w:tab/>
        <w:t>X.</w:t>
      </w:r>
      <w:r w:rsidRPr="00535290">
        <w:tab/>
        <w:t>Пересмотр круга ведения и правил процедуры SC.1 (пункт 9 повестки дня)</w:t>
      </w:r>
    </w:p>
    <w:p w:rsidR="00535290" w:rsidRPr="00535290" w:rsidRDefault="00535290" w:rsidP="00535290">
      <w:pPr>
        <w:pStyle w:val="SingleTxtGR"/>
      </w:pPr>
      <w:r w:rsidRPr="00535290">
        <w:t>45.</w:t>
      </w:r>
      <w:r w:rsidRPr="00535290">
        <w:tab/>
        <w:t>На прошлой сессии Бельгия и Германия внесли предложение об измен</w:t>
      </w:r>
      <w:r w:rsidRPr="00535290">
        <w:t>е</w:t>
      </w:r>
      <w:r w:rsidRPr="00535290">
        <w:t>ниях к кругу ведения и правилам процедур</w:t>
      </w:r>
      <w:r w:rsidR="00733EB6">
        <w:t>ы SC.1 (неофициальные докуме</w:t>
      </w:r>
      <w:r w:rsidR="00733EB6">
        <w:t>н</w:t>
      </w:r>
      <w:r w:rsidR="00733EB6">
        <w:t>ты </w:t>
      </w:r>
      <w:r w:rsidRPr="00535290">
        <w:t xml:space="preserve">№ 3 и 4 (2016 год)). </w:t>
      </w:r>
    </w:p>
    <w:p w:rsidR="00535290" w:rsidRPr="00535290" w:rsidRDefault="00535290" w:rsidP="00535290">
      <w:pPr>
        <w:pStyle w:val="SingleTxtGR"/>
      </w:pPr>
      <w:r w:rsidRPr="00535290">
        <w:t>46.</w:t>
      </w:r>
      <w:r w:rsidRPr="00535290">
        <w:tab/>
        <w:t xml:space="preserve">SC.1 решила отложить обсуждение этого пункта до своей следующей сессии, учитывая отсутствие представителей правительств Бельгии и Германии, обладающих экспертными знаниями для выполнения такой задачи. </w:t>
      </w:r>
    </w:p>
    <w:p w:rsidR="00535290" w:rsidRPr="00535290" w:rsidRDefault="00535290" w:rsidP="00535290">
      <w:pPr>
        <w:pStyle w:val="SingleTxtGR"/>
      </w:pPr>
      <w:r w:rsidRPr="00535290">
        <w:t>47.</w:t>
      </w:r>
      <w:r w:rsidRPr="00535290">
        <w:tab/>
        <w:t>Для облегчения обсуждения секретариат представит положения о круге ведения, которые, как ожидается, будут приняты Глобальным форумом по бе</w:t>
      </w:r>
      <w:r w:rsidRPr="00535290">
        <w:t>з</w:t>
      </w:r>
      <w:r w:rsidRPr="00535290">
        <w:t>опасности дорожного движения (WP.1) в 2018 году и которые можно было бы использовать в качестве образца для круга ведения SC.1.</w:t>
      </w:r>
    </w:p>
    <w:p w:rsidR="00535290" w:rsidRPr="00535290" w:rsidRDefault="00535290" w:rsidP="00733EB6">
      <w:pPr>
        <w:pStyle w:val="HChGR"/>
      </w:pPr>
      <w:r w:rsidRPr="00535290">
        <w:tab/>
        <w:t>XI.</w:t>
      </w:r>
      <w:r w:rsidRPr="00535290">
        <w:tab/>
        <w:t>Программа работы и двухгодичная оценка</w:t>
      </w:r>
      <w:r w:rsidR="00350C7A">
        <w:br/>
        <w:t>(пункт 10 повестки дня)</w:t>
      </w:r>
    </w:p>
    <w:p w:rsidR="00535290" w:rsidRPr="00535290" w:rsidRDefault="00535290" w:rsidP="00535290">
      <w:pPr>
        <w:pStyle w:val="SingleTxtGR"/>
      </w:pPr>
      <w:r w:rsidRPr="00535290">
        <w:t>48.</w:t>
      </w:r>
      <w:r w:rsidRPr="00535290">
        <w:tab/>
      </w:r>
      <w:proofErr w:type="gramStart"/>
      <w:r w:rsidRPr="00535290">
        <w:t>В соответствии с решением Комитета по внутреннему транспорту о пер</w:t>
      </w:r>
      <w:r w:rsidRPr="00535290">
        <w:t>е</w:t>
      </w:r>
      <w:r w:rsidRPr="00535290">
        <w:t>смотре программы работы один раз в два года</w:t>
      </w:r>
      <w:proofErr w:type="gramEnd"/>
      <w:r w:rsidRPr="00535290">
        <w:t xml:space="preserve"> SC.1 рассмотрела и приняла свою программу работы на 2018–2019 годы</w:t>
      </w:r>
      <w:r w:rsidR="00733EB6">
        <w:t xml:space="preserve"> (с поправками секретариата), а </w:t>
      </w:r>
      <w:r w:rsidRPr="00535290">
        <w:t>также соответствующие параметры для двухгодичной оценки (ECE/TRANS/</w:t>
      </w:r>
      <w:r w:rsidR="00733EB6">
        <w:t xml:space="preserve"> </w:t>
      </w:r>
      <w:r w:rsidRPr="00535290">
        <w:t>SC.1/2017/3). SC.1 рассмотрела и приняла с изменениями свою программу р</w:t>
      </w:r>
      <w:r w:rsidRPr="00535290">
        <w:t>а</w:t>
      </w:r>
      <w:r w:rsidRPr="00535290">
        <w:t xml:space="preserve">боты на 2018–2019 годы. Она просила секретариат передать пересмотренный документ ECE/TRANS/SC.1/2017/3/Rev.1 Комитету по внутреннему транспорту и представить этот документ для </w:t>
      </w:r>
      <w:r>
        <w:t>«</w:t>
      </w:r>
      <w:r w:rsidRPr="00535290">
        <w:t>официального</w:t>
      </w:r>
      <w:r>
        <w:t>»</w:t>
      </w:r>
      <w:r w:rsidRPr="00535290">
        <w:t xml:space="preserve"> утверждения на следующей сессии. </w:t>
      </w:r>
    </w:p>
    <w:p w:rsidR="00535290" w:rsidRPr="00535290" w:rsidRDefault="00535290" w:rsidP="00535290">
      <w:pPr>
        <w:pStyle w:val="SingleTxtGR"/>
      </w:pPr>
      <w:r w:rsidRPr="00535290">
        <w:t>49.</w:t>
      </w:r>
      <w:r w:rsidRPr="00535290">
        <w:tab/>
        <w:t>SC.1 рассмотрела также вопрос о том, как</w:t>
      </w:r>
      <w:r w:rsidR="00733EB6">
        <w:t>о</w:t>
      </w:r>
      <w:r w:rsidRPr="00535290">
        <w:t xml:space="preserve">й вклад она может внести в подготовку проекта стратегии КВТ. SC.1 </w:t>
      </w:r>
      <w:proofErr w:type="gramStart"/>
      <w:r w:rsidRPr="00535290">
        <w:t>открыта</w:t>
      </w:r>
      <w:proofErr w:type="gramEnd"/>
      <w:r w:rsidRPr="00535290">
        <w:t xml:space="preserve"> для сотрудничества и по</w:t>
      </w:r>
      <w:r w:rsidRPr="00535290">
        <w:t>д</w:t>
      </w:r>
      <w:r w:rsidRPr="00535290">
        <w:t>держивает усилия по внедрению интеллектуальных транспортных систем, ос</w:t>
      </w:r>
      <w:r w:rsidRPr="00535290">
        <w:t>о</w:t>
      </w:r>
      <w:r w:rsidRPr="00535290">
        <w:t>бенно тех, которые имеют отношение к дорожной инфраструктуре. При соде</w:t>
      </w:r>
      <w:r w:rsidRPr="00535290">
        <w:t>й</w:t>
      </w:r>
      <w:r w:rsidRPr="00535290">
        <w:t>ствии секретариата SC.1 будет стремиться организовывать мероприятия, св</w:t>
      </w:r>
      <w:r w:rsidRPr="00535290">
        <w:t>я</w:t>
      </w:r>
      <w:r w:rsidRPr="00535290">
        <w:t xml:space="preserve">занные с </w:t>
      </w:r>
      <w:r>
        <w:t>«</w:t>
      </w:r>
      <w:r w:rsidRPr="00535290">
        <w:t>цифровой/интеллектуальной инфраструктурой</w:t>
      </w:r>
      <w:r>
        <w:t>»</w:t>
      </w:r>
      <w:r w:rsidRPr="00535290">
        <w:t>, в целях получения более полной информации о возникающих проблемах и рассмотрения возмо</w:t>
      </w:r>
      <w:r w:rsidRPr="00535290">
        <w:t>ж</w:t>
      </w:r>
      <w:r w:rsidRPr="00535290">
        <w:t>ности учета этих изменений в своей программе работы.</w:t>
      </w:r>
    </w:p>
    <w:p w:rsidR="00535290" w:rsidRPr="00535290" w:rsidRDefault="00535290" w:rsidP="00733EB6">
      <w:pPr>
        <w:pStyle w:val="HChGR"/>
      </w:pPr>
      <w:r w:rsidRPr="00535290">
        <w:tab/>
        <w:t>XII.</w:t>
      </w:r>
      <w:r w:rsidRPr="00535290">
        <w:tab/>
        <w:t>Прочие вопросы (пункт 11 повестки дня)</w:t>
      </w:r>
    </w:p>
    <w:p w:rsidR="00535290" w:rsidRPr="00535290" w:rsidRDefault="00535290" w:rsidP="00535290">
      <w:pPr>
        <w:pStyle w:val="SingleTxtGR"/>
      </w:pPr>
      <w:r w:rsidRPr="00535290">
        <w:t>50.</w:t>
      </w:r>
      <w:r w:rsidRPr="00535290">
        <w:tab/>
        <w:t>По этому пункту повестки дня никакие вопросы не рассматривались.</w:t>
      </w:r>
    </w:p>
    <w:p w:rsidR="00535290" w:rsidRPr="00535290" w:rsidRDefault="00535290" w:rsidP="00733EB6">
      <w:pPr>
        <w:pStyle w:val="HChGR"/>
      </w:pPr>
      <w:r w:rsidRPr="00535290">
        <w:tab/>
        <w:t>XIII.</w:t>
      </w:r>
      <w:r w:rsidRPr="00535290">
        <w:tab/>
        <w:t xml:space="preserve">Сроки проведения следующей сессии </w:t>
      </w:r>
      <w:r w:rsidR="00733EB6">
        <w:br/>
      </w:r>
      <w:r w:rsidRPr="00535290">
        <w:t>(пункт 12 повестки дня)</w:t>
      </w:r>
    </w:p>
    <w:p w:rsidR="00535290" w:rsidRPr="00535290" w:rsidRDefault="00535290" w:rsidP="00535290">
      <w:pPr>
        <w:pStyle w:val="SingleTxtGR"/>
      </w:pPr>
      <w:r w:rsidRPr="00535290">
        <w:t>51.</w:t>
      </w:r>
      <w:r w:rsidRPr="00535290">
        <w:tab/>
        <w:t>Рабочая группа была проинформирована о том, что секретариат заплан</w:t>
      </w:r>
      <w:r w:rsidRPr="00535290">
        <w:t>и</w:t>
      </w:r>
      <w:r w:rsidRPr="00535290">
        <w:t>ровал провести ее следующую сессию 17–18 октября 2018 года.</w:t>
      </w:r>
    </w:p>
    <w:p w:rsidR="00535290" w:rsidRPr="00535290" w:rsidRDefault="00535290" w:rsidP="00733EB6">
      <w:pPr>
        <w:pStyle w:val="HChGR"/>
      </w:pPr>
      <w:r w:rsidRPr="00535290">
        <w:tab/>
        <w:t>XIV.</w:t>
      </w:r>
      <w:r w:rsidRPr="00535290">
        <w:tab/>
        <w:t>Утверждение доклада (пункт 13 повестки дня)</w:t>
      </w:r>
    </w:p>
    <w:p w:rsidR="00535290" w:rsidRDefault="00535290" w:rsidP="00535290">
      <w:pPr>
        <w:pStyle w:val="SingleTxtGR"/>
      </w:pPr>
      <w:r w:rsidRPr="00535290">
        <w:t>52.</w:t>
      </w:r>
      <w:r w:rsidRPr="00535290">
        <w:tab/>
        <w:t>Рабочая группа утвердила доклад о работе нынешней сессии.</w:t>
      </w:r>
    </w:p>
    <w:p w:rsidR="00535290" w:rsidRPr="00535290" w:rsidRDefault="00535290" w:rsidP="0053529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5290" w:rsidRPr="00535290" w:rsidSect="00F503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A9" w:rsidRPr="00A312BC" w:rsidRDefault="006132A9" w:rsidP="00A312BC"/>
  </w:endnote>
  <w:endnote w:type="continuationSeparator" w:id="0">
    <w:p w:rsidR="006132A9" w:rsidRPr="00A312BC" w:rsidRDefault="006132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9" w:rsidRPr="00F503C8" w:rsidRDefault="006132A9">
    <w:pPr>
      <w:pStyle w:val="Footer"/>
    </w:pPr>
    <w:r w:rsidRPr="00F503C8">
      <w:rPr>
        <w:b/>
        <w:sz w:val="18"/>
      </w:rPr>
      <w:fldChar w:fldCharType="begin"/>
    </w:r>
    <w:r w:rsidRPr="00F503C8">
      <w:rPr>
        <w:b/>
        <w:sz w:val="18"/>
      </w:rPr>
      <w:instrText xml:space="preserve"> PAGE  \* MERGEFORMAT </w:instrText>
    </w:r>
    <w:r w:rsidRPr="00F503C8">
      <w:rPr>
        <w:b/>
        <w:sz w:val="18"/>
      </w:rPr>
      <w:fldChar w:fldCharType="separate"/>
    </w:r>
    <w:r w:rsidR="00542235">
      <w:rPr>
        <w:b/>
        <w:noProof/>
        <w:sz w:val="18"/>
      </w:rPr>
      <w:t>10</w:t>
    </w:r>
    <w:r w:rsidRPr="00F503C8">
      <w:rPr>
        <w:b/>
        <w:sz w:val="18"/>
      </w:rPr>
      <w:fldChar w:fldCharType="end"/>
    </w:r>
    <w:r>
      <w:rPr>
        <w:b/>
        <w:sz w:val="18"/>
      </w:rPr>
      <w:tab/>
    </w:r>
    <w:r>
      <w:t>GE.17-19362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9" w:rsidRPr="00F503C8" w:rsidRDefault="006132A9" w:rsidP="00F503C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GE.17-19362</w:t>
    </w:r>
    <w:r>
      <w:tab/>
    </w:r>
    <w:r w:rsidRPr="00F503C8">
      <w:rPr>
        <w:b/>
        <w:sz w:val="18"/>
      </w:rPr>
      <w:fldChar w:fldCharType="begin"/>
    </w:r>
    <w:r w:rsidRPr="00F503C8">
      <w:rPr>
        <w:b/>
        <w:sz w:val="18"/>
      </w:rPr>
      <w:instrText xml:space="preserve"> PAGE  \* MERGEFORMAT </w:instrText>
    </w:r>
    <w:r w:rsidRPr="00F503C8">
      <w:rPr>
        <w:b/>
        <w:sz w:val="18"/>
      </w:rPr>
      <w:fldChar w:fldCharType="separate"/>
    </w:r>
    <w:r w:rsidR="00542235">
      <w:rPr>
        <w:b/>
        <w:noProof/>
        <w:sz w:val="18"/>
      </w:rPr>
      <w:t>9</w:t>
    </w:r>
    <w:r w:rsidRPr="00F503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9" w:rsidRPr="00F503C8" w:rsidRDefault="006132A9" w:rsidP="00F503C8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AD4981" wp14:editId="13E9D9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17-19362  (R)  081117  091117</w:t>
    </w:r>
    <w:r>
      <w:br/>
    </w:r>
    <w:r w:rsidRPr="00F503C8">
      <w:rPr>
        <w:rFonts w:ascii="C39T30Lfz" w:hAnsi="C39T30Lfz"/>
        <w:spacing w:val="0"/>
        <w:w w:val="100"/>
        <w:sz w:val="56"/>
      </w:rPr>
      <w:t></w:t>
    </w:r>
    <w:r w:rsidRPr="00F503C8">
      <w:rPr>
        <w:rFonts w:ascii="C39T30Lfz" w:hAnsi="C39T30Lfz"/>
        <w:spacing w:val="0"/>
        <w:w w:val="100"/>
        <w:sz w:val="56"/>
      </w:rPr>
      <w:t></w:t>
    </w:r>
    <w:r w:rsidRPr="00F503C8">
      <w:rPr>
        <w:rFonts w:ascii="C39T30Lfz" w:hAnsi="C39T30Lfz"/>
        <w:spacing w:val="0"/>
        <w:w w:val="100"/>
        <w:sz w:val="56"/>
      </w:rPr>
      <w:t></w:t>
    </w:r>
    <w:r w:rsidRPr="00F503C8">
      <w:rPr>
        <w:rFonts w:ascii="C39T30Lfz" w:hAnsi="C39T30Lfz"/>
        <w:spacing w:val="0"/>
        <w:w w:val="100"/>
        <w:sz w:val="56"/>
      </w:rPr>
      <w:t></w:t>
    </w:r>
    <w:r w:rsidRPr="00F503C8">
      <w:rPr>
        <w:rFonts w:ascii="C39T30Lfz" w:hAnsi="C39T30Lfz"/>
        <w:spacing w:val="0"/>
        <w:w w:val="100"/>
        <w:sz w:val="56"/>
      </w:rPr>
      <w:t></w:t>
    </w:r>
    <w:r w:rsidRPr="00F503C8">
      <w:rPr>
        <w:rFonts w:ascii="C39T30Lfz" w:hAnsi="C39T30Lfz"/>
        <w:spacing w:val="0"/>
        <w:w w:val="100"/>
        <w:sz w:val="56"/>
      </w:rPr>
      <w:t></w:t>
    </w:r>
    <w:r w:rsidRPr="00F503C8">
      <w:rPr>
        <w:rFonts w:ascii="C39T30Lfz" w:hAnsi="C39T30Lfz"/>
        <w:spacing w:val="0"/>
        <w:w w:val="100"/>
        <w:sz w:val="56"/>
      </w:rPr>
      <w:t></w:t>
    </w:r>
    <w:r w:rsidRPr="00F503C8">
      <w:rPr>
        <w:rFonts w:ascii="C39T30Lfz" w:hAnsi="C39T30Lfz"/>
        <w:spacing w:val="0"/>
        <w:w w:val="100"/>
        <w:sz w:val="56"/>
      </w:rPr>
      <w:t></w:t>
    </w:r>
    <w:r w:rsidRPr="00F503C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SC.1/40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SC.1/40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A9" w:rsidRPr="001075E9" w:rsidRDefault="006132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32A9" w:rsidRDefault="006132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9" w:rsidRPr="00F503C8" w:rsidRDefault="001157A5">
    <w:pPr>
      <w:pStyle w:val="Header"/>
    </w:pPr>
    <w:fldSimple w:instr=" TITLE  \* MERGEFORMAT ">
      <w:r>
        <w:t>ECE/TRANS/SC.1/408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A9" w:rsidRPr="00F503C8" w:rsidRDefault="001157A5" w:rsidP="00F503C8">
    <w:pPr>
      <w:pStyle w:val="Header"/>
      <w:jc w:val="right"/>
    </w:pPr>
    <w:fldSimple w:instr=" TITLE  \* MERGEFORMAT ">
      <w:r>
        <w:t>ECE/TRANS/SC.1/408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8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7A5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0C7A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5290"/>
    <w:rsid w:val="00542235"/>
    <w:rsid w:val="005639C1"/>
    <w:rsid w:val="005709E0"/>
    <w:rsid w:val="00572E19"/>
    <w:rsid w:val="005961C8"/>
    <w:rsid w:val="005966F1"/>
    <w:rsid w:val="005A3381"/>
    <w:rsid w:val="005D7914"/>
    <w:rsid w:val="005E2B41"/>
    <w:rsid w:val="005F0B42"/>
    <w:rsid w:val="00603B81"/>
    <w:rsid w:val="006132A9"/>
    <w:rsid w:val="00631F8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EB6"/>
    <w:rsid w:val="00734ACB"/>
    <w:rsid w:val="00757357"/>
    <w:rsid w:val="00792497"/>
    <w:rsid w:val="00806737"/>
    <w:rsid w:val="008109C4"/>
    <w:rsid w:val="00825F8D"/>
    <w:rsid w:val="00834B71"/>
    <w:rsid w:val="0086445C"/>
    <w:rsid w:val="00894693"/>
    <w:rsid w:val="008A08D7"/>
    <w:rsid w:val="008A37C8"/>
    <w:rsid w:val="008B1F7B"/>
    <w:rsid w:val="008B6909"/>
    <w:rsid w:val="008D53B6"/>
    <w:rsid w:val="008F7609"/>
    <w:rsid w:val="00906890"/>
    <w:rsid w:val="00911BE4"/>
    <w:rsid w:val="00951972"/>
    <w:rsid w:val="009608F3"/>
    <w:rsid w:val="009A24AC"/>
    <w:rsid w:val="009C5200"/>
    <w:rsid w:val="009C6FE6"/>
    <w:rsid w:val="009D7E7D"/>
    <w:rsid w:val="009F74B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3439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2B7D"/>
    <w:rsid w:val="00DD72E0"/>
    <w:rsid w:val="00DD78D1"/>
    <w:rsid w:val="00DE32CD"/>
    <w:rsid w:val="00DF5767"/>
    <w:rsid w:val="00DF71B9"/>
    <w:rsid w:val="00DF7D90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03C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3529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3529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3584</Words>
  <Characters>20434</Characters>
  <Application>Microsoft Office Word</Application>
  <DocSecurity>0</DocSecurity>
  <Lines>170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ECE/TRANS/SC.1/408</vt:lpstr>
      <vt:lpstr>ECE/TRANS/SC.1/408</vt:lpstr>
      <vt:lpstr>A/</vt:lpstr>
    </vt:vector>
  </TitlesOfParts>
  <Company>DCM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ECE/TRANS/SC.1/408</dc:title>
  <dc:creator>Marina Korotkova</dc:creator>
  <cp:lastModifiedBy>Josephine Ayiku</cp:lastModifiedBy>
  <cp:revision>2</cp:revision>
  <cp:lastPrinted>2017-11-09T13:32:00Z</cp:lastPrinted>
  <dcterms:created xsi:type="dcterms:W3CDTF">2018-01-25T16:21:00Z</dcterms:created>
  <dcterms:modified xsi:type="dcterms:W3CDTF">2018-01-25T16:21:00Z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