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2754E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2754E" w:rsidP="0082754E">
            <w:pPr>
              <w:jc w:val="right"/>
            </w:pPr>
            <w:r w:rsidRPr="0082754E">
              <w:rPr>
                <w:sz w:val="40"/>
              </w:rPr>
              <w:t>ECE</w:t>
            </w:r>
            <w:r>
              <w:t>/TRANS/2018/13</w:t>
            </w:r>
          </w:p>
        </w:tc>
      </w:tr>
      <w:tr w:rsidR="002D5AAC" w:rsidRPr="0082754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275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2754E" w:rsidRDefault="0082754E" w:rsidP="008275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82754E" w:rsidRDefault="0082754E" w:rsidP="008275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2754E" w:rsidRPr="008D53B6" w:rsidRDefault="0082754E" w:rsidP="008275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155A4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5366E" w:rsidRPr="0075366E" w:rsidRDefault="0075366E" w:rsidP="00155A4A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75366E">
        <w:rPr>
          <w:sz w:val="28"/>
          <w:szCs w:val="28"/>
        </w:rPr>
        <w:t>Комитет по внутреннему транспорту</w:t>
      </w:r>
    </w:p>
    <w:p w:rsidR="0075366E" w:rsidRPr="0075366E" w:rsidRDefault="0075366E" w:rsidP="00155A4A">
      <w:pPr>
        <w:pStyle w:val="SingleTxtGR"/>
        <w:spacing w:after="0"/>
        <w:ind w:left="0"/>
        <w:jc w:val="left"/>
        <w:rPr>
          <w:b/>
          <w:bCs/>
        </w:rPr>
      </w:pPr>
      <w:r w:rsidRPr="0075366E">
        <w:rPr>
          <w:b/>
          <w:bCs/>
        </w:rPr>
        <w:t>Восьмидесятая сессия</w:t>
      </w:r>
    </w:p>
    <w:p w:rsidR="0075366E" w:rsidRPr="0075366E" w:rsidRDefault="0075366E" w:rsidP="00155A4A">
      <w:pPr>
        <w:pStyle w:val="SingleTxtGR"/>
        <w:spacing w:after="0"/>
        <w:ind w:left="0"/>
        <w:jc w:val="left"/>
      </w:pPr>
      <w:r w:rsidRPr="0075366E">
        <w:t>Женева, 20−23 февраля 2018</w:t>
      </w:r>
      <w:r w:rsidR="00155A4A">
        <w:t> год</w:t>
      </w:r>
      <w:r w:rsidRPr="0075366E">
        <w:t>а</w:t>
      </w:r>
    </w:p>
    <w:p w:rsidR="0075366E" w:rsidRPr="0075366E" w:rsidRDefault="0075366E" w:rsidP="00155A4A">
      <w:pPr>
        <w:pStyle w:val="SingleTxtGR"/>
        <w:spacing w:after="0"/>
        <w:ind w:left="0"/>
        <w:jc w:val="left"/>
      </w:pPr>
      <w:r w:rsidRPr="0075366E">
        <w:t>Пункт 5 e) предварительной повестки дня</w:t>
      </w:r>
    </w:p>
    <w:p w:rsidR="0075366E" w:rsidRPr="0075366E" w:rsidRDefault="0075366E" w:rsidP="00155A4A">
      <w:pPr>
        <w:pStyle w:val="SingleTxtGR"/>
        <w:spacing w:after="0"/>
        <w:ind w:left="0"/>
        <w:jc w:val="left"/>
        <w:rPr>
          <w:b/>
          <w:bCs/>
        </w:rPr>
      </w:pPr>
      <w:r w:rsidRPr="0075366E">
        <w:rPr>
          <w:b/>
          <w:bCs/>
        </w:rPr>
        <w:t xml:space="preserve">Стратегические вопросы, связанные с разными </w:t>
      </w:r>
      <w:r w:rsidR="00155A4A">
        <w:rPr>
          <w:b/>
          <w:bCs/>
        </w:rPr>
        <w:br/>
      </w:r>
      <w:r w:rsidRPr="0075366E">
        <w:rPr>
          <w:b/>
          <w:bCs/>
        </w:rPr>
        <w:t>видами транспорта и тематическими направлениями:</w:t>
      </w:r>
    </w:p>
    <w:p w:rsidR="0075366E" w:rsidRPr="0075366E" w:rsidRDefault="0075366E" w:rsidP="00155A4A">
      <w:pPr>
        <w:pStyle w:val="SingleTxtGR"/>
        <w:spacing w:after="0"/>
        <w:ind w:left="0"/>
        <w:jc w:val="left"/>
        <w:rPr>
          <w:b/>
          <w:bCs/>
        </w:rPr>
      </w:pPr>
      <w:r w:rsidRPr="0075366E">
        <w:rPr>
          <w:b/>
          <w:bCs/>
        </w:rPr>
        <w:t>Железнодорожный транспорт</w:t>
      </w:r>
    </w:p>
    <w:p w:rsidR="0075366E" w:rsidRPr="0075366E" w:rsidRDefault="0075366E" w:rsidP="0075366E">
      <w:pPr>
        <w:pStyle w:val="HChGR"/>
      </w:pPr>
      <w:r w:rsidRPr="0075366E">
        <w:tab/>
      </w:r>
      <w:r w:rsidRPr="0075366E">
        <w:tab/>
        <w:t>Круг ведения Группы экспертов ЕЭК по единому железнодорожному праву</w:t>
      </w:r>
    </w:p>
    <w:p w:rsidR="0075366E" w:rsidRDefault="0075366E" w:rsidP="0075366E">
      <w:pPr>
        <w:pStyle w:val="H1GR"/>
        <w:rPr>
          <w:lang w:val="en-US"/>
        </w:rPr>
      </w:pPr>
      <w:r w:rsidRPr="0075366E">
        <w:tab/>
      </w:r>
      <w:r w:rsidRPr="0075366E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75366E" w:rsidRPr="0075366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75366E" w:rsidRPr="0075366E" w:rsidRDefault="0075366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5366E">
              <w:rPr>
                <w:rFonts w:cs="Times New Roman"/>
              </w:rPr>
              <w:tab/>
            </w:r>
            <w:r w:rsidRPr="0075366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5366E" w:rsidRPr="0075366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5366E" w:rsidRPr="0075366E" w:rsidRDefault="0075366E" w:rsidP="00B5429B">
            <w:pPr>
              <w:pStyle w:val="SingleTxtGR"/>
            </w:pPr>
            <w:r w:rsidRPr="0075366E">
              <w:tab/>
              <w:t>В настоящей записке представлены положения о круге ведения Группы экспертов по единому железнодорожному праву, с тем чтобы она могла пр</w:t>
            </w:r>
            <w:r w:rsidRPr="0075366E">
              <w:t>о</w:t>
            </w:r>
            <w:r w:rsidRPr="0075366E">
              <w:t>должить свою работу и обсуждения в течение следующего двухлетнего пери</w:t>
            </w:r>
            <w:r w:rsidRPr="0075366E">
              <w:t>о</w:t>
            </w:r>
            <w:r w:rsidRPr="0075366E">
              <w:t>да.</w:t>
            </w:r>
          </w:p>
        </w:tc>
      </w:tr>
      <w:tr w:rsidR="0075366E" w:rsidRPr="0075366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75366E" w:rsidRPr="0075366E" w:rsidRDefault="0075366E" w:rsidP="00B5429B">
            <w:pPr>
              <w:pStyle w:val="SingleTxtGR"/>
            </w:pPr>
            <w:r w:rsidRPr="0075366E">
              <w:tab/>
              <w:t>Комитет, возможно, пожелает утвердить эти положения о круге ведения, выбрав один из предложенных вариантов, и</w:t>
            </w:r>
            <w:r w:rsidR="00315F6B">
              <w:t>,</w:t>
            </w:r>
            <w:r w:rsidRPr="0075366E">
              <w:t xml:space="preserve"> соответственно</w:t>
            </w:r>
            <w:r w:rsidR="00315F6B">
              <w:t>,</w:t>
            </w:r>
            <w:r w:rsidRPr="0075366E">
              <w:t xml:space="preserve"> продлить срок действия мандата группы еще на два</w:t>
            </w:r>
            <w:r w:rsidR="00155A4A">
              <w:t> год</w:t>
            </w:r>
            <w:r w:rsidRPr="0075366E">
              <w:t>а.</w:t>
            </w:r>
          </w:p>
        </w:tc>
      </w:tr>
      <w:tr w:rsidR="0075366E" w:rsidRPr="0075366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75366E" w:rsidRPr="0075366E" w:rsidRDefault="0075366E" w:rsidP="00850215">
            <w:pPr>
              <w:rPr>
                <w:rFonts w:cs="Times New Roman"/>
              </w:rPr>
            </w:pPr>
          </w:p>
        </w:tc>
      </w:tr>
    </w:tbl>
    <w:p w:rsidR="0075366E" w:rsidRPr="0075366E" w:rsidRDefault="0075366E" w:rsidP="0075366E">
      <w:pPr>
        <w:pStyle w:val="HChGR"/>
      </w:pPr>
      <w:r w:rsidRPr="0075366E">
        <w:tab/>
        <w:t>I.</w:t>
      </w:r>
      <w:r w:rsidRPr="0075366E">
        <w:tab/>
        <w:t>Круг вопросов и ожидаемые результаты</w:t>
      </w:r>
    </w:p>
    <w:p w:rsidR="0075366E" w:rsidRPr="0075366E" w:rsidRDefault="0075366E" w:rsidP="0075366E">
      <w:pPr>
        <w:pStyle w:val="H1GR"/>
      </w:pPr>
      <w:r w:rsidRPr="0075366E">
        <w:tab/>
        <w:t>A.</w:t>
      </w:r>
      <w:r w:rsidRPr="0075366E">
        <w:tab/>
        <w:t xml:space="preserve">Вариант 1 </w:t>
      </w:r>
    </w:p>
    <w:p w:rsidR="0075366E" w:rsidRPr="0075366E" w:rsidRDefault="0075366E" w:rsidP="0075366E">
      <w:pPr>
        <w:pStyle w:val="SingleTxtGR"/>
      </w:pPr>
      <w:r w:rsidRPr="0075366E">
        <w:t>1.</w:t>
      </w:r>
      <w:r w:rsidRPr="0075366E">
        <w:tab/>
        <w:t>В соответствии с Совместной декларацией о развитии евро-азиатских железнодорожных перевозок и деятельности по созданию единого железнод</w:t>
      </w:r>
      <w:r w:rsidRPr="0075366E">
        <w:t>о</w:t>
      </w:r>
      <w:r w:rsidRPr="0075366E">
        <w:t xml:space="preserve">рожного права, подписанной на совещании министров стран − членов ЕЭК на тему </w:t>
      </w:r>
      <w:r w:rsidR="00155A4A">
        <w:t>«</w:t>
      </w:r>
      <w:r w:rsidRPr="0075366E">
        <w:t>Введение в действие евро-азиатской транспортной сети</w:t>
      </w:r>
      <w:r w:rsidR="00155A4A">
        <w:t>»</w:t>
      </w:r>
      <w:r w:rsidRPr="0075366E">
        <w:t xml:space="preserve"> 26 февраля 2013</w:t>
      </w:r>
      <w:r w:rsidR="00155A4A">
        <w:t> год</w:t>
      </w:r>
      <w:r w:rsidRPr="0075366E">
        <w:t>а, и подготовленными Группой экспертов проектами правовых полож</w:t>
      </w:r>
      <w:r w:rsidRPr="0075366E">
        <w:t>е</w:t>
      </w:r>
      <w:r w:rsidRPr="0075366E">
        <w:t>ний для формирования единого железнодорожного права на данном этапе Группа сосредоточит свою деятельность на следующих вопросах</w:t>
      </w:r>
      <w:r w:rsidR="00264626">
        <w:t>:</w:t>
      </w:r>
    </w:p>
    <w:p w:rsidR="0075366E" w:rsidRPr="0075366E" w:rsidRDefault="0075366E" w:rsidP="0075366E">
      <w:pPr>
        <w:pStyle w:val="SingleTxtGR"/>
      </w:pPr>
      <w:r w:rsidRPr="0075366E">
        <w:tab/>
        <w:t>a)</w:t>
      </w:r>
      <w:r w:rsidRPr="0075366E">
        <w:tab/>
        <w:t>координация подготовки и/или обзора уже подготовленных необх</w:t>
      </w:r>
      <w:r w:rsidRPr="0075366E">
        <w:t>о</w:t>
      </w:r>
      <w:r w:rsidRPr="0075366E">
        <w:t>димых документов, касающихся железнодорожных перевозок, соответству</w:t>
      </w:r>
      <w:r w:rsidRPr="0075366E">
        <w:t>ю</w:t>
      </w:r>
      <w:r w:rsidRPr="0075366E">
        <w:t>щими международными объединениями в железнодорожном секторе, в частн</w:t>
      </w:r>
      <w:r w:rsidRPr="0075366E">
        <w:t>о</w:t>
      </w:r>
      <w:r w:rsidRPr="0075366E">
        <w:lastRenderedPageBreak/>
        <w:t>сти Организацией сотрудничества железных дорог (ОСЖД), Межправител</w:t>
      </w:r>
      <w:r w:rsidRPr="0075366E">
        <w:t>ь</w:t>
      </w:r>
      <w:r w:rsidRPr="0075366E">
        <w:t>ственной организацией по международным железнодорожным перевозкам (ОТИФ) и Международным комитетом железнодорожного транспорта (МКЖТ), на основе проектов правовых положений, разработанных в ходе предыдущего этапа деятельности Группы. Документы, которые должны быть подготовлены и/или рассмотрены на этом этапе</w:t>
      </w:r>
      <w:r w:rsidR="005B1565">
        <w:t>,</w:t>
      </w:r>
      <w:r w:rsidRPr="0075366E">
        <w:t xml:space="preserve"> включают: </w:t>
      </w:r>
    </w:p>
    <w:p w:rsidR="0075366E" w:rsidRPr="0075366E" w:rsidRDefault="0075366E" w:rsidP="0075366E">
      <w:pPr>
        <w:pStyle w:val="Bullet1GR"/>
      </w:pPr>
      <w:r w:rsidRPr="0075366E">
        <w:t xml:space="preserve">стандартный образец накладной; </w:t>
      </w:r>
    </w:p>
    <w:p w:rsidR="0075366E" w:rsidRPr="0075366E" w:rsidRDefault="0075366E" w:rsidP="0075366E">
      <w:pPr>
        <w:pStyle w:val="Bullet1GR"/>
      </w:pPr>
      <w:r w:rsidRPr="0075366E">
        <w:t>коммерческий акт;</w:t>
      </w:r>
    </w:p>
    <w:p w:rsidR="0075366E" w:rsidRPr="0075366E" w:rsidRDefault="0075366E" w:rsidP="0075366E">
      <w:pPr>
        <w:pStyle w:val="Bullet1GR"/>
      </w:pPr>
      <w:r w:rsidRPr="0075366E">
        <w:t>натурный лист;</w:t>
      </w:r>
    </w:p>
    <w:p w:rsidR="0075366E" w:rsidRPr="0075366E" w:rsidRDefault="0075366E" w:rsidP="0075366E">
      <w:pPr>
        <w:pStyle w:val="Bullet1GR"/>
      </w:pPr>
      <w:r w:rsidRPr="0075366E">
        <w:t>контейнерная ведомость;</w:t>
      </w:r>
    </w:p>
    <w:p w:rsidR="0075366E" w:rsidRPr="0075366E" w:rsidRDefault="0075366E" w:rsidP="0075366E">
      <w:pPr>
        <w:pStyle w:val="Bullet1GR"/>
      </w:pPr>
      <w:r w:rsidRPr="0075366E">
        <w:t>фактура;</w:t>
      </w:r>
    </w:p>
    <w:p w:rsidR="0075366E" w:rsidRPr="0075366E" w:rsidRDefault="0075366E" w:rsidP="0075366E">
      <w:pPr>
        <w:pStyle w:val="Bullet1GR"/>
      </w:pPr>
      <w:r w:rsidRPr="0075366E">
        <w:t>последующие распоряжения;</w:t>
      </w:r>
    </w:p>
    <w:p w:rsidR="0075366E" w:rsidRPr="0075366E" w:rsidRDefault="0075366E" w:rsidP="0075366E">
      <w:pPr>
        <w:pStyle w:val="Bullet1GR"/>
      </w:pPr>
      <w:r w:rsidRPr="0075366E">
        <w:t>препятствия к перевозке и выдаче груза;</w:t>
      </w:r>
    </w:p>
    <w:p w:rsidR="0075366E" w:rsidRPr="0075366E" w:rsidRDefault="0075366E" w:rsidP="0075366E">
      <w:pPr>
        <w:pStyle w:val="Bullet1GR"/>
      </w:pPr>
      <w:r w:rsidRPr="0075366E">
        <w:t>уведомление об оплате;</w:t>
      </w:r>
    </w:p>
    <w:p w:rsidR="0075366E" w:rsidRPr="0075366E" w:rsidRDefault="0075366E" w:rsidP="0075366E">
      <w:pPr>
        <w:pStyle w:val="Bullet1GR"/>
      </w:pPr>
      <w:r w:rsidRPr="0075366E">
        <w:t>разрешение на сопровождение;</w:t>
      </w:r>
    </w:p>
    <w:p w:rsidR="0075366E" w:rsidRPr="0075366E" w:rsidRDefault="0075366E" w:rsidP="0075366E">
      <w:pPr>
        <w:pStyle w:val="Bullet1GR"/>
      </w:pPr>
      <w:r w:rsidRPr="0075366E">
        <w:t>заявление о пропаже груза;</w:t>
      </w:r>
    </w:p>
    <w:p w:rsidR="0075366E" w:rsidRPr="0075366E" w:rsidRDefault="0075366E" w:rsidP="0075366E">
      <w:pPr>
        <w:pStyle w:val="Bullet1GR"/>
      </w:pPr>
      <w:r w:rsidRPr="0075366E">
        <w:t>уведомление об исправлении;</w:t>
      </w:r>
    </w:p>
    <w:p w:rsidR="0075366E" w:rsidRPr="0075366E" w:rsidRDefault="0075366E" w:rsidP="0075366E">
      <w:pPr>
        <w:pStyle w:val="Bullet1GR"/>
      </w:pPr>
      <w:r w:rsidRPr="0075366E">
        <w:t>предварительный анализ срока перевозки;</w:t>
      </w:r>
    </w:p>
    <w:p w:rsidR="0075366E" w:rsidRPr="0075366E" w:rsidRDefault="0075366E" w:rsidP="0075366E">
      <w:pPr>
        <w:pStyle w:val="Bullet1GR"/>
      </w:pPr>
      <w:r>
        <w:t>вагонные ярлыки;</w:t>
      </w:r>
    </w:p>
    <w:p w:rsidR="0075366E" w:rsidRPr="0075366E" w:rsidRDefault="0075366E" w:rsidP="0075366E">
      <w:pPr>
        <w:pStyle w:val="SingleTxtGR"/>
      </w:pPr>
      <w:r w:rsidRPr="0075366E">
        <w:tab/>
        <w:t>b)</w:t>
      </w:r>
      <w:r w:rsidRPr="0075366E">
        <w:tab/>
        <w:t>в резолюции КВТ о едином железнодорожном праве (ECE/TRANS/</w:t>
      </w:r>
      <w:r>
        <w:br/>
      </w:r>
      <w:r w:rsidRPr="0075366E">
        <w:t>2016/17) железнодорожным предприятиям и международным организациям ж</w:t>
      </w:r>
      <w:r w:rsidRPr="0075366E">
        <w:t>е</w:t>
      </w:r>
      <w:r w:rsidRPr="0075366E">
        <w:t>лезных дорог настоятельно рекомендуется по возможности опробовать подг</w:t>
      </w:r>
      <w:r w:rsidRPr="0075366E">
        <w:t>о</w:t>
      </w:r>
      <w:r w:rsidRPr="0075366E">
        <w:t>товленные проекты положений для единого железнодорожного права на пра</w:t>
      </w:r>
      <w:r w:rsidRPr="0075366E">
        <w:t>к</w:t>
      </w:r>
      <w:r w:rsidRPr="0075366E">
        <w:t>тике. Группе экспертов следует собрать информацию о результатах этих опы</w:t>
      </w:r>
      <w:r w:rsidRPr="0075366E">
        <w:t>т</w:t>
      </w:r>
      <w:r w:rsidRPr="0075366E">
        <w:t xml:space="preserve">ных перевозок и вынести соответствующие рекомендации. </w:t>
      </w:r>
    </w:p>
    <w:p w:rsidR="0075366E" w:rsidRPr="0075366E" w:rsidRDefault="0075366E" w:rsidP="0075366E">
      <w:pPr>
        <w:pStyle w:val="SingleTxtGR"/>
      </w:pPr>
      <w:r w:rsidRPr="0075366E">
        <w:t>2.</w:t>
      </w:r>
      <w:r w:rsidRPr="0075366E">
        <w:tab/>
        <w:t>В своей работе Группе экспертов следует исходить из предыдущей де</w:t>
      </w:r>
      <w:r w:rsidRPr="0075366E">
        <w:t>я</w:t>
      </w:r>
      <w:r w:rsidRPr="0075366E">
        <w:t>тельности ЕЭК в этой области, и в частности из положений статей 2 и 5 Со</w:t>
      </w:r>
      <w:r w:rsidRPr="0075366E">
        <w:t>в</w:t>
      </w:r>
      <w:r w:rsidRPr="0075366E">
        <w:t>местной декларации и правовых положений, подготовленных Группой экспе</w:t>
      </w:r>
      <w:r w:rsidRPr="0075366E">
        <w:t>р</w:t>
      </w:r>
      <w:r w:rsidRPr="0075366E">
        <w:t xml:space="preserve">тов по единому железнодорожному праву. </w:t>
      </w:r>
    </w:p>
    <w:p w:rsidR="0075366E" w:rsidRPr="0075366E" w:rsidRDefault="0075366E" w:rsidP="0075366E">
      <w:pPr>
        <w:pStyle w:val="H1GR"/>
      </w:pPr>
      <w:r w:rsidRPr="0075366E">
        <w:tab/>
        <w:t>B.</w:t>
      </w:r>
      <w:r w:rsidRPr="0075366E">
        <w:tab/>
        <w:t xml:space="preserve">Вариант 2 </w:t>
      </w:r>
    </w:p>
    <w:p w:rsidR="0075366E" w:rsidRPr="0075366E" w:rsidRDefault="0075366E" w:rsidP="0075366E">
      <w:pPr>
        <w:pStyle w:val="SingleTxtGR"/>
      </w:pPr>
      <w:r w:rsidRPr="0075366E">
        <w:t>3.</w:t>
      </w:r>
      <w:r w:rsidRPr="0075366E">
        <w:tab/>
        <w:t>В соответствии с Совместной декларацией о развитии евро-азиатских железнодорожных перевозок и деятельности по созданию единого железнод</w:t>
      </w:r>
      <w:r w:rsidRPr="0075366E">
        <w:t>о</w:t>
      </w:r>
      <w:r w:rsidRPr="0075366E">
        <w:t xml:space="preserve">рожного права, подписанной на совещании министров стран − членов ЕЭК на тему </w:t>
      </w:r>
      <w:r w:rsidR="00155A4A">
        <w:t>«</w:t>
      </w:r>
      <w:r w:rsidRPr="0075366E">
        <w:t>Введение в действие евро-азиатской транспортной сети</w:t>
      </w:r>
      <w:r w:rsidR="00155A4A">
        <w:t>»</w:t>
      </w:r>
      <w:r w:rsidRPr="0075366E">
        <w:t xml:space="preserve"> 26 февраля 2013</w:t>
      </w:r>
      <w:r w:rsidR="00155A4A">
        <w:t> год</w:t>
      </w:r>
      <w:r w:rsidRPr="0075366E">
        <w:t>а, и подготовленными Группой экспертов проектами правовых полож</w:t>
      </w:r>
      <w:r w:rsidRPr="0075366E">
        <w:t>е</w:t>
      </w:r>
      <w:r w:rsidRPr="0075366E">
        <w:t>ний для формирования единого железнодорожного права на данном этапе Группа сосредоточит свою деятельность на следующих вопросах:</w:t>
      </w:r>
    </w:p>
    <w:p w:rsidR="0075366E" w:rsidRPr="0075366E" w:rsidRDefault="0075366E" w:rsidP="0075366E">
      <w:pPr>
        <w:pStyle w:val="SingleTxtGR"/>
      </w:pPr>
      <w:r w:rsidRPr="0075366E">
        <w:tab/>
        <w:t xml:space="preserve">a) </w:t>
      </w:r>
      <w:r w:rsidRPr="0075366E">
        <w:tab/>
        <w:t>преобразование проектов правовых положений для единого желе</w:t>
      </w:r>
      <w:r w:rsidRPr="0075366E">
        <w:t>з</w:t>
      </w:r>
      <w:r w:rsidRPr="0075366E">
        <w:t>нодорожного права, составленных Группой экспертов, в конвенцию путем по</w:t>
      </w:r>
      <w:r w:rsidRPr="0075366E">
        <w:t>д</w:t>
      </w:r>
      <w:r w:rsidRPr="0075366E">
        <w:t>готовки всех недостающих административных положений, касающихся</w:t>
      </w:r>
      <w:r w:rsidR="006579F5">
        <w:t>,</w:t>
      </w:r>
      <w:r w:rsidRPr="0075366E">
        <w:t xml:space="preserve"> в час</w:t>
      </w:r>
      <w:r w:rsidRPr="0075366E">
        <w:t>т</w:t>
      </w:r>
      <w:r w:rsidRPr="0075366E">
        <w:t>ности</w:t>
      </w:r>
      <w:r w:rsidR="006579F5">
        <w:t>,</w:t>
      </w:r>
      <w:r w:rsidRPr="0075366E">
        <w:t xml:space="preserve"> депозитария, административного комитета, процедур внесения поправок в конвенцию, прав на участие в голосовании, вопроса о региональных орган</w:t>
      </w:r>
      <w:r w:rsidRPr="0075366E">
        <w:t>и</w:t>
      </w:r>
      <w:r w:rsidRPr="0075366E">
        <w:t xml:space="preserve">зациях экономической интеграции и т.д.; </w:t>
      </w:r>
    </w:p>
    <w:p w:rsidR="0075366E" w:rsidRPr="0075366E" w:rsidRDefault="0075366E" w:rsidP="0075366E">
      <w:pPr>
        <w:pStyle w:val="SingleTxtGR"/>
      </w:pPr>
      <w:r w:rsidRPr="0075366E">
        <w:tab/>
        <w:t xml:space="preserve">b) </w:t>
      </w:r>
      <w:r w:rsidRPr="0075366E">
        <w:tab/>
        <w:t>доработка необходимых документов для выполнения междунаро</w:t>
      </w:r>
      <w:r w:rsidRPr="0075366E">
        <w:t>д</w:t>
      </w:r>
      <w:r w:rsidRPr="0075366E">
        <w:t>ных железнодорожных перевозок в соответствии с единым железнодорожным правом, включая накладную для новой конвенции и руководство к ней;</w:t>
      </w:r>
    </w:p>
    <w:p w:rsidR="0075366E" w:rsidRPr="0075366E" w:rsidRDefault="0075366E" w:rsidP="0075366E">
      <w:pPr>
        <w:pStyle w:val="SingleTxtGR"/>
      </w:pPr>
      <w:r w:rsidRPr="0075366E">
        <w:lastRenderedPageBreak/>
        <w:tab/>
        <w:t>с)</w:t>
      </w:r>
      <w:r w:rsidRPr="0075366E">
        <w:tab/>
        <w:t>осуществление реальных опытных перевозок по согласованным коридорам или другим коридорам, если таковые были предложены правител</w:t>
      </w:r>
      <w:r w:rsidRPr="0075366E">
        <w:t>ь</w:t>
      </w:r>
      <w:r w:rsidRPr="0075366E">
        <w:t>ствами, с тем чтобы гарантировать оперативную пригодность и эффективность подготовленных правовых положений</w:t>
      </w:r>
      <w:r w:rsidR="006579F5">
        <w:t>.</w:t>
      </w:r>
    </w:p>
    <w:p w:rsidR="0075366E" w:rsidRPr="0075366E" w:rsidRDefault="0075366E" w:rsidP="0075366E">
      <w:pPr>
        <w:pStyle w:val="H1GR"/>
      </w:pPr>
      <w:r w:rsidRPr="0075366E">
        <w:tab/>
        <w:t>C.</w:t>
      </w:r>
      <w:r w:rsidRPr="0075366E">
        <w:tab/>
        <w:t xml:space="preserve">Вариант 3 </w:t>
      </w:r>
    </w:p>
    <w:p w:rsidR="0075366E" w:rsidRPr="0075366E" w:rsidRDefault="0075366E" w:rsidP="0075366E">
      <w:pPr>
        <w:pStyle w:val="SingleTxtGR"/>
      </w:pPr>
      <w:r w:rsidRPr="0075366E">
        <w:t>4.</w:t>
      </w:r>
      <w:r w:rsidRPr="0075366E">
        <w:tab/>
        <w:t>В соответствии с Совместной декларацией о развитии евро-азиатских железнодорожных перевозок и деятельности по созданию единого железнод</w:t>
      </w:r>
      <w:r w:rsidRPr="0075366E">
        <w:t>о</w:t>
      </w:r>
      <w:r w:rsidRPr="0075366E">
        <w:t xml:space="preserve">рожного права, подписанной на совещании министров стран − членов ЕЭК на тему </w:t>
      </w:r>
      <w:r w:rsidR="00155A4A">
        <w:t>«</w:t>
      </w:r>
      <w:r w:rsidRPr="0075366E">
        <w:t>Введение в действие евро-азиатской транспортной сети</w:t>
      </w:r>
      <w:r w:rsidR="00155A4A">
        <w:t>»</w:t>
      </w:r>
      <w:r w:rsidRPr="0075366E">
        <w:t xml:space="preserve"> 26 февраля 2013</w:t>
      </w:r>
      <w:r w:rsidR="00155A4A">
        <w:t> год</w:t>
      </w:r>
      <w:r w:rsidRPr="0075366E">
        <w:t>а, и подготовленными Группой экспертов проектами правовых полож</w:t>
      </w:r>
      <w:r w:rsidRPr="0075366E">
        <w:t>е</w:t>
      </w:r>
      <w:r w:rsidRPr="0075366E">
        <w:t>ний для формирования единого железнодорожного права на данном этапе Группа сосредоточит свою деятельность на следующих вопросах:</w:t>
      </w:r>
    </w:p>
    <w:p w:rsidR="0075366E" w:rsidRPr="0075366E" w:rsidRDefault="0075366E" w:rsidP="0075366E">
      <w:pPr>
        <w:pStyle w:val="SingleTxtGR"/>
      </w:pPr>
      <w:r w:rsidRPr="0075366E">
        <w:tab/>
        <w:t>a)</w:t>
      </w:r>
      <w:r w:rsidRPr="0075366E">
        <w:tab/>
        <w:t>подготовка всеобъемлющей рамочной конвенции о международных железнодорожных грузовых перевозках с приложениями, охватывающей сл</w:t>
      </w:r>
      <w:r w:rsidRPr="0075366E">
        <w:t>е</w:t>
      </w:r>
      <w:r w:rsidRPr="0075366E">
        <w:t>дующие аспекты:</w:t>
      </w:r>
    </w:p>
    <w:p w:rsidR="0075366E" w:rsidRPr="0075366E" w:rsidRDefault="0075366E" w:rsidP="0075366E">
      <w:pPr>
        <w:pStyle w:val="SingleTxtGR"/>
      </w:pPr>
      <w:r>
        <w:rPr>
          <w:lang w:val="en-US"/>
        </w:rPr>
        <w:tab/>
      </w:r>
      <w:r w:rsidRPr="0075366E">
        <w:t>i)</w:t>
      </w:r>
      <w:r w:rsidRPr="0075366E">
        <w:tab/>
        <w:t>договор перевозки (уже подготовлен и согласован Группой);</w:t>
      </w:r>
    </w:p>
    <w:p w:rsidR="0075366E" w:rsidRPr="0075366E" w:rsidRDefault="0075366E" w:rsidP="0075366E">
      <w:pPr>
        <w:pStyle w:val="SingleTxtGR"/>
      </w:pPr>
      <w:r>
        <w:rPr>
          <w:lang w:val="en-US"/>
        </w:rPr>
        <w:tab/>
      </w:r>
      <w:r w:rsidRPr="0075366E">
        <w:t>ii)</w:t>
      </w:r>
      <w:r w:rsidRPr="0075366E">
        <w:tab/>
        <w:t xml:space="preserve">общие положения, касающиеся перевозки опасных грузов; </w:t>
      </w:r>
    </w:p>
    <w:p w:rsidR="0075366E" w:rsidRPr="0075366E" w:rsidRDefault="0075366E" w:rsidP="0075366E">
      <w:pPr>
        <w:pStyle w:val="SingleTxtGR"/>
      </w:pPr>
      <w:r>
        <w:rPr>
          <w:lang w:val="en-US"/>
        </w:rPr>
        <w:tab/>
      </w:r>
      <w:r w:rsidRPr="0075366E">
        <w:t>iii)</w:t>
      </w:r>
      <w:r w:rsidRPr="0075366E">
        <w:tab/>
        <w:t>общие положения, касающиеся использования грузовых вагонов;</w:t>
      </w:r>
    </w:p>
    <w:p w:rsidR="0075366E" w:rsidRPr="0075366E" w:rsidRDefault="0075366E" w:rsidP="0075366E">
      <w:pPr>
        <w:pStyle w:val="SingleTxtGR"/>
      </w:pPr>
      <w:r>
        <w:rPr>
          <w:lang w:val="en-US"/>
        </w:rPr>
        <w:tab/>
      </w:r>
      <w:r w:rsidRPr="0075366E">
        <w:t xml:space="preserve">iv) </w:t>
      </w:r>
      <w:r w:rsidRPr="0075366E">
        <w:tab/>
        <w:t>общие положения о железнодорожной инфраструктуре;</w:t>
      </w:r>
    </w:p>
    <w:p w:rsidR="0075366E" w:rsidRPr="0075366E" w:rsidRDefault="0075366E" w:rsidP="0075366E">
      <w:pPr>
        <w:pStyle w:val="SingleTxtGR"/>
      </w:pPr>
      <w:r>
        <w:rPr>
          <w:lang w:val="en-US"/>
        </w:rPr>
        <w:tab/>
      </w:r>
      <w:r w:rsidRPr="0075366E">
        <w:t>v)</w:t>
      </w:r>
      <w:r w:rsidRPr="0075366E">
        <w:tab/>
        <w:t>общие положения в отношении подвижного состава;</w:t>
      </w:r>
    </w:p>
    <w:p w:rsidR="0075366E" w:rsidRPr="0075366E" w:rsidRDefault="0075366E" w:rsidP="0075366E">
      <w:pPr>
        <w:pStyle w:val="SingleTxtGR"/>
      </w:pPr>
      <w:r w:rsidRPr="0075366E">
        <w:tab/>
        <w:t>b)</w:t>
      </w:r>
      <w:r w:rsidRPr="0075366E">
        <w:tab/>
        <w:t>подготовка всех административных положений этой рамочной ко</w:t>
      </w:r>
      <w:r w:rsidRPr="0075366E">
        <w:t>н</w:t>
      </w:r>
      <w:r w:rsidRPr="0075366E">
        <w:t>венции, касающихся</w:t>
      </w:r>
      <w:r w:rsidR="002E4A04">
        <w:t>,</w:t>
      </w:r>
      <w:r w:rsidRPr="0075366E">
        <w:t xml:space="preserve"> в частности</w:t>
      </w:r>
      <w:r w:rsidR="002E4A04">
        <w:t>,</w:t>
      </w:r>
      <w:r w:rsidRPr="0075366E">
        <w:t xml:space="preserve"> депозитария, административного комитета, процедур внесения поправок в конвенцию, прав на участие в голосовании, в</w:t>
      </w:r>
      <w:r w:rsidRPr="0075366E">
        <w:t>о</w:t>
      </w:r>
      <w:r w:rsidRPr="0075366E">
        <w:t xml:space="preserve">проса о региональных организациях экономической интеграции и т.д.; </w:t>
      </w:r>
    </w:p>
    <w:p w:rsidR="0075366E" w:rsidRPr="0075366E" w:rsidRDefault="0075366E" w:rsidP="0075366E">
      <w:pPr>
        <w:pStyle w:val="SingleTxtGR"/>
      </w:pPr>
      <w:r w:rsidRPr="0075366E">
        <w:tab/>
        <w:t>с)</w:t>
      </w:r>
      <w:r w:rsidRPr="0075366E">
        <w:tab/>
        <w:t>обсуждение и подготовка различных вариантов, касающихся управления и секретариата новой рамочной конвенции о международных ж</w:t>
      </w:r>
      <w:r w:rsidRPr="0075366E">
        <w:t>е</w:t>
      </w:r>
      <w:r w:rsidRPr="0075366E">
        <w:t xml:space="preserve">лезнодорожных грузовых перевозках; </w:t>
      </w:r>
    </w:p>
    <w:p w:rsidR="0075366E" w:rsidRPr="0075366E" w:rsidRDefault="0075366E" w:rsidP="0075366E">
      <w:pPr>
        <w:pStyle w:val="SingleTxtGR"/>
      </w:pPr>
      <w:r w:rsidRPr="0075366E">
        <w:tab/>
        <w:t>d)</w:t>
      </w:r>
      <w:r w:rsidRPr="0075366E">
        <w:tab/>
        <w:t>доработка необходимых документов для выполнения междунаро</w:t>
      </w:r>
      <w:r w:rsidRPr="0075366E">
        <w:t>д</w:t>
      </w:r>
      <w:r w:rsidRPr="0075366E">
        <w:t>ных железнодорожных перевозок в соответствии с новой рамочной конвенцией о международных железнодорожных грузовых перевозках, включая накладную и руководство к ней;</w:t>
      </w:r>
    </w:p>
    <w:p w:rsidR="0075366E" w:rsidRPr="0075366E" w:rsidRDefault="0075366E" w:rsidP="0075366E">
      <w:pPr>
        <w:pStyle w:val="SingleTxtGR"/>
      </w:pPr>
      <w:r w:rsidRPr="0075366E">
        <w:tab/>
        <w:t>e)</w:t>
      </w:r>
      <w:r w:rsidRPr="0075366E">
        <w:tab/>
        <w:t>осуществление реальных опытных перевозок по согласованным коридорам или другим коридорам, если таковые были предложены правител</w:t>
      </w:r>
      <w:r w:rsidRPr="0075366E">
        <w:t>ь</w:t>
      </w:r>
      <w:r w:rsidRPr="0075366E">
        <w:t>ствами, с тем чтобы гарантировать оперативную пригодность и эффективность подготовленных правовых положений.</w:t>
      </w:r>
    </w:p>
    <w:p w:rsidR="0075366E" w:rsidRPr="0075366E" w:rsidRDefault="0075366E" w:rsidP="0075366E">
      <w:pPr>
        <w:pStyle w:val="HChGR"/>
      </w:pPr>
      <w:r w:rsidRPr="0075366E">
        <w:tab/>
        <w:t>II.</w:t>
      </w:r>
      <w:r w:rsidRPr="0075366E">
        <w:tab/>
        <w:t>Методы работы</w:t>
      </w:r>
    </w:p>
    <w:p w:rsidR="0075366E" w:rsidRPr="0075366E" w:rsidRDefault="0075366E" w:rsidP="0075366E">
      <w:pPr>
        <w:pStyle w:val="SingleTxtGR"/>
      </w:pPr>
      <w:r w:rsidRPr="0075366E">
        <w:t>5.</w:t>
      </w:r>
      <w:r w:rsidRPr="0075366E">
        <w:tab/>
        <w:t>Группа экспертов создается и функционирует в соответствии с Руковод</w:t>
      </w:r>
      <w:r w:rsidRPr="0075366E">
        <w:t>я</w:t>
      </w:r>
      <w:r w:rsidRPr="0075366E">
        <w:t>щими принципами создания и функционирования групп специалистов в рамках ЕЭК, утвержденными Исполнительным комитетом ЕЭК 31 марта 2010</w:t>
      </w:r>
      <w:r w:rsidR="00155A4A">
        <w:t> год</w:t>
      </w:r>
      <w:r w:rsidRPr="0075366E">
        <w:t xml:space="preserve">а (ECE/EX/2/Rev.1). На своем первом заседании Группа экспертов утвердит план работы, в котором четко устанавливаются цели и виды деятельности, включая сроки их выполнения. </w:t>
      </w:r>
    </w:p>
    <w:p w:rsidR="0075366E" w:rsidRPr="0075366E" w:rsidRDefault="0075366E" w:rsidP="0075366E">
      <w:pPr>
        <w:pStyle w:val="SingleTxtGR"/>
      </w:pPr>
      <w:r w:rsidRPr="0075366E">
        <w:t>6.</w:t>
      </w:r>
      <w:r w:rsidRPr="0075366E">
        <w:tab/>
        <w:t>Предполагается, что Группа экспертов проведет два совещания в 2018</w:t>
      </w:r>
      <w:r w:rsidR="00155A4A">
        <w:t> год</w:t>
      </w:r>
      <w:r w:rsidRPr="0075366E">
        <w:t>у и по крайней мере три совещания в 2019</w:t>
      </w:r>
      <w:r w:rsidR="00155A4A">
        <w:t> год</w:t>
      </w:r>
      <w:r w:rsidRPr="0075366E">
        <w:t>у во Дворце Наций в Ж</w:t>
      </w:r>
      <w:r w:rsidRPr="0075366E">
        <w:t>е</w:t>
      </w:r>
      <w:r w:rsidRPr="0075366E">
        <w:t>неве, перед тем как завершить свою деятельность путем представления доклада Рабочей группе по железнодорожному транспорту на ее семьдесят третьей се</w:t>
      </w:r>
      <w:r w:rsidRPr="0075366E">
        <w:t>с</w:t>
      </w:r>
      <w:r w:rsidRPr="0075366E">
        <w:t>сии (ноябрь 2019</w:t>
      </w:r>
      <w:r w:rsidR="00155A4A">
        <w:t> год</w:t>
      </w:r>
      <w:r w:rsidRPr="0075366E">
        <w:t>а, Женева). Этот доклад должен также содержать предл</w:t>
      </w:r>
      <w:r w:rsidRPr="0075366E">
        <w:t>о</w:t>
      </w:r>
      <w:r w:rsidRPr="0075366E">
        <w:t xml:space="preserve">жения по процедурам мониторинга и последующей деятельности. </w:t>
      </w:r>
    </w:p>
    <w:p w:rsidR="0075366E" w:rsidRPr="0075366E" w:rsidRDefault="0075366E" w:rsidP="0075366E">
      <w:pPr>
        <w:pStyle w:val="SingleTxtGR"/>
      </w:pPr>
      <w:r w:rsidRPr="0075366E">
        <w:lastRenderedPageBreak/>
        <w:t>7.</w:t>
      </w:r>
      <w:r w:rsidRPr="0075366E">
        <w:tab/>
        <w:t>Перевод документов и синхронный перевод для сессий Группы, провод</w:t>
      </w:r>
      <w:r w:rsidRPr="0075366E">
        <w:t>и</w:t>
      </w:r>
      <w:r w:rsidRPr="0075366E">
        <w:t>мых во Дворце Наций в Женеве, на английский, французский и русский языки будут осуществляться силами служб ООН (ЮНОГ).</w:t>
      </w:r>
    </w:p>
    <w:p w:rsidR="0075366E" w:rsidRPr="0075366E" w:rsidRDefault="0075366E" w:rsidP="0075366E">
      <w:pPr>
        <w:pStyle w:val="SingleTxtGR"/>
      </w:pPr>
      <w:r w:rsidRPr="0075366E">
        <w:t>8.</w:t>
      </w:r>
      <w:r w:rsidRPr="0075366E">
        <w:tab/>
        <w:t>Участие в работе Группы экспертов открыто для всех заинтересованных стран − членов Организации Объединенных Наций и экспертов. В ее работе предлагается принять участие представителям заинтересованных межправ</w:t>
      </w:r>
      <w:r w:rsidRPr="0075366E">
        <w:t>и</w:t>
      </w:r>
      <w:r w:rsidRPr="0075366E">
        <w:t>тельственных и неправительственных организаций, а также заинтересованных железнодорожных, грузовых и транспортно-экспедиторских компаний, которые могут представлять свои экспертные мнения в соответствии с правилами и с</w:t>
      </w:r>
      <w:r w:rsidRPr="0075366E">
        <w:t>у</w:t>
      </w:r>
      <w:r w:rsidRPr="0075366E">
        <w:t>ществующей практикой Организации Объединенных Наций.</w:t>
      </w:r>
    </w:p>
    <w:p w:rsidR="0075366E" w:rsidRPr="0075366E" w:rsidRDefault="0075366E" w:rsidP="0075366E">
      <w:pPr>
        <w:pStyle w:val="HChGR"/>
      </w:pPr>
      <w:r w:rsidRPr="0075366E">
        <w:tab/>
        <w:t>III.</w:t>
      </w:r>
      <w:r w:rsidRPr="0075366E">
        <w:tab/>
        <w:t>Секретариат</w:t>
      </w:r>
    </w:p>
    <w:p w:rsidR="00E12C5F" w:rsidRDefault="0075366E" w:rsidP="0075366E">
      <w:pPr>
        <w:pStyle w:val="SingleTxtGR"/>
        <w:rPr>
          <w:lang w:val="en-US"/>
        </w:rPr>
      </w:pPr>
      <w:r w:rsidRPr="0075366E">
        <w:t>9.</w:t>
      </w:r>
      <w:r w:rsidRPr="0075366E">
        <w:tab/>
        <w:t>ЕЭК предоставляет услуги секретариата для работы Группы экспертов и обеспечивает тесное сотрудничество со всеми заинтересованными сторонами, включая Европейскую комиссию, Межправительственную организацию по международным железнодорожным перевозкам (ОТИФ), Организацию сотру</w:t>
      </w:r>
      <w:r w:rsidRPr="0075366E">
        <w:t>д</w:t>
      </w:r>
      <w:r w:rsidRPr="0075366E">
        <w:t>ничества железных дорог (ОСЖД), Международный комитет железнодорожн</w:t>
      </w:r>
      <w:r w:rsidRPr="0075366E">
        <w:t>о</w:t>
      </w:r>
      <w:r w:rsidRPr="0075366E">
        <w:t>го транспорта (МКЖТ) и соответствующие региональные комиссии Организ</w:t>
      </w:r>
      <w:r w:rsidRPr="0075366E">
        <w:t>а</w:t>
      </w:r>
      <w:r w:rsidRPr="0075366E">
        <w:t>ции Объединенных Наций, в частности ЭСКАТО.</w:t>
      </w:r>
    </w:p>
    <w:p w:rsidR="0075366E" w:rsidRPr="0075366E" w:rsidRDefault="0075366E" w:rsidP="0075366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5366E" w:rsidRPr="0075366E" w:rsidSect="00827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FF" w:rsidRPr="00A312BC" w:rsidRDefault="00A128FF" w:rsidP="00A312BC"/>
  </w:endnote>
  <w:endnote w:type="continuationSeparator" w:id="0">
    <w:p w:rsidR="00A128FF" w:rsidRPr="00A312BC" w:rsidRDefault="00A128F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E" w:rsidRPr="0082754E" w:rsidRDefault="0082754E">
    <w:pPr>
      <w:pStyle w:val="Footer"/>
    </w:pPr>
    <w:r w:rsidRPr="0082754E">
      <w:rPr>
        <w:b/>
        <w:sz w:val="18"/>
      </w:rPr>
      <w:fldChar w:fldCharType="begin"/>
    </w:r>
    <w:r w:rsidRPr="0082754E">
      <w:rPr>
        <w:b/>
        <w:sz w:val="18"/>
      </w:rPr>
      <w:instrText xml:space="preserve"> PAGE  \* MERGEFORMAT </w:instrText>
    </w:r>
    <w:r w:rsidRPr="0082754E">
      <w:rPr>
        <w:b/>
        <w:sz w:val="18"/>
      </w:rPr>
      <w:fldChar w:fldCharType="separate"/>
    </w:r>
    <w:r w:rsidR="00857550">
      <w:rPr>
        <w:b/>
        <w:noProof/>
        <w:sz w:val="18"/>
      </w:rPr>
      <w:t>4</w:t>
    </w:r>
    <w:r w:rsidRPr="0082754E">
      <w:rPr>
        <w:b/>
        <w:sz w:val="18"/>
      </w:rPr>
      <w:fldChar w:fldCharType="end"/>
    </w:r>
    <w:r>
      <w:rPr>
        <w:b/>
        <w:sz w:val="18"/>
      </w:rPr>
      <w:tab/>
    </w:r>
    <w:r>
      <w:t>GE.17-22265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E" w:rsidRPr="0082754E" w:rsidRDefault="0082754E" w:rsidP="0082754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GE.17-22265</w:t>
    </w:r>
    <w:r>
      <w:tab/>
    </w:r>
    <w:r w:rsidRPr="0082754E">
      <w:rPr>
        <w:b/>
        <w:sz w:val="18"/>
      </w:rPr>
      <w:fldChar w:fldCharType="begin"/>
    </w:r>
    <w:r w:rsidRPr="0082754E">
      <w:rPr>
        <w:b/>
        <w:sz w:val="18"/>
      </w:rPr>
      <w:instrText xml:space="preserve"> PAGE  \* MERGEFORMAT </w:instrText>
    </w:r>
    <w:r w:rsidRPr="0082754E">
      <w:rPr>
        <w:b/>
        <w:sz w:val="18"/>
      </w:rPr>
      <w:fldChar w:fldCharType="separate"/>
    </w:r>
    <w:r w:rsidR="00857550">
      <w:rPr>
        <w:b/>
        <w:noProof/>
        <w:sz w:val="18"/>
      </w:rPr>
      <w:t>3</w:t>
    </w:r>
    <w:r w:rsidRPr="008275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82754E" w:rsidRDefault="0082754E" w:rsidP="0082754E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F0C4CB2" wp14:editId="35E70A2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17-22265  (R)</w:t>
    </w:r>
    <w:r>
      <w:rPr>
        <w:lang w:val="en-US"/>
      </w:rPr>
      <w:t xml:space="preserve">  181217  181217</w:t>
    </w:r>
    <w:r>
      <w:br/>
    </w:r>
    <w:r w:rsidRPr="0082754E">
      <w:rPr>
        <w:rFonts w:ascii="C39T30Lfz" w:hAnsi="C39T30Lfz"/>
        <w:spacing w:val="0"/>
        <w:w w:val="100"/>
        <w:sz w:val="56"/>
      </w:rPr>
      <w:t></w:t>
    </w:r>
    <w:r w:rsidRPr="0082754E">
      <w:rPr>
        <w:rFonts w:ascii="C39T30Lfz" w:hAnsi="C39T30Lfz"/>
        <w:spacing w:val="0"/>
        <w:w w:val="100"/>
        <w:sz w:val="56"/>
      </w:rPr>
      <w:t></w:t>
    </w:r>
    <w:r w:rsidRPr="0082754E">
      <w:rPr>
        <w:rFonts w:ascii="C39T30Lfz" w:hAnsi="C39T30Lfz"/>
        <w:spacing w:val="0"/>
        <w:w w:val="100"/>
        <w:sz w:val="56"/>
      </w:rPr>
      <w:t></w:t>
    </w:r>
    <w:r w:rsidRPr="0082754E">
      <w:rPr>
        <w:rFonts w:ascii="C39T30Lfz" w:hAnsi="C39T30Lfz"/>
        <w:spacing w:val="0"/>
        <w:w w:val="100"/>
        <w:sz w:val="56"/>
      </w:rPr>
      <w:t></w:t>
    </w:r>
    <w:r w:rsidRPr="0082754E">
      <w:rPr>
        <w:rFonts w:ascii="C39T30Lfz" w:hAnsi="C39T30Lfz"/>
        <w:spacing w:val="0"/>
        <w:w w:val="100"/>
        <w:sz w:val="56"/>
      </w:rPr>
      <w:t></w:t>
    </w:r>
    <w:r w:rsidRPr="0082754E">
      <w:rPr>
        <w:rFonts w:ascii="C39T30Lfz" w:hAnsi="C39T30Lfz"/>
        <w:spacing w:val="0"/>
        <w:w w:val="100"/>
        <w:sz w:val="56"/>
      </w:rPr>
      <w:t></w:t>
    </w:r>
    <w:r w:rsidRPr="0082754E">
      <w:rPr>
        <w:rFonts w:ascii="C39T30Lfz" w:hAnsi="C39T30Lfz"/>
        <w:spacing w:val="0"/>
        <w:w w:val="100"/>
        <w:sz w:val="56"/>
      </w:rPr>
      <w:t></w:t>
    </w:r>
    <w:r w:rsidRPr="0082754E">
      <w:rPr>
        <w:rFonts w:ascii="C39T30Lfz" w:hAnsi="C39T30Lfz"/>
        <w:spacing w:val="0"/>
        <w:w w:val="100"/>
        <w:sz w:val="56"/>
      </w:rPr>
      <w:t></w:t>
    </w:r>
    <w:r w:rsidRPr="0082754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FF" w:rsidRPr="001075E9" w:rsidRDefault="00A128F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28FF" w:rsidRDefault="00A128F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E" w:rsidRPr="0082754E" w:rsidRDefault="008575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57D3">
      <w:t>ECE/TRANS/2018/13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E" w:rsidRPr="0082754E" w:rsidRDefault="00857550" w:rsidP="0082754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57D3">
      <w:t>ECE/TRANS/2018/13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4E" w:rsidRDefault="0082754E" w:rsidP="008275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  <w:lvlOverride w:ilvl="0">
      <w:lvl w:ilvl="0" w:tplc="8C4849AC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5A4A"/>
    <w:rsid w:val="00180183"/>
    <w:rsid w:val="0018024D"/>
    <w:rsid w:val="0018649F"/>
    <w:rsid w:val="00196389"/>
    <w:rsid w:val="001B3EF6"/>
    <w:rsid w:val="001C7A89"/>
    <w:rsid w:val="00255343"/>
    <w:rsid w:val="00264626"/>
    <w:rsid w:val="0027151D"/>
    <w:rsid w:val="002A2EFC"/>
    <w:rsid w:val="002B0106"/>
    <w:rsid w:val="002B74B1"/>
    <w:rsid w:val="002C0E18"/>
    <w:rsid w:val="002D5AAC"/>
    <w:rsid w:val="002E4A04"/>
    <w:rsid w:val="002E5067"/>
    <w:rsid w:val="002F405F"/>
    <w:rsid w:val="002F7EEC"/>
    <w:rsid w:val="00301299"/>
    <w:rsid w:val="00305C08"/>
    <w:rsid w:val="00307FB6"/>
    <w:rsid w:val="00315F6B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565"/>
    <w:rsid w:val="005D7914"/>
    <w:rsid w:val="005E2B41"/>
    <w:rsid w:val="005F0B42"/>
    <w:rsid w:val="006345DB"/>
    <w:rsid w:val="00640F49"/>
    <w:rsid w:val="006579F5"/>
    <w:rsid w:val="00680D03"/>
    <w:rsid w:val="00681A10"/>
    <w:rsid w:val="006A1ED8"/>
    <w:rsid w:val="006C2031"/>
    <w:rsid w:val="006D461A"/>
    <w:rsid w:val="006F35EE"/>
    <w:rsid w:val="007021FF"/>
    <w:rsid w:val="00712895"/>
    <w:rsid w:val="00717A0D"/>
    <w:rsid w:val="00734ACB"/>
    <w:rsid w:val="0075366E"/>
    <w:rsid w:val="00757357"/>
    <w:rsid w:val="00792497"/>
    <w:rsid w:val="00806737"/>
    <w:rsid w:val="00825F8D"/>
    <w:rsid w:val="0082754E"/>
    <w:rsid w:val="00834B71"/>
    <w:rsid w:val="0085755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28FF"/>
    <w:rsid w:val="00A14DA8"/>
    <w:rsid w:val="00A26AB4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3C1B"/>
    <w:rsid w:val="00BC18B2"/>
    <w:rsid w:val="00BC682E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157D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5366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5366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4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ECE/TRANS/2018/13</vt:lpstr>
      <vt:lpstr>ECE/TRANS/2018/13</vt:lpstr>
      <vt:lpstr>A/</vt:lpstr>
    </vt:vector>
  </TitlesOfParts>
  <Company>DCM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ECE/TRANS/2018/13</dc:title>
  <dc:creator>Ovchinnikova Olga</dc:creator>
  <cp:lastModifiedBy>31/08/2016</cp:lastModifiedBy>
  <cp:revision>2</cp:revision>
  <cp:lastPrinted>2017-12-18T16:01:00Z</cp:lastPrinted>
  <dcterms:created xsi:type="dcterms:W3CDTF">2017-12-22T08:53:00Z</dcterms:created>
  <dcterms:modified xsi:type="dcterms:W3CDTF">2017-12-22T08:53:00Z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