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5622"/>
        <w:gridCol w:w="2801"/>
      </w:tblGrid>
      <w:tr w:rsidR="005D6641" w:rsidRPr="005D6641" w:rsidTr="00B416BC">
        <w:trPr>
          <w:cantSplit/>
          <w:trHeight w:hRule="exact" w:val="881"/>
        </w:trPr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/>
        </w:tc>
        <w:tc>
          <w:tcPr>
            <w:tcW w:w="8423" w:type="dxa"/>
            <w:gridSpan w:val="2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>
            <w:pPr>
              <w:jc w:val="right"/>
            </w:pPr>
            <w:r w:rsidRPr="005D6641">
              <w:rPr>
                <w:b/>
                <w:sz w:val="40"/>
                <w:szCs w:val="40"/>
              </w:rPr>
              <w:t>INF</w:t>
            </w:r>
            <w:r w:rsidR="00B416BC">
              <w:rPr>
                <w:b/>
                <w:sz w:val="40"/>
                <w:szCs w:val="40"/>
              </w:rPr>
              <w:t>.</w:t>
            </w:r>
            <w:r w:rsidR="00127422">
              <w:rPr>
                <w:b/>
                <w:sz w:val="40"/>
                <w:szCs w:val="40"/>
              </w:rPr>
              <w:t>1</w:t>
            </w:r>
            <w:r w:rsidR="000754E3">
              <w:rPr>
                <w:b/>
                <w:sz w:val="40"/>
                <w:szCs w:val="40"/>
              </w:rPr>
              <w:t>3</w:t>
            </w:r>
          </w:p>
        </w:tc>
      </w:tr>
      <w:tr w:rsidR="005D6641" w:rsidRPr="005D6641" w:rsidTr="00CC0411">
        <w:trPr>
          <w:cantSplit/>
          <w:trHeight w:hRule="exact" w:val="3810"/>
        </w:trPr>
        <w:tc>
          <w:tcPr>
            <w:tcW w:w="69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641" w:rsidRPr="003134DF" w:rsidRDefault="005D6641" w:rsidP="005D6641">
            <w:pPr>
              <w:spacing w:before="120"/>
              <w:rPr>
                <w:b/>
                <w:sz w:val="28"/>
                <w:szCs w:val="28"/>
              </w:rPr>
            </w:pPr>
            <w:r w:rsidRPr="003134DF">
              <w:rPr>
                <w:b/>
                <w:sz w:val="28"/>
                <w:szCs w:val="28"/>
              </w:rPr>
              <w:t>Economic Commission for Europe</w:t>
            </w:r>
          </w:p>
          <w:p w:rsidR="005D6641" w:rsidRPr="003134DF" w:rsidRDefault="005D6641" w:rsidP="005D6641">
            <w:pPr>
              <w:spacing w:before="120"/>
              <w:rPr>
                <w:sz w:val="28"/>
                <w:szCs w:val="28"/>
              </w:rPr>
            </w:pPr>
            <w:r w:rsidRPr="003134DF">
              <w:rPr>
                <w:sz w:val="28"/>
                <w:szCs w:val="28"/>
              </w:rPr>
              <w:t>Inland Transport Committee</w:t>
            </w:r>
          </w:p>
          <w:p w:rsidR="005D6641" w:rsidRPr="003134DF" w:rsidRDefault="005D6641" w:rsidP="005D6641">
            <w:pPr>
              <w:spacing w:before="120"/>
              <w:rPr>
                <w:b/>
                <w:sz w:val="24"/>
                <w:szCs w:val="24"/>
              </w:rPr>
            </w:pPr>
            <w:r w:rsidRPr="003134DF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5D6641" w:rsidRPr="003134DF" w:rsidRDefault="005D6641" w:rsidP="005D6641">
            <w:pPr>
              <w:spacing w:before="120" w:after="120"/>
              <w:rPr>
                <w:b/>
              </w:rPr>
            </w:pPr>
            <w:r w:rsidRPr="003134DF">
              <w:rPr>
                <w:b/>
              </w:rPr>
              <w:t xml:space="preserve">Joint Meeting of Experts on the Regulations annexed to the </w:t>
            </w:r>
            <w:r w:rsidRPr="003134DF">
              <w:rPr>
                <w:b/>
              </w:rPr>
              <w:br/>
              <w:t xml:space="preserve">European Agreement concerning the International Carriage </w:t>
            </w:r>
            <w:r w:rsidRPr="003134DF">
              <w:rPr>
                <w:b/>
              </w:rPr>
              <w:br/>
              <w:t>of Dangerous Goods by Inland Waterways (ADN)</w:t>
            </w:r>
            <w:r w:rsidRPr="003134DF">
              <w:rPr>
                <w:b/>
              </w:rPr>
              <w:br/>
              <w:t>(ADN Safety Committee)</w:t>
            </w:r>
          </w:p>
          <w:p w:rsidR="005D6641" w:rsidRPr="003134DF" w:rsidRDefault="005D6641" w:rsidP="005D6641">
            <w:pPr>
              <w:spacing w:before="120"/>
              <w:rPr>
                <w:b/>
              </w:rPr>
            </w:pPr>
            <w:r>
              <w:rPr>
                <w:b/>
              </w:rPr>
              <w:t>Thirty-third</w:t>
            </w:r>
            <w:r w:rsidRPr="003134DF">
              <w:rPr>
                <w:b/>
              </w:rPr>
              <w:t xml:space="preserve"> session</w:t>
            </w:r>
          </w:p>
          <w:p w:rsidR="005D6641" w:rsidRPr="003134DF" w:rsidRDefault="005D6641" w:rsidP="005D6641">
            <w:r w:rsidRPr="003134DF">
              <w:t>Geneva, 2</w:t>
            </w:r>
            <w:r>
              <w:t>7–31August</w:t>
            </w:r>
            <w:r w:rsidRPr="003134DF">
              <w:t xml:space="preserve"> 201</w:t>
            </w:r>
            <w:r>
              <w:t>8</w:t>
            </w:r>
            <w:r>
              <w:br/>
              <w:t xml:space="preserve">Item </w:t>
            </w:r>
            <w:r w:rsidR="00CC0411">
              <w:t>4</w:t>
            </w:r>
            <w:r w:rsidR="008C13ED">
              <w:t xml:space="preserve"> (</w:t>
            </w:r>
            <w:r w:rsidR="007E4801">
              <w:t>a</w:t>
            </w:r>
            <w:r w:rsidR="008C13ED">
              <w:t>)</w:t>
            </w:r>
            <w:r w:rsidR="00BA1D19">
              <w:t xml:space="preserve"> </w:t>
            </w:r>
            <w:r w:rsidRPr="003134DF">
              <w:t>of the provisional agenda</w:t>
            </w:r>
          </w:p>
          <w:p w:rsidR="005D6641" w:rsidRPr="00F06314" w:rsidRDefault="00CC0411" w:rsidP="00CC0411">
            <w:pPr>
              <w:rPr>
                <w:b/>
              </w:rPr>
            </w:pPr>
            <w:r w:rsidRPr="00F06314">
              <w:rPr>
                <w:b/>
              </w:rPr>
              <w:t>Proposals for amendments to the Regulations annexed to ADN</w:t>
            </w:r>
            <w:r w:rsidR="005D6641" w:rsidRPr="00F06314">
              <w:rPr>
                <w:b/>
              </w:rPr>
              <w:t>:</w:t>
            </w:r>
          </w:p>
          <w:p w:rsidR="005D6641" w:rsidRPr="005D6641" w:rsidRDefault="00F06314" w:rsidP="00F06314">
            <w:pPr>
              <w:spacing w:after="120"/>
              <w:rPr>
                <w:b/>
              </w:rPr>
            </w:pPr>
            <w:r w:rsidRPr="00F06314">
              <w:rPr>
                <w:b/>
              </w:rPr>
              <w:t>work of the RID/ADR/ADN Joint Meeting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</w:tcPr>
          <w:p w:rsidR="005D6641" w:rsidRPr="005D6641" w:rsidRDefault="005D6641" w:rsidP="005D6641">
            <w:pPr>
              <w:spacing w:before="120"/>
            </w:pPr>
          </w:p>
          <w:p w:rsidR="005D6641" w:rsidRPr="00FA1363" w:rsidRDefault="00222048" w:rsidP="005D6641">
            <w:pPr>
              <w:spacing w:before="120"/>
              <w:rPr>
                <w:bCs/>
              </w:rPr>
            </w:pPr>
            <w:r>
              <w:rPr>
                <w:bCs/>
              </w:rPr>
              <w:t>9</w:t>
            </w:r>
            <w:r w:rsidR="00127422">
              <w:rPr>
                <w:bCs/>
              </w:rPr>
              <w:t xml:space="preserve"> August</w:t>
            </w:r>
            <w:r w:rsidR="00FA1363" w:rsidRPr="00FA1363">
              <w:rPr>
                <w:bCs/>
              </w:rPr>
              <w:t xml:space="preserve"> </w:t>
            </w:r>
            <w:r w:rsidR="005D6641" w:rsidRPr="00FA1363">
              <w:rPr>
                <w:bCs/>
              </w:rPr>
              <w:t>2018</w:t>
            </w:r>
          </w:p>
        </w:tc>
      </w:tr>
    </w:tbl>
    <w:p w:rsidR="00885A1E" w:rsidRPr="00885A1E" w:rsidRDefault="00710B24" w:rsidP="007E4801">
      <w:pPr>
        <w:pStyle w:val="HChG"/>
        <w:rPr>
          <w:lang w:eastAsia="zh-CN"/>
        </w:rPr>
      </w:pPr>
      <w:r>
        <w:rPr>
          <w:lang w:val="en" w:eastAsia="zh-CN"/>
        </w:rPr>
        <w:tab/>
      </w:r>
      <w:r>
        <w:rPr>
          <w:lang w:val="en" w:eastAsia="zh-CN"/>
        </w:rPr>
        <w:tab/>
      </w:r>
      <w:r w:rsidR="000754E3">
        <w:rPr>
          <w:lang w:eastAsia="zh-CN"/>
        </w:rPr>
        <w:t>Additional corrections to ECE/ADN/45 and to the Annexed regulations to ADN</w:t>
      </w:r>
    </w:p>
    <w:p w:rsidR="00F1616D" w:rsidRDefault="00F1616D" w:rsidP="007E4801">
      <w:pPr>
        <w:pStyle w:val="H1G"/>
        <w:rPr>
          <w:lang w:val="en-US"/>
        </w:rPr>
      </w:pPr>
      <w:r w:rsidRPr="003134DF">
        <w:tab/>
      </w:r>
      <w:r w:rsidRPr="003134DF">
        <w:tab/>
      </w:r>
      <w:r w:rsidR="000754E3">
        <w:rPr>
          <w:lang w:val="en-US"/>
        </w:rPr>
        <w:t>Note by the secretariat</w:t>
      </w:r>
    </w:p>
    <w:p w:rsidR="007E4801" w:rsidRPr="000E0CAD" w:rsidRDefault="007E4801" w:rsidP="0057523C">
      <w:pPr>
        <w:pStyle w:val="HChG"/>
        <w:rPr>
          <w:sz w:val="22"/>
          <w:szCs w:val="22"/>
          <w:lang w:eastAsia="zh-CN"/>
        </w:rPr>
      </w:pPr>
      <w:r w:rsidRPr="000E0CAD">
        <w:rPr>
          <w:sz w:val="22"/>
          <w:szCs w:val="22"/>
        </w:rPr>
        <w:tab/>
      </w:r>
      <w:r w:rsidR="0057523C" w:rsidRPr="000E0CAD">
        <w:rPr>
          <w:sz w:val="22"/>
          <w:szCs w:val="22"/>
        </w:rPr>
        <w:tab/>
      </w:r>
      <w:r w:rsidR="0057523C" w:rsidRPr="000E0CAD">
        <w:rPr>
          <w:sz w:val="22"/>
          <w:szCs w:val="22"/>
        </w:rPr>
        <w:tab/>
      </w:r>
      <w:r w:rsidR="000754E3" w:rsidRPr="000E0CAD">
        <w:rPr>
          <w:sz w:val="22"/>
          <w:szCs w:val="22"/>
        </w:rPr>
        <w:t xml:space="preserve">Corrections to </w:t>
      </w:r>
      <w:r w:rsidR="000754E3" w:rsidRPr="000E0CAD">
        <w:rPr>
          <w:sz w:val="22"/>
          <w:szCs w:val="22"/>
          <w:lang w:eastAsia="zh-CN"/>
        </w:rPr>
        <w:t>ECE/ADN/45</w:t>
      </w:r>
    </w:p>
    <w:p w:rsidR="000754E3" w:rsidRPr="00E073BA" w:rsidRDefault="00E073BA" w:rsidP="00E073BA">
      <w:pPr>
        <w:pStyle w:val="H23G"/>
      </w:pPr>
      <w:r w:rsidRPr="00D67FEA">
        <w:tab/>
      </w:r>
      <w:r w:rsidRPr="00E073BA">
        <w:t>1</w:t>
      </w:r>
      <w:r>
        <w:t>.</w:t>
      </w:r>
      <w:r>
        <w:tab/>
        <w:t>Chapter</w:t>
      </w:r>
      <w:r w:rsidRPr="00E073BA">
        <w:t xml:space="preserve"> 2.1, 2.1.3.5.5</w:t>
      </w:r>
    </w:p>
    <w:p w:rsidR="00E073BA" w:rsidRPr="00F45647" w:rsidRDefault="00E073BA" w:rsidP="00E073BA">
      <w:pPr>
        <w:pStyle w:val="SingleTxtG"/>
      </w:pPr>
      <w:r w:rsidRPr="00E073BA">
        <w:rPr>
          <w:i/>
          <w:iCs/>
        </w:rPr>
        <w:t>For</w:t>
      </w:r>
      <w:r w:rsidRPr="00F45647">
        <w:t xml:space="preserve"> existing text </w:t>
      </w:r>
      <w:r w:rsidRPr="00E073BA">
        <w:rPr>
          <w:i/>
          <w:iCs/>
        </w:rPr>
        <w:t>substitute</w:t>
      </w:r>
      <w:r w:rsidR="00686978">
        <w:rPr>
          <w:i/>
          <w:iCs/>
        </w:rPr>
        <w:t>:</w:t>
      </w:r>
    </w:p>
    <w:p w:rsidR="00E073BA" w:rsidRPr="00504726" w:rsidRDefault="00E073BA" w:rsidP="00E073BA">
      <w:pPr>
        <w:pStyle w:val="SingleTxtG"/>
      </w:pPr>
      <w:r w:rsidRPr="00504726">
        <w:t>2.1.3.5.5</w:t>
      </w:r>
      <w:r w:rsidRPr="00504726">
        <w:tab/>
      </w:r>
      <w:r w:rsidRPr="00504726">
        <w:tab/>
        <w:t>Amend footnote 2 to read as follows:</w:t>
      </w:r>
    </w:p>
    <w:p w:rsidR="00E073BA" w:rsidRDefault="00E073BA" w:rsidP="00E073BA">
      <w:pPr>
        <w:pStyle w:val="SingleTxtG"/>
        <w:rPr>
          <w:i/>
          <w:iCs/>
          <w:lang w:val="fr-CH"/>
        </w:rPr>
      </w:pPr>
      <w:r w:rsidRPr="00B3079F">
        <w:rPr>
          <w:i/>
          <w:iCs/>
        </w:rPr>
        <w:t>"</w:t>
      </w:r>
      <w:r w:rsidRPr="00B3079F">
        <w:rPr>
          <w:i/>
          <w:iCs/>
          <w:vertAlign w:val="superscript"/>
        </w:rPr>
        <w:t>2</w:t>
      </w:r>
      <w:r w:rsidRPr="00B3079F">
        <w:rPr>
          <w:i/>
          <w:iCs/>
        </w:rPr>
        <w:t xml:space="preserve"> Such legislation is for instance the Commission Decision 2000/532/EC of 3 May 2000 replacing Decision 94/3/EC establishing a list of wastes pursuant to Article 1(a) of Council Directive 75/442/EEC on waste and Council Decision 94/904/EC establishing a list of hazardous wastes pursuant to Article 1(4) of Council Directive 91/689/EEC on hazardous wastes (Official Journal of the European Communities No. L 226 of 6 September 2000, page 3), as amended; and Directive 2008/98/EC of the European Parliament and of the Council of 19 November 2008 on waste and repealing certain Directives (Official Journal of the European Union No. </w:t>
      </w:r>
      <w:r w:rsidRPr="00F45647">
        <w:rPr>
          <w:i/>
          <w:iCs/>
          <w:lang w:val="fr-CH"/>
        </w:rPr>
        <w:t xml:space="preserve">L312 of 22 </w:t>
      </w:r>
      <w:proofErr w:type="spellStart"/>
      <w:r w:rsidRPr="00F45647">
        <w:rPr>
          <w:i/>
          <w:iCs/>
          <w:lang w:val="fr-CH"/>
        </w:rPr>
        <w:t>November</w:t>
      </w:r>
      <w:proofErr w:type="spellEnd"/>
      <w:r w:rsidRPr="00F45647">
        <w:rPr>
          <w:i/>
          <w:iCs/>
          <w:lang w:val="fr-CH"/>
        </w:rPr>
        <w:t xml:space="preserve"> 2008, pages 3-30), as </w:t>
      </w:r>
      <w:proofErr w:type="spellStart"/>
      <w:r w:rsidRPr="00F45647">
        <w:rPr>
          <w:i/>
          <w:iCs/>
          <w:lang w:val="fr-CH"/>
        </w:rPr>
        <w:t>amended</w:t>
      </w:r>
      <w:proofErr w:type="spellEnd"/>
      <w:r w:rsidRPr="00F45647">
        <w:rPr>
          <w:i/>
          <w:iCs/>
          <w:lang w:val="fr-CH"/>
        </w:rPr>
        <w:t>."</w:t>
      </w:r>
    </w:p>
    <w:p w:rsidR="00D773F9" w:rsidRDefault="00D773F9" w:rsidP="00D773F9">
      <w:pPr>
        <w:pStyle w:val="H23G"/>
        <w:rPr>
          <w:lang w:val="fr-CH"/>
        </w:rPr>
      </w:pPr>
      <w:r>
        <w:rPr>
          <w:lang w:val="fr-CH"/>
        </w:rPr>
        <w:tab/>
      </w:r>
      <w:r w:rsidRPr="00D773F9">
        <w:rPr>
          <w:lang w:val="fr-CH"/>
        </w:rPr>
        <w:t>1.</w:t>
      </w:r>
      <w:r w:rsidRPr="00D773F9">
        <w:rPr>
          <w:lang w:val="fr-CH"/>
        </w:rPr>
        <w:tab/>
        <w:t>Chap</w:t>
      </w:r>
      <w:r>
        <w:rPr>
          <w:lang w:val="fr-CH"/>
        </w:rPr>
        <w:t>itre</w:t>
      </w:r>
      <w:r w:rsidRPr="00D773F9">
        <w:rPr>
          <w:lang w:val="fr-CH"/>
        </w:rPr>
        <w:t xml:space="preserve"> 2.1, 2.1.3.5.5</w:t>
      </w:r>
    </w:p>
    <w:p w:rsidR="00D773F9" w:rsidRPr="00D67FEA" w:rsidRDefault="00686978" w:rsidP="00686978">
      <w:pPr>
        <w:pStyle w:val="SingleTxtG"/>
        <w:rPr>
          <w:lang w:val="fr-CH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:rsidR="000754E3" w:rsidRDefault="00E073BA" w:rsidP="00E073BA">
      <w:pPr>
        <w:pStyle w:val="SingleTxtG"/>
        <w:rPr>
          <w:i/>
          <w:iCs/>
          <w:lang w:val="fr-CH"/>
        </w:rPr>
      </w:pPr>
      <w:r>
        <w:rPr>
          <w:lang w:val="fr-CH"/>
        </w:rPr>
        <w:t>«</w:t>
      </w:r>
      <w:r w:rsidRPr="00B3079F">
        <w:rPr>
          <w:vertAlign w:val="superscript"/>
          <w:lang w:val="fr-CH"/>
        </w:rPr>
        <w:t>2</w:t>
      </w:r>
      <w:r w:rsidRPr="00E073BA">
        <w:rPr>
          <w:szCs w:val="24"/>
          <w:lang w:val="fr-CH"/>
        </w:rPr>
        <w:tab/>
      </w:r>
      <w:r w:rsidRPr="00B3079F">
        <w:rPr>
          <w:i/>
          <w:iCs/>
          <w:lang w:val="fr-CH"/>
        </w:rPr>
        <w:t xml:space="preserve">Une telle législation est par exemple la décision 2000/532/CE de la Commission du 3 mai 2000 remplaçant la décision 94/3/CE, établissant une liste de déchets en application de l’article premier point a) de la Directive 75/442/CEE du Conseil relative aux déchets et la Décision 94/904/CE du Conseil, établissant une liste de déchets dangereux en application de l’article premier paragraphe 4 de la Directive 91/689/CEE relative aux déchets dangereux (Journal officiel des Communautés européennes </w:t>
      </w:r>
      <w:r w:rsidRPr="00B3079F">
        <w:rPr>
          <w:rFonts w:eastAsia="MS Mincho"/>
          <w:i/>
          <w:iCs/>
          <w:lang w:val="fr-CH"/>
        </w:rPr>
        <w:t>No</w:t>
      </w:r>
      <w:r w:rsidRPr="00B3079F">
        <w:rPr>
          <w:i/>
          <w:iCs/>
          <w:lang w:val="fr-CH"/>
        </w:rPr>
        <w:t xml:space="preserve"> L 226 du 6 septembre 2000, p. 3)</w:t>
      </w:r>
      <w:r w:rsidRPr="00B3079F">
        <w:rPr>
          <w:i/>
          <w:lang w:val="fr-CH"/>
        </w:rPr>
        <w:t>, telle que modifiée</w:t>
      </w:r>
      <w:r w:rsidRPr="00B3079F">
        <w:rPr>
          <w:i/>
          <w:iCs/>
          <w:lang w:val="fr-CH"/>
        </w:rPr>
        <w:t>; et la Directive 2008/98/CE du Parlement européen et du Conseil du 19 novembre 2008 relative aux déchets et abrogeant certaines directives (Journal officiel de l'Union européenne No L 312 du 22 novembre 2008, p. 3 à 30)</w:t>
      </w:r>
      <w:r w:rsidRPr="00B3079F">
        <w:rPr>
          <w:i/>
          <w:lang w:val="fr-CH"/>
        </w:rPr>
        <w:t>, telle que modifiée</w:t>
      </w:r>
      <w:r w:rsidRPr="00B3079F">
        <w:rPr>
          <w:i/>
          <w:iCs/>
          <w:lang w:val="fr-CH"/>
        </w:rPr>
        <w:t>.</w:t>
      </w:r>
      <w:r>
        <w:rPr>
          <w:i/>
          <w:iCs/>
          <w:lang w:val="fr-CH"/>
        </w:rPr>
        <w:t>».</w:t>
      </w:r>
    </w:p>
    <w:p w:rsidR="00E073BA" w:rsidRPr="00D67FEA" w:rsidRDefault="00E073BA" w:rsidP="00E073BA">
      <w:pPr>
        <w:pStyle w:val="H23G"/>
      </w:pPr>
      <w:r w:rsidRPr="00D773F9">
        <w:rPr>
          <w:lang w:val="fr-CH"/>
        </w:rPr>
        <w:lastRenderedPageBreak/>
        <w:tab/>
      </w:r>
      <w:r w:rsidRPr="00D67FEA">
        <w:t>2.</w:t>
      </w:r>
      <w:r w:rsidRPr="00D67FEA">
        <w:tab/>
        <w:t>Chapter 3.2, 3.2.3</w:t>
      </w:r>
      <w:r w:rsidR="00D26DAB" w:rsidRPr="00D67FEA">
        <w:t>.</w:t>
      </w:r>
      <w:r w:rsidRPr="00D67FEA">
        <w:t xml:space="preserve">1, </w:t>
      </w:r>
      <w:r w:rsidR="00D57F1B" w:rsidRPr="00D67FEA">
        <w:t>remark</w:t>
      </w:r>
      <w:r w:rsidR="00D26DAB" w:rsidRPr="00D67FEA">
        <w:t xml:space="preserve"> 44</w:t>
      </w:r>
    </w:p>
    <w:p w:rsidR="000E0CAD" w:rsidRDefault="00AD0200" w:rsidP="000E0CAD">
      <w:pPr>
        <w:pStyle w:val="SingleTxtG"/>
      </w:pPr>
      <w:r>
        <w:t>N</w:t>
      </w:r>
      <w:r w:rsidR="005855E1">
        <w:t>ot applicable to English.</w:t>
      </w:r>
    </w:p>
    <w:p w:rsidR="00686978" w:rsidRPr="000E0CAD" w:rsidRDefault="00686978" w:rsidP="00686978">
      <w:pPr>
        <w:pStyle w:val="H23G"/>
        <w:rPr>
          <w:lang w:val="fr-CH"/>
        </w:rPr>
      </w:pPr>
      <w:r w:rsidRPr="00D67FEA">
        <w:tab/>
      </w:r>
      <w:r w:rsidRPr="000E0CAD">
        <w:rPr>
          <w:lang w:val="fr-CH"/>
        </w:rPr>
        <w:t>2.</w:t>
      </w:r>
      <w:r w:rsidRPr="000E0CAD">
        <w:rPr>
          <w:lang w:val="fr-CH"/>
        </w:rPr>
        <w:tab/>
        <w:t>Chap</w:t>
      </w:r>
      <w:r>
        <w:rPr>
          <w:lang w:val="fr-CH"/>
        </w:rPr>
        <w:t>itre</w:t>
      </w:r>
      <w:r w:rsidRPr="000E0CAD">
        <w:rPr>
          <w:lang w:val="fr-CH"/>
        </w:rPr>
        <w:t xml:space="preserve"> 3.2, 3.2.3</w:t>
      </w:r>
      <w:r>
        <w:rPr>
          <w:lang w:val="fr-CH"/>
        </w:rPr>
        <w:t>.</w:t>
      </w:r>
      <w:r w:rsidRPr="000E0CAD">
        <w:rPr>
          <w:lang w:val="fr-CH"/>
        </w:rPr>
        <w:t xml:space="preserve">1, </w:t>
      </w:r>
      <w:r>
        <w:rPr>
          <w:lang w:val="fr-CH"/>
        </w:rPr>
        <w:t>observation 44</w:t>
      </w:r>
    </w:p>
    <w:p w:rsidR="00E073BA" w:rsidRDefault="000E0CAD" w:rsidP="000E0CAD">
      <w:pPr>
        <w:pStyle w:val="SingleTxtG"/>
        <w:rPr>
          <w:lang w:val="fr-CH"/>
        </w:rPr>
      </w:pPr>
      <w:r w:rsidRPr="000E0CAD">
        <w:rPr>
          <w:i/>
          <w:iCs/>
          <w:lang w:val="fr-CH"/>
        </w:rPr>
        <w:t xml:space="preserve">A la place </w:t>
      </w:r>
      <w:proofErr w:type="gramStart"/>
      <w:r w:rsidRPr="000E0CAD">
        <w:rPr>
          <w:i/>
          <w:iCs/>
          <w:lang w:val="fr-CH"/>
        </w:rPr>
        <w:t>de</w:t>
      </w:r>
      <w:r w:rsidRPr="000E0CAD">
        <w:rPr>
          <w:lang w:val="fr-CH"/>
        </w:rPr>
        <w:t xml:space="preserve"> Une</w:t>
      </w:r>
      <w:proofErr w:type="gramEnd"/>
      <w:r w:rsidRPr="000E0CAD">
        <w:rPr>
          <w:lang w:val="fr-CH"/>
        </w:rPr>
        <w:t xml:space="preserve"> matière ne pourra être rangée dans cette rubrique que </w:t>
      </w:r>
      <w:r w:rsidRPr="000E0CAD">
        <w:rPr>
          <w:i/>
          <w:iCs/>
          <w:lang w:val="fr-CH"/>
        </w:rPr>
        <w:t>lire</w:t>
      </w:r>
      <w:r w:rsidRPr="000E0CAD">
        <w:rPr>
          <w:lang w:val="fr-CH"/>
        </w:rPr>
        <w:t xml:space="preserve"> Une matière ne pourra être affectée à cette rubrique que</w:t>
      </w:r>
    </w:p>
    <w:p w:rsidR="003C7C28" w:rsidRDefault="00EB347A" w:rsidP="00EB347A">
      <w:pPr>
        <w:pStyle w:val="H23G"/>
        <w:rPr>
          <w:lang w:val="fr-CH"/>
        </w:rPr>
      </w:pPr>
      <w:r>
        <w:rPr>
          <w:lang w:val="fr-CH"/>
        </w:rPr>
        <w:tab/>
      </w:r>
      <w:r w:rsidR="003C7C28">
        <w:rPr>
          <w:lang w:val="fr-CH"/>
        </w:rPr>
        <w:t>3</w:t>
      </w:r>
      <w:r w:rsidR="003C7C28" w:rsidRPr="000E0CAD">
        <w:rPr>
          <w:lang w:val="fr-CH"/>
        </w:rPr>
        <w:t>.</w:t>
      </w:r>
      <w:r w:rsidR="003C7C28" w:rsidRPr="000E0CAD">
        <w:rPr>
          <w:lang w:val="fr-CH"/>
        </w:rPr>
        <w:tab/>
      </w:r>
      <w:proofErr w:type="spellStart"/>
      <w:r w:rsidR="003C7C28" w:rsidRPr="000E0CAD">
        <w:rPr>
          <w:lang w:val="fr-CH"/>
        </w:rPr>
        <w:t>Chapter</w:t>
      </w:r>
      <w:proofErr w:type="spellEnd"/>
      <w:r w:rsidR="003C7C28" w:rsidRPr="000E0CAD">
        <w:rPr>
          <w:lang w:val="fr-CH"/>
        </w:rPr>
        <w:t xml:space="preserve"> 3.2, </w:t>
      </w:r>
      <w:r w:rsidR="003C7C28">
        <w:rPr>
          <w:lang w:val="fr-CH"/>
        </w:rPr>
        <w:t>Table C, amendement to UN Nos. 1578, 1663, 2078, 2205, 2259, 2280, 3446</w:t>
      </w:r>
    </w:p>
    <w:p w:rsidR="00F902C9" w:rsidRDefault="00F902C9" w:rsidP="00F902C9">
      <w:pPr>
        <w:pStyle w:val="SingleTxtG"/>
        <w:tabs>
          <w:tab w:val="left" w:pos="1985"/>
          <w:tab w:val="left" w:pos="2268"/>
        </w:tabs>
        <w:spacing w:before="120"/>
      </w:pPr>
      <w:r>
        <w:t>3.2.3.2</w:t>
      </w:r>
      <w:r>
        <w:tab/>
        <w:t>In the following entries, a</w:t>
      </w:r>
      <w:r w:rsidRPr="009830AB">
        <w:t xml:space="preserve">mend column (16) </w:t>
      </w:r>
      <w:r>
        <w:t xml:space="preserve">to read </w:t>
      </w:r>
      <w:r w:rsidRPr="000A3188">
        <w:t>“II B (II B3</w:t>
      </w:r>
      <w:r w:rsidRPr="000A3188">
        <w:rPr>
          <w:vertAlign w:val="superscript"/>
        </w:rPr>
        <w:t>14)</w:t>
      </w:r>
      <w:r w:rsidRPr="000A3188">
        <w:t>)”:</w:t>
      </w:r>
    </w:p>
    <w:tbl>
      <w:tblPr>
        <w:tblStyle w:val="TableGrid"/>
        <w:tblW w:w="7371" w:type="dxa"/>
        <w:tblInd w:w="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</w:tblGrid>
      <w:tr w:rsidR="003F1AF8" w:rsidRPr="003C7C28" w:rsidTr="00F45647">
        <w:tc>
          <w:tcPr>
            <w:tcW w:w="2835" w:type="dxa"/>
            <w:vAlign w:val="center"/>
          </w:tcPr>
          <w:p w:rsidR="003F1AF8" w:rsidRPr="003C7C28" w:rsidRDefault="003F1AF8" w:rsidP="00F45647">
            <w:pPr>
              <w:pStyle w:val="SingleTxtG"/>
              <w:spacing w:before="80" w:after="80"/>
              <w:ind w:left="0"/>
              <w:jc w:val="left"/>
            </w:pPr>
            <w:r w:rsidRPr="003C7C28">
              <w:t>1578 (first entry)</w:t>
            </w:r>
          </w:p>
        </w:tc>
        <w:tc>
          <w:tcPr>
            <w:tcW w:w="4536" w:type="dxa"/>
          </w:tcPr>
          <w:p w:rsidR="003F1AF8" w:rsidRPr="003C7C28" w:rsidRDefault="003F1AF8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3C7C28">
              <w:t>CHLORONITROBENZENES, SOLID, MOLTEN</w:t>
            </w:r>
          </w:p>
        </w:tc>
      </w:tr>
      <w:tr w:rsidR="003F1AF8" w:rsidRPr="003C7C28" w:rsidTr="00F45647">
        <w:tc>
          <w:tcPr>
            <w:tcW w:w="2835" w:type="dxa"/>
            <w:vAlign w:val="center"/>
          </w:tcPr>
          <w:p w:rsidR="003F1AF8" w:rsidRPr="003C7C28" w:rsidRDefault="003F1AF8" w:rsidP="00F45647">
            <w:pPr>
              <w:pStyle w:val="SingleTxtG"/>
              <w:spacing w:before="80" w:after="80"/>
              <w:ind w:left="0"/>
              <w:jc w:val="left"/>
            </w:pPr>
            <w:r w:rsidRPr="003C7C28">
              <w:t>1663</w:t>
            </w:r>
            <w:r>
              <w:t xml:space="preserve"> </w:t>
            </w:r>
            <w:r w:rsidRPr="003C7C28">
              <w:t>(first entry)</w:t>
            </w:r>
          </w:p>
        </w:tc>
        <w:tc>
          <w:tcPr>
            <w:tcW w:w="4536" w:type="dxa"/>
          </w:tcPr>
          <w:p w:rsidR="003F1AF8" w:rsidRPr="003C7C28" w:rsidRDefault="003F1AF8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3C7C28">
              <w:t>NITROPHENOLS</w:t>
            </w:r>
          </w:p>
        </w:tc>
      </w:tr>
      <w:tr w:rsidR="003F1AF8" w:rsidRPr="003C7C28" w:rsidTr="00F45647">
        <w:tc>
          <w:tcPr>
            <w:tcW w:w="2835" w:type="dxa"/>
            <w:vAlign w:val="center"/>
          </w:tcPr>
          <w:p w:rsidR="003F1AF8" w:rsidRPr="003C7C28" w:rsidRDefault="003F1AF8" w:rsidP="00F45647">
            <w:pPr>
              <w:pStyle w:val="SingleTxtG"/>
              <w:spacing w:before="80" w:after="80"/>
              <w:ind w:left="0"/>
              <w:jc w:val="left"/>
            </w:pPr>
            <w:r w:rsidRPr="003C7C28">
              <w:t>2078</w:t>
            </w:r>
            <w:r>
              <w:t xml:space="preserve"> </w:t>
            </w:r>
            <w:r w:rsidRPr="003C7C28">
              <w:t>(first entry)</w:t>
            </w:r>
          </w:p>
        </w:tc>
        <w:tc>
          <w:tcPr>
            <w:tcW w:w="4536" w:type="dxa"/>
          </w:tcPr>
          <w:p w:rsidR="003F1AF8" w:rsidRPr="003C7C28" w:rsidRDefault="003F1AF8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3C7C28">
              <w:rPr>
                <w:lang w:val="en-US"/>
              </w:rPr>
              <w:t>TOLUENE DIISOCYANATE (and isomeric mixtures) (2,4-TOLUENE DIISOCYANATE)</w:t>
            </w:r>
          </w:p>
        </w:tc>
      </w:tr>
      <w:tr w:rsidR="003F1AF8" w:rsidRPr="003C7C28" w:rsidTr="00F45647">
        <w:tc>
          <w:tcPr>
            <w:tcW w:w="2835" w:type="dxa"/>
            <w:vAlign w:val="center"/>
          </w:tcPr>
          <w:p w:rsidR="003F1AF8" w:rsidRPr="003C7C28" w:rsidRDefault="003F1AF8" w:rsidP="00F45647">
            <w:pPr>
              <w:pStyle w:val="SingleTxtG"/>
              <w:spacing w:before="80" w:after="80"/>
              <w:ind w:left="0"/>
              <w:jc w:val="left"/>
            </w:pPr>
            <w:r w:rsidRPr="003C7C28">
              <w:t>2205</w:t>
            </w:r>
          </w:p>
        </w:tc>
        <w:tc>
          <w:tcPr>
            <w:tcW w:w="4536" w:type="dxa"/>
          </w:tcPr>
          <w:p w:rsidR="003F1AF8" w:rsidRPr="003C7C28" w:rsidRDefault="003F1AF8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 w:rsidRPr="003C7C28">
              <w:rPr>
                <w:lang w:val="fr-FR"/>
              </w:rPr>
              <w:t>ADIPONITRILE</w:t>
            </w:r>
          </w:p>
        </w:tc>
      </w:tr>
      <w:tr w:rsidR="003F1AF8" w:rsidRPr="003C7C28" w:rsidTr="00F45647">
        <w:tc>
          <w:tcPr>
            <w:tcW w:w="2835" w:type="dxa"/>
            <w:vAlign w:val="center"/>
          </w:tcPr>
          <w:p w:rsidR="003F1AF8" w:rsidRPr="003C7C28" w:rsidRDefault="003F1AF8" w:rsidP="00F45647">
            <w:pPr>
              <w:pStyle w:val="SingleTxtG"/>
              <w:spacing w:before="80" w:after="80"/>
              <w:ind w:left="0"/>
              <w:jc w:val="left"/>
            </w:pPr>
            <w:r w:rsidRPr="003C7C28">
              <w:t>2259</w:t>
            </w:r>
          </w:p>
        </w:tc>
        <w:tc>
          <w:tcPr>
            <w:tcW w:w="4536" w:type="dxa"/>
          </w:tcPr>
          <w:p w:rsidR="003F1AF8" w:rsidRPr="003C7C28" w:rsidRDefault="003F1AF8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 w:rsidRPr="003C7C28">
              <w:rPr>
                <w:lang w:val="fr-FR"/>
              </w:rPr>
              <w:t>TRIETHYLENETETRAMINE</w:t>
            </w:r>
          </w:p>
        </w:tc>
      </w:tr>
      <w:tr w:rsidR="003F1AF8" w:rsidRPr="003C7C28" w:rsidTr="00F45647">
        <w:tc>
          <w:tcPr>
            <w:tcW w:w="2835" w:type="dxa"/>
            <w:vAlign w:val="center"/>
          </w:tcPr>
          <w:p w:rsidR="003F1AF8" w:rsidRPr="003C7C28" w:rsidRDefault="003F1AF8" w:rsidP="00F45647">
            <w:pPr>
              <w:pStyle w:val="SingleTxtG"/>
              <w:spacing w:before="80" w:after="80"/>
              <w:ind w:left="0"/>
              <w:jc w:val="left"/>
            </w:pPr>
            <w:r w:rsidRPr="003C7C28">
              <w:t>2280 (first entry)</w:t>
            </w:r>
          </w:p>
        </w:tc>
        <w:tc>
          <w:tcPr>
            <w:tcW w:w="4536" w:type="dxa"/>
          </w:tcPr>
          <w:p w:rsidR="003F1AF8" w:rsidRPr="003C7C28" w:rsidRDefault="003F1AF8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3C7C28">
              <w:rPr>
                <w:lang w:val="fr-FR"/>
              </w:rPr>
              <w:t>HEXAMETHYLENEDIAMINE, SOLID, MOLTEN</w:t>
            </w:r>
          </w:p>
        </w:tc>
      </w:tr>
      <w:tr w:rsidR="003F1AF8" w:rsidRPr="003C7C28" w:rsidTr="00F45647">
        <w:tc>
          <w:tcPr>
            <w:tcW w:w="2835" w:type="dxa"/>
            <w:vAlign w:val="center"/>
          </w:tcPr>
          <w:p w:rsidR="003F1AF8" w:rsidRPr="003C7C28" w:rsidRDefault="003F1AF8" w:rsidP="00F45647">
            <w:pPr>
              <w:pStyle w:val="SingleTxtG"/>
              <w:spacing w:before="80" w:after="80"/>
              <w:ind w:left="0"/>
              <w:jc w:val="left"/>
            </w:pPr>
            <w:r w:rsidRPr="003C7C28">
              <w:t>3446</w:t>
            </w:r>
            <w:r>
              <w:t xml:space="preserve"> </w:t>
            </w:r>
            <w:r w:rsidRPr="003C7C28">
              <w:t>(first entry)</w:t>
            </w:r>
          </w:p>
        </w:tc>
        <w:tc>
          <w:tcPr>
            <w:tcW w:w="4536" w:type="dxa"/>
          </w:tcPr>
          <w:p w:rsidR="003F1AF8" w:rsidRPr="003C7C28" w:rsidRDefault="003F1AF8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rPr>
                <w:bCs/>
              </w:rPr>
            </w:pPr>
            <w:r w:rsidRPr="003C7C28">
              <w:rPr>
                <w:lang w:val="fr-FR"/>
              </w:rPr>
              <w:t>NITROTOLUENES, SOLID, MOLTEN (p-NITROTOLUENE)</w:t>
            </w:r>
          </w:p>
        </w:tc>
      </w:tr>
    </w:tbl>
    <w:p w:rsidR="00F902C9" w:rsidRDefault="00F902C9" w:rsidP="00F902C9">
      <w:pPr>
        <w:pStyle w:val="H23G"/>
        <w:rPr>
          <w:lang w:val="fr-CH"/>
        </w:rPr>
      </w:pPr>
      <w:r>
        <w:rPr>
          <w:lang w:val="fr-CH"/>
        </w:rPr>
        <w:tab/>
        <w:t>3</w:t>
      </w:r>
      <w:r w:rsidRPr="000E0CAD">
        <w:rPr>
          <w:lang w:val="fr-CH"/>
        </w:rPr>
        <w:t>.</w:t>
      </w:r>
      <w:r w:rsidRPr="000E0CAD">
        <w:rPr>
          <w:lang w:val="fr-CH"/>
        </w:rPr>
        <w:tab/>
        <w:t>Chap</w:t>
      </w:r>
      <w:r>
        <w:rPr>
          <w:lang w:val="fr-CH"/>
        </w:rPr>
        <w:t>itre</w:t>
      </w:r>
      <w:r w:rsidRPr="000E0CAD">
        <w:rPr>
          <w:lang w:val="fr-CH"/>
        </w:rPr>
        <w:t xml:space="preserve"> 3.2, </w:t>
      </w:r>
      <w:r>
        <w:rPr>
          <w:lang w:val="fr-CH"/>
        </w:rPr>
        <w:t>Tableau C, amendement aux Nos ONU 1578, 1663, 2078, 2205, 2259, 2280, 3446</w:t>
      </w:r>
    </w:p>
    <w:p w:rsidR="003C7C28" w:rsidRPr="00F902C9" w:rsidRDefault="00AD0200" w:rsidP="003C7C28">
      <w:pPr>
        <w:pStyle w:val="SingleTxtG"/>
        <w:rPr>
          <w:i/>
          <w:iCs/>
          <w:lang w:val="fr-CH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:rsidR="003C7C28" w:rsidRDefault="003C7C28" w:rsidP="003C7C28">
      <w:pPr>
        <w:pStyle w:val="SingleTxtG"/>
        <w:tabs>
          <w:tab w:val="left" w:pos="2268"/>
        </w:tabs>
        <w:spacing w:before="120"/>
        <w:rPr>
          <w:bCs/>
          <w:lang w:val="fr-CH"/>
        </w:rPr>
      </w:pPr>
      <w:r w:rsidRPr="003C7C28">
        <w:rPr>
          <w:lang w:val="fr-CH"/>
        </w:rPr>
        <w:t>3.2.3.2</w:t>
      </w:r>
      <w:r w:rsidRPr="003C7C28">
        <w:rPr>
          <w:lang w:val="fr-CH"/>
        </w:rPr>
        <w:tab/>
      </w:r>
      <w:r w:rsidRPr="003C7C28">
        <w:rPr>
          <w:bCs/>
          <w:lang w:val="fr-CH"/>
        </w:rPr>
        <w:t>Dans les rubriques suivantes, modifier la colonne (16) pour lire</w:t>
      </w:r>
      <w:proofErr w:type="gramStart"/>
      <w:r w:rsidRPr="003C7C28">
        <w:rPr>
          <w:bCs/>
          <w:lang w:val="fr-CH"/>
        </w:rPr>
        <w:t xml:space="preserve"> </w:t>
      </w:r>
      <w:r w:rsidRPr="003C7C28">
        <w:rPr>
          <w:i/>
          <w:lang w:val="fr-CH"/>
        </w:rPr>
        <w:t>«</w:t>
      </w:r>
      <w:r w:rsidRPr="003C7C28">
        <w:rPr>
          <w:lang w:val="fr-CH"/>
        </w:rPr>
        <w:t>II</w:t>
      </w:r>
      <w:proofErr w:type="gramEnd"/>
      <w:r w:rsidRPr="003C7C28">
        <w:rPr>
          <w:bCs/>
          <w:lang w:val="fr-CH"/>
        </w:rPr>
        <w:t> </w:t>
      </w:r>
      <w:r w:rsidRPr="003C7C28">
        <w:rPr>
          <w:lang w:val="fr-CH"/>
        </w:rPr>
        <w:t>B</w:t>
      </w:r>
      <w:r w:rsidRPr="003C7C28">
        <w:rPr>
          <w:bCs/>
          <w:lang w:val="fr-CH"/>
        </w:rPr>
        <w:t> </w:t>
      </w:r>
      <w:r w:rsidRPr="003C7C28">
        <w:rPr>
          <w:lang w:val="fr-CH"/>
        </w:rPr>
        <w:t>(II</w:t>
      </w:r>
      <w:r w:rsidRPr="003C7C28">
        <w:rPr>
          <w:bCs/>
          <w:lang w:val="fr-CH"/>
        </w:rPr>
        <w:t> </w:t>
      </w:r>
      <w:r w:rsidRPr="003C7C28">
        <w:rPr>
          <w:lang w:val="fr-CH"/>
        </w:rPr>
        <w:t>B3</w:t>
      </w:r>
      <w:r w:rsidRPr="003C7C28">
        <w:rPr>
          <w:vertAlign w:val="superscript"/>
          <w:lang w:val="fr-CH"/>
        </w:rPr>
        <w:t>14)</w:t>
      </w:r>
      <w:r w:rsidRPr="003C7C28">
        <w:rPr>
          <w:lang w:val="fr-CH"/>
        </w:rPr>
        <w:t>)»</w:t>
      </w:r>
      <w:r w:rsidRPr="003C7C28">
        <w:rPr>
          <w:bCs/>
          <w:lang w:val="fr-CH"/>
        </w:rPr>
        <w:t>:</w:t>
      </w:r>
    </w:p>
    <w:tbl>
      <w:tblPr>
        <w:tblStyle w:val="TableGrid"/>
        <w:tblW w:w="7371" w:type="dxa"/>
        <w:tblInd w:w="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677"/>
      </w:tblGrid>
      <w:tr w:rsidR="00A1320A" w:rsidRPr="00BF3BEC" w:rsidTr="00F902C9">
        <w:tc>
          <w:tcPr>
            <w:tcW w:w="2694" w:type="dxa"/>
          </w:tcPr>
          <w:p w:rsidR="00A1320A" w:rsidRPr="00BF3BEC" w:rsidRDefault="00A1320A" w:rsidP="00F902C9">
            <w:pPr>
              <w:pStyle w:val="SingleTxtG"/>
              <w:spacing w:before="80" w:after="80"/>
              <w:ind w:left="0" w:right="177"/>
              <w:jc w:val="left"/>
            </w:pPr>
            <w:r w:rsidRPr="00BF3BEC">
              <w:t>1578</w:t>
            </w:r>
            <w:r w:rsidR="00F902C9">
              <w:t xml:space="preserve"> (</w:t>
            </w:r>
            <w:r w:rsidR="00F902C9">
              <w:rPr>
                <w:lang w:val="fr-FR"/>
              </w:rPr>
              <w:t>première</w:t>
            </w:r>
            <w:r w:rsidR="00F902C9" w:rsidRPr="00BF3BEC">
              <w:rPr>
                <w:lang w:val="fr-FR"/>
              </w:rPr>
              <w:t xml:space="preserve"> rubrique</w:t>
            </w:r>
            <w:r w:rsidR="00F902C9"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:rsidR="00A1320A" w:rsidRPr="00BF3BEC" w:rsidRDefault="00A1320A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BF3BEC">
              <w:t>CHLORONITROBENZÈNES, SOLIDES, FONDUS</w:t>
            </w:r>
          </w:p>
        </w:tc>
      </w:tr>
      <w:tr w:rsidR="00A1320A" w:rsidRPr="00BF3BEC" w:rsidTr="00F902C9">
        <w:tc>
          <w:tcPr>
            <w:tcW w:w="2694" w:type="dxa"/>
          </w:tcPr>
          <w:p w:rsidR="00A1320A" w:rsidRPr="00BF3BEC" w:rsidRDefault="00A1320A" w:rsidP="00F902C9">
            <w:pPr>
              <w:pStyle w:val="SingleTxtG"/>
              <w:spacing w:before="80" w:after="80"/>
              <w:ind w:left="0" w:right="177"/>
              <w:jc w:val="left"/>
            </w:pPr>
            <w:r w:rsidRPr="00BF3BEC">
              <w:t>1663</w:t>
            </w:r>
            <w:r w:rsidR="00F902C9">
              <w:t xml:space="preserve"> (</w:t>
            </w:r>
            <w:r w:rsidR="00F902C9">
              <w:rPr>
                <w:lang w:val="fr-FR"/>
              </w:rPr>
              <w:t>première</w:t>
            </w:r>
            <w:r w:rsidR="00F902C9" w:rsidRPr="00BF3BEC">
              <w:rPr>
                <w:lang w:val="fr-FR"/>
              </w:rPr>
              <w:t xml:space="preserve"> rubrique</w:t>
            </w:r>
            <w:r w:rsidR="00F902C9"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:rsidR="00A1320A" w:rsidRPr="00BF3BEC" w:rsidRDefault="00A1320A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BF3BEC">
              <w:t>NITROPHÉNOLS</w:t>
            </w:r>
          </w:p>
        </w:tc>
      </w:tr>
      <w:tr w:rsidR="00A1320A" w:rsidRPr="00D67FEA" w:rsidTr="00F902C9">
        <w:tc>
          <w:tcPr>
            <w:tcW w:w="2694" w:type="dxa"/>
          </w:tcPr>
          <w:p w:rsidR="00A1320A" w:rsidRPr="00BF3BEC" w:rsidRDefault="00A1320A" w:rsidP="00F902C9">
            <w:pPr>
              <w:pStyle w:val="SingleTxtG"/>
              <w:spacing w:before="80" w:after="80"/>
              <w:ind w:left="0" w:right="177"/>
              <w:jc w:val="left"/>
            </w:pPr>
            <w:r w:rsidRPr="00BF3BEC">
              <w:t>2078</w:t>
            </w:r>
            <w:r w:rsidR="00F902C9">
              <w:t xml:space="preserve"> (</w:t>
            </w:r>
            <w:r w:rsidR="00F902C9">
              <w:rPr>
                <w:lang w:val="fr-FR"/>
              </w:rPr>
              <w:t>première</w:t>
            </w:r>
            <w:r w:rsidR="00F902C9" w:rsidRPr="00BF3BEC">
              <w:rPr>
                <w:lang w:val="fr-FR"/>
              </w:rPr>
              <w:t xml:space="preserve"> rubrique</w:t>
            </w:r>
            <w:r w:rsidR="00F902C9"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:rsidR="00A1320A" w:rsidRPr="00A1320A" w:rsidRDefault="00A1320A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  <w:rPr>
                <w:lang w:val="fr-CH"/>
              </w:rPr>
            </w:pPr>
            <w:r w:rsidRPr="00A1320A">
              <w:rPr>
                <w:lang w:val="fr-CH"/>
              </w:rPr>
              <w:t>DIISOCYANATE DE TOLUÈNE (et mélanges isomères) (DIISOCYANATE DE TOLUÈNE-2,4)</w:t>
            </w:r>
          </w:p>
        </w:tc>
      </w:tr>
      <w:tr w:rsidR="00A1320A" w:rsidRPr="00BF3BEC" w:rsidTr="00F902C9">
        <w:tc>
          <w:tcPr>
            <w:tcW w:w="2694" w:type="dxa"/>
          </w:tcPr>
          <w:p w:rsidR="00A1320A" w:rsidRPr="00BF3BEC" w:rsidRDefault="00A1320A" w:rsidP="00F902C9">
            <w:pPr>
              <w:pStyle w:val="SingleTxtG"/>
              <w:spacing w:before="80" w:after="80"/>
              <w:ind w:left="0" w:right="177"/>
            </w:pPr>
            <w:r w:rsidRPr="00BF3BEC">
              <w:t>2205</w:t>
            </w:r>
          </w:p>
        </w:tc>
        <w:tc>
          <w:tcPr>
            <w:tcW w:w="4677" w:type="dxa"/>
          </w:tcPr>
          <w:p w:rsidR="00A1320A" w:rsidRPr="00BF3BEC" w:rsidRDefault="00A1320A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 w:rsidRPr="00BF3BEC">
              <w:t>ADIPONITRILE</w:t>
            </w:r>
          </w:p>
        </w:tc>
      </w:tr>
      <w:tr w:rsidR="00A1320A" w:rsidRPr="00BF3BEC" w:rsidTr="00F902C9">
        <w:tc>
          <w:tcPr>
            <w:tcW w:w="2694" w:type="dxa"/>
          </w:tcPr>
          <w:p w:rsidR="00A1320A" w:rsidRPr="00BF3BEC" w:rsidRDefault="00A1320A" w:rsidP="00F902C9">
            <w:pPr>
              <w:pStyle w:val="SingleTxtG"/>
              <w:spacing w:before="80" w:after="80"/>
              <w:ind w:left="0" w:right="177"/>
            </w:pPr>
            <w:r w:rsidRPr="00BF3BEC">
              <w:t>2259</w:t>
            </w:r>
          </w:p>
        </w:tc>
        <w:tc>
          <w:tcPr>
            <w:tcW w:w="4677" w:type="dxa"/>
          </w:tcPr>
          <w:p w:rsidR="00A1320A" w:rsidRPr="00BF3BEC" w:rsidRDefault="00A1320A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 w:rsidRPr="00BF3BEC">
              <w:t>TRIÉTHYLÈNETÉTRAMINE</w:t>
            </w:r>
          </w:p>
        </w:tc>
      </w:tr>
      <w:tr w:rsidR="00A1320A" w:rsidRPr="00BF3BEC" w:rsidTr="00F902C9">
        <w:tc>
          <w:tcPr>
            <w:tcW w:w="2694" w:type="dxa"/>
          </w:tcPr>
          <w:p w:rsidR="00A1320A" w:rsidRPr="00BF3BEC" w:rsidRDefault="00A1320A" w:rsidP="00F902C9">
            <w:pPr>
              <w:pStyle w:val="SingleTxtG"/>
              <w:spacing w:before="80" w:after="80"/>
              <w:ind w:left="0" w:right="177"/>
              <w:jc w:val="left"/>
            </w:pPr>
            <w:r w:rsidRPr="00BF3BEC">
              <w:t>2280</w:t>
            </w:r>
            <w:r w:rsidR="00F902C9">
              <w:t xml:space="preserve"> (</w:t>
            </w:r>
            <w:r w:rsidR="00F902C9">
              <w:rPr>
                <w:lang w:val="fr-FR"/>
              </w:rPr>
              <w:t>première</w:t>
            </w:r>
            <w:r w:rsidR="00F902C9" w:rsidRPr="00BF3BEC">
              <w:rPr>
                <w:lang w:val="fr-FR"/>
              </w:rPr>
              <w:t xml:space="preserve"> rubrique</w:t>
            </w:r>
            <w:r w:rsidR="00F902C9"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:rsidR="00A1320A" w:rsidRPr="00BF3BEC" w:rsidRDefault="00A1320A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BF3BEC">
              <w:t>HEXAMÉTHYLÈNEDIAMINE, SOLIDE, FONDUE</w:t>
            </w:r>
          </w:p>
        </w:tc>
      </w:tr>
      <w:tr w:rsidR="00A1320A" w:rsidRPr="00BF3BEC" w:rsidTr="00F902C9">
        <w:tc>
          <w:tcPr>
            <w:tcW w:w="2694" w:type="dxa"/>
          </w:tcPr>
          <w:p w:rsidR="00A1320A" w:rsidRPr="00BF3BEC" w:rsidRDefault="00A1320A" w:rsidP="00F902C9">
            <w:pPr>
              <w:pStyle w:val="SingleTxtG"/>
              <w:spacing w:before="80" w:after="80"/>
              <w:ind w:left="0" w:right="177"/>
            </w:pPr>
            <w:r w:rsidRPr="00BF3BEC">
              <w:t>3446</w:t>
            </w:r>
            <w:r w:rsidR="00F902C9">
              <w:t xml:space="preserve"> (</w:t>
            </w:r>
            <w:r w:rsidR="00F902C9">
              <w:rPr>
                <w:lang w:val="fr-FR"/>
              </w:rPr>
              <w:t>première</w:t>
            </w:r>
            <w:r w:rsidR="00F902C9" w:rsidRPr="00BF3BEC">
              <w:rPr>
                <w:lang w:val="fr-FR"/>
              </w:rPr>
              <w:t xml:space="preserve"> rubrique</w:t>
            </w:r>
            <w:r w:rsidR="00F902C9"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:rsidR="00A1320A" w:rsidRPr="00BF3BEC" w:rsidRDefault="00A1320A" w:rsidP="00F45647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rPr>
                <w:bCs/>
              </w:rPr>
            </w:pPr>
            <w:r w:rsidRPr="00BF3BEC">
              <w:t>NITROTOLUÈNES, SOLIDES, FONDUS</w:t>
            </w:r>
          </w:p>
        </w:tc>
      </w:tr>
    </w:tbl>
    <w:p w:rsidR="0032408A" w:rsidRPr="0032408A" w:rsidRDefault="003C7C28" w:rsidP="0032408A">
      <w:pPr>
        <w:pStyle w:val="H23G"/>
        <w:rPr>
          <w:lang w:val="fr-CH"/>
        </w:rPr>
      </w:pPr>
      <w:r>
        <w:rPr>
          <w:lang w:val="fr-CH"/>
        </w:rPr>
        <w:lastRenderedPageBreak/>
        <w:tab/>
      </w:r>
      <w:r w:rsidR="0032408A" w:rsidRPr="0032408A">
        <w:rPr>
          <w:lang w:val="fr-CH"/>
        </w:rPr>
        <w:t>4.</w:t>
      </w:r>
      <w:r w:rsidR="0032408A" w:rsidRPr="0032408A">
        <w:rPr>
          <w:lang w:val="fr-CH"/>
        </w:rPr>
        <w:tab/>
      </w:r>
      <w:proofErr w:type="spellStart"/>
      <w:r w:rsidR="0032408A" w:rsidRPr="0032408A">
        <w:rPr>
          <w:lang w:val="fr-CH"/>
        </w:rPr>
        <w:t>Chapter</w:t>
      </w:r>
      <w:proofErr w:type="spellEnd"/>
      <w:r w:rsidR="0032408A" w:rsidRPr="0032408A">
        <w:rPr>
          <w:lang w:val="fr-CH"/>
        </w:rPr>
        <w:t xml:space="preserve"> 3.2, Table C, new entries, UN No. 1</w:t>
      </w:r>
      <w:r w:rsidR="0032408A">
        <w:rPr>
          <w:lang w:val="fr-CH"/>
        </w:rPr>
        <w:t xml:space="preserve">148, </w:t>
      </w:r>
      <w:proofErr w:type="spellStart"/>
      <w:r w:rsidR="0032408A">
        <w:rPr>
          <w:lang w:val="fr-CH"/>
        </w:rPr>
        <w:t>column</w:t>
      </w:r>
      <w:proofErr w:type="spellEnd"/>
      <w:r w:rsidR="0032408A">
        <w:rPr>
          <w:lang w:val="fr-CH"/>
        </w:rPr>
        <w:t xml:space="preserve"> (15)</w:t>
      </w:r>
    </w:p>
    <w:p w:rsidR="0032408A" w:rsidRPr="00D67FEA" w:rsidRDefault="0032408A" w:rsidP="0032408A">
      <w:pPr>
        <w:pStyle w:val="SingleTxtG"/>
        <w:rPr>
          <w:vertAlign w:val="superscript"/>
          <w:lang w:val="fr-CH"/>
        </w:rPr>
      </w:pPr>
      <w:r w:rsidRPr="00D67FEA">
        <w:rPr>
          <w:i/>
          <w:iCs/>
          <w:lang w:val="fr-CH"/>
        </w:rPr>
        <w:t>For</w:t>
      </w:r>
      <w:r w:rsidRPr="00D67FEA">
        <w:rPr>
          <w:lang w:val="fr-CH"/>
        </w:rPr>
        <w:t xml:space="preserve"> T1 </w:t>
      </w:r>
      <w:proofErr w:type="spellStart"/>
      <w:r w:rsidRPr="00D67FEA">
        <w:rPr>
          <w:i/>
          <w:iCs/>
          <w:lang w:val="fr-CH"/>
        </w:rPr>
        <w:t>read</w:t>
      </w:r>
      <w:proofErr w:type="spellEnd"/>
      <w:r w:rsidRPr="00D67FEA">
        <w:rPr>
          <w:lang w:val="fr-CH"/>
        </w:rPr>
        <w:t xml:space="preserve"> T1 </w:t>
      </w:r>
      <w:r w:rsidRPr="00D67FEA">
        <w:rPr>
          <w:vertAlign w:val="superscript"/>
          <w:lang w:val="fr-CH"/>
        </w:rPr>
        <w:t>12)</w:t>
      </w:r>
    </w:p>
    <w:p w:rsidR="00D67FEA" w:rsidRPr="0032408A" w:rsidRDefault="00D67FEA" w:rsidP="00D67FEA">
      <w:pPr>
        <w:pStyle w:val="H23G"/>
        <w:rPr>
          <w:lang w:val="fr-CH"/>
        </w:rPr>
      </w:pPr>
      <w:r>
        <w:rPr>
          <w:lang w:val="fr-CH"/>
        </w:rPr>
        <w:tab/>
      </w:r>
      <w:r w:rsidRPr="0032408A">
        <w:rPr>
          <w:lang w:val="fr-CH"/>
        </w:rPr>
        <w:t>4.</w:t>
      </w:r>
      <w:r w:rsidRPr="0032408A">
        <w:rPr>
          <w:lang w:val="fr-CH"/>
        </w:rPr>
        <w:tab/>
        <w:t>Chap</w:t>
      </w:r>
      <w:r>
        <w:rPr>
          <w:lang w:val="fr-CH"/>
        </w:rPr>
        <w:t>itre</w:t>
      </w:r>
      <w:r w:rsidRPr="0032408A">
        <w:rPr>
          <w:lang w:val="fr-CH"/>
        </w:rPr>
        <w:t xml:space="preserve"> 3.2, Table</w:t>
      </w:r>
      <w:r>
        <w:rPr>
          <w:lang w:val="fr-CH"/>
        </w:rPr>
        <w:t>au</w:t>
      </w:r>
      <w:r w:rsidRPr="0032408A">
        <w:rPr>
          <w:lang w:val="fr-CH"/>
        </w:rPr>
        <w:t xml:space="preserve"> C, </w:t>
      </w:r>
      <w:r>
        <w:rPr>
          <w:lang w:val="fr-CH"/>
        </w:rPr>
        <w:t>nouvelles rubriques</w:t>
      </w:r>
      <w:r w:rsidRPr="0032408A">
        <w:rPr>
          <w:lang w:val="fr-CH"/>
        </w:rPr>
        <w:t>, No</w:t>
      </w:r>
      <w:r>
        <w:rPr>
          <w:lang w:val="fr-CH"/>
        </w:rPr>
        <w:t xml:space="preserve"> ONU</w:t>
      </w:r>
      <w:r w:rsidRPr="0032408A">
        <w:rPr>
          <w:lang w:val="fr-CH"/>
        </w:rPr>
        <w:t xml:space="preserve"> 1</w:t>
      </w:r>
      <w:r>
        <w:rPr>
          <w:lang w:val="fr-CH"/>
        </w:rPr>
        <w:t xml:space="preserve">148, </w:t>
      </w:r>
      <w:r w:rsidRPr="003C7C28">
        <w:rPr>
          <w:bCs/>
          <w:lang w:val="fr-CH"/>
        </w:rPr>
        <w:t>colonne</w:t>
      </w:r>
      <w:r>
        <w:rPr>
          <w:lang w:val="fr-CH"/>
        </w:rPr>
        <w:t xml:space="preserve"> (15)</w:t>
      </w:r>
    </w:p>
    <w:p w:rsidR="00D67FEA" w:rsidRPr="00D67FEA" w:rsidRDefault="00D67FEA" w:rsidP="00D67FEA">
      <w:pPr>
        <w:pStyle w:val="SingleTxtG"/>
        <w:rPr>
          <w:lang w:val="fr-CH"/>
        </w:rPr>
      </w:pPr>
      <w:r w:rsidRPr="00D67FEA">
        <w:rPr>
          <w:i/>
          <w:iCs/>
          <w:lang w:val="fr-CH"/>
        </w:rPr>
        <w:t>A la place de</w:t>
      </w:r>
      <w:r w:rsidRPr="00D67FEA">
        <w:rPr>
          <w:lang w:val="fr-CH"/>
        </w:rPr>
        <w:t xml:space="preserve"> T1 </w:t>
      </w:r>
      <w:r w:rsidRPr="00D67FEA">
        <w:rPr>
          <w:i/>
          <w:iCs/>
          <w:lang w:val="fr-CH"/>
        </w:rPr>
        <w:t>lire</w:t>
      </w:r>
      <w:r w:rsidRPr="00D67FEA">
        <w:rPr>
          <w:lang w:val="fr-CH"/>
        </w:rPr>
        <w:t xml:space="preserve"> </w:t>
      </w:r>
      <w:r w:rsidRPr="00D67FEA">
        <w:rPr>
          <w:lang w:val="fr-CH"/>
        </w:rPr>
        <w:t xml:space="preserve">T1 </w:t>
      </w:r>
      <w:r w:rsidRPr="00D67FEA">
        <w:rPr>
          <w:vertAlign w:val="superscript"/>
          <w:lang w:val="fr-CH"/>
        </w:rPr>
        <w:t>12)</w:t>
      </w:r>
    </w:p>
    <w:p w:rsidR="0032408A" w:rsidRDefault="0032408A" w:rsidP="0032408A">
      <w:pPr>
        <w:pStyle w:val="H23G"/>
        <w:rPr>
          <w:lang w:val="fr-CH"/>
        </w:rPr>
      </w:pPr>
      <w:r w:rsidRPr="00D67FEA">
        <w:rPr>
          <w:lang w:val="fr-CH"/>
        </w:rPr>
        <w:tab/>
      </w:r>
      <w:r w:rsidRPr="0032408A">
        <w:rPr>
          <w:lang w:val="fr-CH"/>
        </w:rPr>
        <w:t>5.</w:t>
      </w:r>
      <w:r w:rsidRPr="0032408A">
        <w:rPr>
          <w:lang w:val="fr-CH"/>
        </w:rPr>
        <w:tab/>
      </w:r>
      <w:r w:rsidRPr="0032408A">
        <w:rPr>
          <w:lang w:val="fr-CH"/>
        </w:rPr>
        <w:tab/>
      </w:r>
      <w:proofErr w:type="spellStart"/>
      <w:r w:rsidRPr="0032408A">
        <w:rPr>
          <w:lang w:val="fr-CH"/>
        </w:rPr>
        <w:t>Chapter</w:t>
      </w:r>
      <w:proofErr w:type="spellEnd"/>
      <w:r w:rsidRPr="0032408A">
        <w:rPr>
          <w:lang w:val="fr-CH"/>
        </w:rPr>
        <w:t xml:space="preserve"> 3.2, Table C, new entries, UN Nos. 2920, 3272</w:t>
      </w:r>
      <w:r>
        <w:rPr>
          <w:lang w:val="fr-CH"/>
        </w:rPr>
        <w:t xml:space="preserve"> (first entry), </w:t>
      </w:r>
      <w:proofErr w:type="spellStart"/>
      <w:r>
        <w:rPr>
          <w:lang w:val="fr-CH"/>
        </w:rPr>
        <w:t>column</w:t>
      </w:r>
      <w:proofErr w:type="spellEnd"/>
      <w:r>
        <w:rPr>
          <w:lang w:val="fr-CH"/>
        </w:rPr>
        <w:t xml:space="preserve"> (15)</w:t>
      </w:r>
    </w:p>
    <w:p w:rsidR="0032408A" w:rsidRDefault="0032408A" w:rsidP="0032408A">
      <w:pPr>
        <w:pStyle w:val="SingleTxtG"/>
        <w:rPr>
          <w:vertAlign w:val="superscript"/>
        </w:rPr>
      </w:pPr>
      <w:r w:rsidRPr="00D67FEA">
        <w:rPr>
          <w:i/>
          <w:iCs/>
        </w:rPr>
        <w:t>For</w:t>
      </w:r>
      <w:r w:rsidRPr="00D67FEA">
        <w:t xml:space="preserve"> T2 </w:t>
      </w:r>
      <w:r w:rsidRPr="00D67FEA">
        <w:rPr>
          <w:i/>
          <w:iCs/>
        </w:rPr>
        <w:t>read</w:t>
      </w:r>
      <w:r w:rsidRPr="00D67FEA">
        <w:t xml:space="preserve"> T2 </w:t>
      </w:r>
      <w:r w:rsidRPr="00D67FEA">
        <w:rPr>
          <w:vertAlign w:val="superscript"/>
        </w:rPr>
        <w:t>12)</w:t>
      </w:r>
    </w:p>
    <w:p w:rsidR="00D67FEA" w:rsidRPr="0032408A" w:rsidRDefault="00D67FEA" w:rsidP="00D67FEA">
      <w:pPr>
        <w:pStyle w:val="H23G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>5</w:t>
      </w:r>
      <w:r w:rsidRPr="0032408A">
        <w:rPr>
          <w:lang w:val="fr-CH"/>
        </w:rPr>
        <w:t>.</w:t>
      </w:r>
      <w:r w:rsidRPr="0032408A">
        <w:rPr>
          <w:lang w:val="fr-CH"/>
        </w:rPr>
        <w:tab/>
        <w:t>Chap</w:t>
      </w:r>
      <w:r>
        <w:rPr>
          <w:lang w:val="fr-CH"/>
        </w:rPr>
        <w:t>itre</w:t>
      </w:r>
      <w:r w:rsidRPr="0032408A">
        <w:rPr>
          <w:lang w:val="fr-CH"/>
        </w:rPr>
        <w:t xml:space="preserve"> 3.2, Table</w:t>
      </w:r>
      <w:r>
        <w:rPr>
          <w:lang w:val="fr-CH"/>
        </w:rPr>
        <w:t>au</w:t>
      </w:r>
      <w:r w:rsidRPr="0032408A">
        <w:rPr>
          <w:lang w:val="fr-CH"/>
        </w:rPr>
        <w:t xml:space="preserve"> C, </w:t>
      </w:r>
      <w:r>
        <w:rPr>
          <w:lang w:val="fr-CH"/>
        </w:rPr>
        <w:t>nouvelles rubriques</w:t>
      </w:r>
      <w:r w:rsidRPr="0032408A">
        <w:rPr>
          <w:lang w:val="fr-CH"/>
        </w:rPr>
        <w:t>, No</w:t>
      </w:r>
      <w:r>
        <w:rPr>
          <w:lang w:val="fr-CH"/>
        </w:rPr>
        <w:t>s</w:t>
      </w:r>
      <w:r>
        <w:rPr>
          <w:lang w:val="fr-CH"/>
        </w:rPr>
        <w:t xml:space="preserve"> ONU</w:t>
      </w:r>
      <w:r w:rsidRPr="0032408A">
        <w:rPr>
          <w:lang w:val="fr-CH"/>
        </w:rPr>
        <w:t xml:space="preserve"> 2920, 3272</w:t>
      </w:r>
      <w:r>
        <w:rPr>
          <w:lang w:val="fr-CH"/>
        </w:rPr>
        <w:t xml:space="preserve"> (</w:t>
      </w:r>
      <w:r>
        <w:rPr>
          <w:lang w:val="fr-CH"/>
        </w:rPr>
        <w:t>première rubrique</w:t>
      </w:r>
      <w:r>
        <w:rPr>
          <w:lang w:val="fr-CH"/>
        </w:rPr>
        <w:t xml:space="preserve">), </w:t>
      </w:r>
      <w:r w:rsidRPr="003C7C28">
        <w:rPr>
          <w:bCs/>
          <w:lang w:val="fr-CH"/>
        </w:rPr>
        <w:t>colonne</w:t>
      </w:r>
      <w:r>
        <w:rPr>
          <w:lang w:val="fr-CH"/>
        </w:rPr>
        <w:t xml:space="preserve"> (15)</w:t>
      </w:r>
    </w:p>
    <w:p w:rsidR="00D67FEA" w:rsidRPr="00D67FEA" w:rsidRDefault="00D67FEA" w:rsidP="00D67FEA">
      <w:pPr>
        <w:pStyle w:val="SingleTxtG"/>
        <w:rPr>
          <w:lang w:val="fr-CH"/>
        </w:rPr>
      </w:pPr>
      <w:r w:rsidRPr="00D67FEA">
        <w:rPr>
          <w:i/>
          <w:iCs/>
          <w:lang w:val="fr-CH"/>
        </w:rPr>
        <w:t>A la place de</w:t>
      </w:r>
      <w:r w:rsidRPr="00D67FEA">
        <w:rPr>
          <w:lang w:val="fr-CH"/>
        </w:rPr>
        <w:t xml:space="preserve"> T</w:t>
      </w:r>
      <w:r>
        <w:rPr>
          <w:lang w:val="fr-CH"/>
        </w:rPr>
        <w:t>2</w:t>
      </w:r>
      <w:r w:rsidRPr="00D67FEA">
        <w:rPr>
          <w:lang w:val="fr-CH"/>
        </w:rPr>
        <w:t xml:space="preserve"> </w:t>
      </w:r>
      <w:r w:rsidRPr="00D67FEA">
        <w:rPr>
          <w:i/>
          <w:iCs/>
          <w:lang w:val="fr-CH"/>
        </w:rPr>
        <w:t>lire</w:t>
      </w:r>
      <w:r w:rsidRPr="00D67FEA">
        <w:rPr>
          <w:lang w:val="fr-CH"/>
        </w:rPr>
        <w:t xml:space="preserve"> T</w:t>
      </w:r>
      <w:r>
        <w:rPr>
          <w:lang w:val="fr-CH"/>
        </w:rPr>
        <w:t>2</w:t>
      </w:r>
      <w:r w:rsidRPr="00D67FEA">
        <w:rPr>
          <w:lang w:val="fr-CH"/>
        </w:rPr>
        <w:t xml:space="preserve"> </w:t>
      </w:r>
      <w:r w:rsidRPr="00D67FEA">
        <w:rPr>
          <w:vertAlign w:val="superscript"/>
          <w:lang w:val="fr-CH"/>
        </w:rPr>
        <w:t>12)</w:t>
      </w:r>
    </w:p>
    <w:p w:rsidR="00EB347A" w:rsidRPr="00D67FEA" w:rsidRDefault="0032408A" w:rsidP="00EB347A">
      <w:pPr>
        <w:pStyle w:val="H23G"/>
      </w:pPr>
      <w:r w:rsidRPr="00D67FEA">
        <w:rPr>
          <w:lang w:val="fr-CH"/>
        </w:rPr>
        <w:tab/>
      </w:r>
      <w:r w:rsidR="00425727" w:rsidRPr="00D67FEA">
        <w:t>6</w:t>
      </w:r>
      <w:r w:rsidR="00EB347A" w:rsidRPr="00D67FEA">
        <w:t>.</w:t>
      </w:r>
      <w:r w:rsidR="00EB347A" w:rsidRPr="00D67FEA">
        <w:tab/>
        <w:t xml:space="preserve">Chapter 3.2, </w:t>
      </w:r>
      <w:r w:rsidR="003C7C28" w:rsidRPr="00D67FEA">
        <w:t>Table C, new entries</w:t>
      </w:r>
      <w:r w:rsidR="00E0067F" w:rsidRPr="00D67FEA">
        <w:t>, UN No. 3272</w:t>
      </w:r>
      <w:r w:rsidRPr="00D67FEA">
        <w:t xml:space="preserve">, </w:t>
      </w:r>
      <w:r w:rsidR="00EC550B">
        <w:t>column (2)</w:t>
      </w:r>
    </w:p>
    <w:p w:rsidR="0032408A" w:rsidRDefault="00AD0200" w:rsidP="0032408A">
      <w:pPr>
        <w:pStyle w:val="SingleTxtG"/>
      </w:pPr>
      <w:r>
        <w:t>N</w:t>
      </w:r>
      <w:r w:rsidR="0032408A">
        <w:t>ot applicable to English.</w:t>
      </w:r>
    </w:p>
    <w:p w:rsidR="00EC550B" w:rsidRPr="00EC550B" w:rsidRDefault="00EC550B" w:rsidP="00EC550B">
      <w:pPr>
        <w:pStyle w:val="H23G"/>
        <w:rPr>
          <w:lang w:val="fr-CH"/>
        </w:rPr>
      </w:pPr>
      <w:r>
        <w:rPr>
          <w:lang w:val="fr-CH"/>
        </w:rPr>
        <w:tab/>
        <w:t>6</w:t>
      </w:r>
      <w:r w:rsidRPr="0032408A">
        <w:rPr>
          <w:lang w:val="fr-CH"/>
        </w:rPr>
        <w:t>.</w:t>
      </w:r>
      <w:r w:rsidRPr="0032408A">
        <w:rPr>
          <w:lang w:val="fr-CH"/>
        </w:rPr>
        <w:tab/>
        <w:t>Chap</w:t>
      </w:r>
      <w:r>
        <w:rPr>
          <w:lang w:val="fr-CH"/>
        </w:rPr>
        <w:t>itre</w:t>
      </w:r>
      <w:r w:rsidRPr="0032408A">
        <w:rPr>
          <w:lang w:val="fr-CH"/>
        </w:rPr>
        <w:t xml:space="preserve"> 3.2, Table</w:t>
      </w:r>
      <w:r>
        <w:rPr>
          <w:lang w:val="fr-CH"/>
        </w:rPr>
        <w:t>au</w:t>
      </w:r>
      <w:r w:rsidRPr="0032408A">
        <w:rPr>
          <w:lang w:val="fr-CH"/>
        </w:rPr>
        <w:t xml:space="preserve"> C, </w:t>
      </w:r>
      <w:r>
        <w:rPr>
          <w:lang w:val="fr-CH"/>
        </w:rPr>
        <w:t>nouvelles rubriques</w:t>
      </w:r>
      <w:r w:rsidRPr="0032408A">
        <w:rPr>
          <w:lang w:val="fr-CH"/>
        </w:rPr>
        <w:t>, No</w:t>
      </w:r>
      <w:r>
        <w:rPr>
          <w:lang w:val="fr-CH"/>
        </w:rPr>
        <w:t xml:space="preserve"> ONU</w:t>
      </w:r>
      <w:r w:rsidRPr="0032408A">
        <w:rPr>
          <w:lang w:val="fr-CH"/>
        </w:rPr>
        <w:t xml:space="preserve"> </w:t>
      </w:r>
      <w:r>
        <w:rPr>
          <w:lang w:val="fr-CH"/>
        </w:rPr>
        <w:t>3272</w:t>
      </w:r>
      <w:r>
        <w:rPr>
          <w:lang w:val="fr-CH"/>
        </w:rPr>
        <w:t xml:space="preserve">, </w:t>
      </w:r>
      <w:r w:rsidRPr="003C7C28">
        <w:rPr>
          <w:bCs/>
          <w:lang w:val="fr-CH"/>
        </w:rPr>
        <w:t>colonne</w:t>
      </w:r>
      <w:r>
        <w:rPr>
          <w:lang w:val="fr-CH"/>
        </w:rPr>
        <w:t xml:space="preserve"> (</w:t>
      </w:r>
      <w:r>
        <w:rPr>
          <w:lang w:val="fr-CH"/>
        </w:rPr>
        <w:t>2</w:t>
      </w:r>
      <w:r>
        <w:rPr>
          <w:lang w:val="fr-CH"/>
        </w:rPr>
        <w:t>)</w:t>
      </w:r>
    </w:p>
    <w:p w:rsidR="0032408A" w:rsidRPr="00D67FEA" w:rsidRDefault="0032408A" w:rsidP="0032408A">
      <w:pPr>
        <w:pStyle w:val="SingleTxtG"/>
        <w:rPr>
          <w:lang w:val="fr-CH"/>
        </w:rPr>
      </w:pPr>
      <w:r w:rsidRPr="00D67FEA">
        <w:rPr>
          <w:i/>
          <w:iCs/>
          <w:lang w:val="fr-CH"/>
        </w:rPr>
        <w:t xml:space="preserve">A la place de </w:t>
      </w:r>
      <w:r w:rsidRPr="00D67FEA">
        <w:rPr>
          <w:lang w:val="fr-CH"/>
        </w:rPr>
        <w:t xml:space="preserve">ÉTHERS, N.S.A. </w:t>
      </w:r>
      <w:r w:rsidRPr="00D67FEA">
        <w:rPr>
          <w:i/>
          <w:iCs/>
          <w:lang w:val="fr-CH"/>
        </w:rPr>
        <w:t>lire</w:t>
      </w:r>
      <w:r w:rsidRPr="00D67FEA">
        <w:rPr>
          <w:lang w:val="fr-CH"/>
        </w:rPr>
        <w:t xml:space="preserve"> ESTERS, N.S.A.</w:t>
      </w:r>
    </w:p>
    <w:p w:rsidR="009C1C52" w:rsidRPr="009C1C52" w:rsidRDefault="009C1C52" w:rsidP="009C1C52">
      <w:pPr>
        <w:pStyle w:val="H23G"/>
      </w:pPr>
      <w:r w:rsidRPr="0032408A">
        <w:rPr>
          <w:lang w:val="fr-CH"/>
        </w:rPr>
        <w:tab/>
      </w:r>
      <w:r w:rsidRPr="009C1C52">
        <w:t>7.</w:t>
      </w:r>
      <w:r w:rsidRPr="009C1C52">
        <w:tab/>
        <w:t>Chapter 3.2, 3.2.4.3, A</w:t>
      </w:r>
    </w:p>
    <w:p w:rsidR="009C1C52" w:rsidRDefault="009C1C52" w:rsidP="009C1C52">
      <w:pPr>
        <w:pStyle w:val="SingleTxtG"/>
        <w:rPr>
          <w:i/>
          <w:iCs/>
        </w:rPr>
      </w:pPr>
      <w:r w:rsidRPr="00E073BA">
        <w:rPr>
          <w:i/>
          <w:iCs/>
        </w:rPr>
        <w:t>For</w:t>
      </w:r>
      <w:r w:rsidRPr="00F45647">
        <w:t xml:space="preserve"> existing text </w:t>
      </w:r>
      <w:r w:rsidRPr="00E073BA">
        <w:rPr>
          <w:i/>
          <w:iCs/>
        </w:rPr>
        <w:t>substitute</w:t>
      </w:r>
    </w:p>
    <w:p w:rsidR="00652A45" w:rsidRDefault="00652A45" w:rsidP="009C1C52">
      <w:pPr>
        <w:pStyle w:val="SingleTxtG"/>
      </w:pPr>
      <w:r w:rsidRPr="00652A45">
        <w:rPr>
          <w:rFonts w:asciiTheme="majorBidi" w:eastAsia="Calibri" w:hAnsiTheme="majorBidi" w:cstheme="majorBidi"/>
        </w:rPr>
        <w:t>3.2.4.3, A</w:t>
      </w:r>
      <w:r w:rsidRPr="00652A45">
        <w:rPr>
          <w:rFonts w:asciiTheme="majorBidi" w:eastAsia="Calibri" w:hAnsiTheme="majorBidi" w:cstheme="majorBidi"/>
        </w:rPr>
        <w:tab/>
      </w:r>
      <w:r>
        <w:t>In col</w:t>
      </w:r>
      <w:r w:rsidR="00222048">
        <w:t>umns (6), (7) and (8), replace "</w:t>
      </w:r>
      <w:r>
        <w:t>High-veloc</w:t>
      </w:r>
      <w:r w:rsidR="00222048">
        <w:t>ity vent valve opening pressure" by "</w:t>
      </w:r>
      <w:r>
        <w:t>Pressure relief valve/high veloc</w:t>
      </w:r>
      <w:r w:rsidR="00222048">
        <w:t>ity vent valve opening pressure"</w:t>
      </w:r>
      <w:r>
        <w:t xml:space="preserve"> (1</w:t>
      </w:r>
      <w:r w:rsidR="00076BBB">
        <w:t>0</w:t>
      </w:r>
      <w:r>
        <w:t xml:space="preserve"> times).</w:t>
      </w:r>
    </w:p>
    <w:p w:rsidR="00076BBB" w:rsidRDefault="00076BBB" w:rsidP="009C1C52">
      <w:pPr>
        <w:pStyle w:val="SingleTxtG"/>
      </w:pPr>
      <w:r w:rsidRPr="00652A45">
        <w:rPr>
          <w:rFonts w:asciiTheme="majorBidi" w:eastAsia="Calibri" w:hAnsiTheme="majorBidi" w:cstheme="majorBidi"/>
        </w:rPr>
        <w:t>3.2.4.3, A</w:t>
      </w:r>
      <w:r w:rsidRPr="00652A45">
        <w:rPr>
          <w:rFonts w:asciiTheme="majorBidi" w:eastAsia="Calibri" w:hAnsiTheme="majorBidi" w:cstheme="majorBidi"/>
        </w:rPr>
        <w:tab/>
      </w:r>
      <w:r>
        <w:t xml:space="preserve">In columns (6), (7) and (8), </w:t>
      </w:r>
      <w:r>
        <w:t xml:space="preserve">point 3, </w:t>
      </w:r>
      <w:r>
        <w:t>replace</w:t>
      </w:r>
      <w:r w:rsidR="00B00A3D">
        <w:t xml:space="preserve"> "with </w:t>
      </w:r>
      <w:proofErr w:type="spellStart"/>
      <w:r w:rsidR="00B00A3D">
        <w:t>eductor</w:t>
      </w:r>
      <w:proofErr w:type="spellEnd"/>
      <w:r w:rsidR="00B00A3D">
        <w:t xml:space="preserve"> opening pressure" by "with p</w:t>
      </w:r>
      <w:r w:rsidR="00B00A3D">
        <w:t>ressure relief valve/high velocity vent valve opening pressure</w:t>
      </w:r>
      <w:r w:rsidR="00B00A3D">
        <w:t>".</w:t>
      </w:r>
    </w:p>
    <w:p w:rsidR="00076BBB" w:rsidRDefault="00076BBB" w:rsidP="009C1C52">
      <w:pPr>
        <w:pStyle w:val="SingleTxtG"/>
        <w:rPr>
          <w:i/>
          <w:iCs/>
        </w:rPr>
      </w:pPr>
      <w:r w:rsidRPr="00652A45">
        <w:rPr>
          <w:rFonts w:asciiTheme="majorBidi" w:eastAsia="Calibri" w:hAnsiTheme="majorBidi" w:cstheme="majorBidi"/>
        </w:rPr>
        <w:t>3.2.4.3, A</w:t>
      </w:r>
      <w:r w:rsidRPr="00652A45">
        <w:rPr>
          <w:rFonts w:asciiTheme="majorBidi" w:eastAsia="Calibri" w:hAnsiTheme="majorBidi" w:cstheme="majorBidi"/>
        </w:rPr>
        <w:tab/>
      </w:r>
      <w:r>
        <w:t xml:space="preserve">In columns (6), (7) and (8), </w:t>
      </w:r>
      <w:r>
        <w:t xml:space="preserve">point 4, </w:t>
      </w:r>
      <w:r>
        <w:t>replace</w:t>
      </w:r>
      <w:r w:rsidR="00222048">
        <w:t xml:space="preserve"> "</w:t>
      </w:r>
      <w:r w:rsidR="00B00A3D">
        <w:t>h</w:t>
      </w:r>
      <w:r w:rsidR="00B00A3D">
        <w:t>igh-velocity vent valve</w:t>
      </w:r>
      <w:r w:rsidR="00B00A3D">
        <w:t>/safety valve</w:t>
      </w:r>
      <w:r w:rsidR="00222048">
        <w:t xml:space="preserve"> opening pressure"</w:t>
      </w:r>
      <w:bookmarkStart w:id="0" w:name="_GoBack"/>
      <w:bookmarkEnd w:id="0"/>
      <w:r w:rsidR="00B00A3D">
        <w:t xml:space="preserve"> by "</w:t>
      </w:r>
      <w:r w:rsidR="00B00A3D">
        <w:t>Pressure relief valve/high velocity vent valve opening pressure</w:t>
      </w:r>
      <w:r w:rsidR="00B00A3D">
        <w:t>".</w:t>
      </w:r>
    </w:p>
    <w:p w:rsidR="00652A45" w:rsidRPr="00652A45" w:rsidRDefault="00652A45" w:rsidP="00652A45">
      <w:pPr>
        <w:pStyle w:val="H23G"/>
      </w:pPr>
      <w:r>
        <w:tab/>
      </w:r>
      <w:r w:rsidRPr="00652A45">
        <w:t>7.</w:t>
      </w:r>
      <w:r w:rsidRPr="00652A45">
        <w:tab/>
      </w:r>
      <w:proofErr w:type="spellStart"/>
      <w:r w:rsidRPr="00652A45">
        <w:t>Chap</w:t>
      </w:r>
      <w:r w:rsidRPr="00652A45">
        <w:t>itre</w:t>
      </w:r>
      <w:proofErr w:type="spellEnd"/>
      <w:r w:rsidRPr="00652A45">
        <w:t xml:space="preserve"> 3.2, 3.2.4.3, A</w:t>
      </w:r>
    </w:p>
    <w:p w:rsidR="00652A45" w:rsidRPr="00652A45" w:rsidRDefault="00652A45" w:rsidP="009C1C52">
      <w:pPr>
        <w:pStyle w:val="SingleTxtG"/>
        <w:rPr>
          <w:i/>
          <w:iCs/>
          <w:lang w:val="fr-CH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:rsidR="009C1C52" w:rsidRDefault="009C1C52" w:rsidP="009C1C52">
      <w:pPr>
        <w:pStyle w:val="SingleTxtG"/>
        <w:rPr>
          <w:rFonts w:asciiTheme="majorBidi" w:eastAsia="Calibri" w:hAnsiTheme="majorBidi" w:cstheme="majorBidi"/>
          <w:lang w:val="fr-FR"/>
        </w:rPr>
      </w:pPr>
      <w:bookmarkStart w:id="1" w:name="_Hlk519786169"/>
      <w:r w:rsidRPr="009C1C52">
        <w:rPr>
          <w:rFonts w:asciiTheme="majorBidi" w:eastAsia="Calibri" w:hAnsiTheme="majorBidi" w:cstheme="majorBidi"/>
          <w:lang w:val="fr-FR"/>
        </w:rPr>
        <w:t>3.2.4.3, A</w:t>
      </w:r>
      <w:r w:rsidRPr="009C1C52">
        <w:rPr>
          <w:rFonts w:asciiTheme="majorBidi" w:eastAsia="Calibri" w:hAnsiTheme="majorBidi" w:cstheme="majorBidi"/>
          <w:lang w:val="fr-FR"/>
        </w:rPr>
        <w:tab/>
        <w:t>Dans les colonnes (6), (7) et (8), remplacer (</w:t>
      </w:r>
      <w:r>
        <w:rPr>
          <w:rFonts w:asciiTheme="majorBidi" w:eastAsia="Calibri" w:hAnsiTheme="majorBidi" w:cstheme="majorBidi"/>
          <w:lang w:val="fr-FR"/>
        </w:rPr>
        <w:t>dix</w:t>
      </w:r>
      <w:r w:rsidRPr="009C1C52">
        <w:rPr>
          <w:rFonts w:asciiTheme="majorBidi" w:eastAsia="Calibri" w:hAnsiTheme="majorBidi" w:cstheme="majorBidi"/>
          <w:lang w:val="fr-FR"/>
        </w:rPr>
        <w:t xml:space="preserve"> fois</w:t>
      </w:r>
      <w:proofErr w:type="gramStart"/>
      <w:r w:rsidRPr="009C1C52">
        <w:rPr>
          <w:rFonts w:asciiTheme="majorBidi" w:eastAsia="Calibri" w:hAnsiTheme="majorBidi" w:cstheme="majorBidi"/>
          <w:lang w:val="fr-FR"/>
        </w:rPr>
        <w:t>):</w:t>
      </w:r>
      <w:proofErr w:type="gramEnd"/>
      <w:r w:rsidRPr="009C1C52">
        <w:rPr>
          <w:rFonts w:asciiTheme="majorBidi" w:eastAsia="Calibri" w:hAnsiTheme="majorBidi" w:cstheme="majorBidi"/>
          <w:lang w:val="fr-FR"/>
        </w:rPr>
        <w:t xml:space="preserve"> «Pression d’ouverture des </w:t>
      </w:r>
      <w:bookmarkStart w:id="2" w:name="_Hlk519783886"/>
      <w:r w:rsidRPr="009C1C52">
        <w:rPr>
          <w:rFonts w:asciiTheme="majorBidi" w:eastAsia="Calibri" w:hAnsiTheme="majorBidi" w:cstheme="majorBidi"/>
          <w:lang w:val="fr-FR"/>
        </w:rPr>
        <w:t>soupapes de dégagement</w:t>
      </w:r>
      <w:bookmarkEnd w:id="2"/>
      <w:r w:rsidRPr="009C1C52">
        <w:rPr>
          <w:rFonts w:asciiTheme="majorBidi" w:eastAsia="Calibri" w:hAnsiTheme="majorBidi" w:cstheme="majorBidi"/>
          <w:lang w:val="fr-FR"/>
        </w:rPr>
        <w:t xml:space="preserve"> à grande vitesse» par «</w:t>
      </w:r>
      <w:bookmarkStart w:id="3" w:name="_Hlk519780564"/>
      <w:r w:rsidRPr="009C1C52">
        <w:rPr>
          <w:rFonts w:asciiTheme="majorBidi" w:eastAsia="Calibri" w:hAnsiTheme="majorBidi" w:cstheme="majorBidi"/>
          <w:lang w:val="fr-FR"/>
        </w:rPr>
        <w:t>Pression d’ouverture de la soupape de surpression/soupape de dégagement à grande vitesse</w:t>
      </w:r>
      <w:bookmarkEnd w:id="3"/>
      <w:r w:rsidRPr="009C1C52">
        <w:rPr>
          <w:rFonts w:asciiTheme="majorBidi" w:eastAsia="Calibri" w:hAnsiTheme="majorBidi" w:cstheme="majorBidi"/>
          <w:lang w:val="fr-FR"/>
        </w:rPr>
        <w:t>».</w:t>
      </w:r>
      <w:bookmarkEnd w:id="1"/>
    </w:p>
    <w:p w:rsidR="00FC30CF" w:rsidRPr="00FC30CF" w:rsidRDefault="00FC30CF" w:rsidP="009C1C52">
      <w:pPr>
        <w:pStyle w:val="SingleTxtG"/>
        <w:rPr>
          <w:rFonts w:asciiTheme="majorBidi" w:eastAsia="Calibri" w:hAnsiTheme="majorBidi" w:cstheme="majorBidi"/>
          <w:lang w:val="fr-FR"/>
        </w:rPr>
      </w:pPr>
      <w:r w:rsidRPr="00FC30CF">
        <w:rPr>
          <w:rFonts w:asciiTheme="majorBidi" w:eastAsia="Calibri" w:hAnsiTheme="majorBidi" w:cstheme="majorBidi"/>
          <w:lang w:val="fr-FR"/>
        </w:rPr>
        <w:t>3.2.4.3, A</w:t>
      </w:r>
      <w:r w:rsidRPr="00FC30CF">
        <w:rPr>
          <w:rFonts w:asciiTheme="majorBidi" w:eastAsia="Calibri" w:hAnsiTheme="majorBidi" w:cstheme="majorBidi"/>
          <w:lang w:val="fr-FR"/>
        </w:rPr>
        <w:tab/>
        <w:t xml:space="preserve">Dans les colonnes (6), (7) et (8), point 3, </w:t>
      </w:r>
      <w:proofErr w:type="gramStart"/>
      <w:r w:rsidRPr="00FC30CF">
        <w:rPr>
          <w:rFonts w:asciiTheme="majorBidi" w:eastAsia="Calibri" w:hAnsiTheme="majorBidi" w:cstheme="majorBidi"/>
          <w:lang w:val="fr-FR"/>
        </w:rPr>
        <w:t>remplacer:</w:t>
      </w:r>
      <w:proofErr w:type="gramEnd"/>
      <w:r w:rsidRPr="00FC30CF">
        <w:rPr>
          <w:rFonts w:asciiTheme="majorBidi" w:eastAsia="Calibri" w:hAnsiTheme="majorBidi" w:cstheme="majorBidi"/>
          <w:lang w:val="fr-FR"/>
        </w:rPr>
        <w:t xml:space="preserve"> «</w:t>
      </w:r>
      <w:r w:rsidRPr="00FC30CF">
        <w:rPr>
          <w:lang w:val="fr-CH"/>
        </w:rPr>
        <w:t>pression d'ouverture des éjecteurs</w:t>
      </w:r>
      <w:r w:rsidRPr="00FC30CF">
        <w:rPr>
          <w:rFonts w:asciiTheme="majorBidi" w:eastAsia="Calibri" w:hAnsiTheme="majorBidi" w:cstheme="majorBidi"/>
          <w:lang w:val="fr-FR"/>
        </w:rPr>
        <w:t>» par «</w:t>
      </w:r>
      <w:bookmarkStart w:id="4" w:name="_Hlk521416782"/>
      <w:r w:rsidRPr="00FC30CF">
        <w:rPr>
          <w:rFonts w:asciiTheme="majorBidi" w:eastAsia="Calibri" w:hAnsiTheme="majorBidi" w:cstheme="majorBidi"/>
          <w:lang w:val="fr-FR"/>
        </w:rPr>
        <w:t>pression d’ouverture de la soupape de surpression/soupape de dégagement à grande vitesse</w:t>
      </w:r>
      <w:bookmarkEnd w:id="4"/>
      <w:r w:rsidRPr="00FC30CF">
        <w:rPr>
          <w:rFonts w:asciiTheme="majorBidi" w:eastAsia="Calibri" w:hAnsiTheme="majorBidi" w:cstheme="majorBidi"/>
          <w:lang w:val="fr-FR"/>
        </w:rPr>
        <w:t>».</w:t>
      </w:r>
    </w:p>
    <w:p w:rsidR="009C1C52" w:rsidRDefault="009C1C52" w:rsidP="009C1C52">
      <w:pPr>
        <w:pStyle w:val="SingleTxtG"/>
        <w:rPr>
          <w:rFonts w:asciiTheme="majorBidi" w:eastAsia="Calibri" w:hAnsiTheme="majorBidi" w:cstheme="majorBidi"/>
          <w:lang w:val="fr-FR"/>
        </w:rPr>
      </w:pPr>
      <w:r w:rsidRPr="009C1C52">
        <w:rPr>
          <w:rFonts w:asciiTheme="majorBidi" w:eastAsia="Calibri" w:hAnsiTheme="majorBidi" w:cstheme="majorBidi"/>
          <w:lang w:val="fr-FR"/>
        </w:rPr>
        <w:t>3.2.4.3, A</w:t>
      </w:r>
      <w:r>
        <w:rPr>
          <w:rFonts w:asciiTheme="majorBidi" w:eastAsia="Calibri" w:hAnsiTheme="majorBidi" w:cstheme="majorBidi"/>
          <w:lang w:val="fr-FR"/>
        </w:rPr>
        <w:tab/>
      </w:r>
      <w:r w:rsidR="00FC30CF" w:rsidRPr="009C1C52">
        <w:rPr>
          <w:rFonts w:asciiTheme="majorBidi" w:eastAsia="Calibri" w:hAnsiTheme="majorBidi" w:cstheme="majorBidi"/>
          <w:lang w:val="fr-FR"/>
        </w:rPr>
        <w:t>Dans les colonnes (6), (7) et (8),</w:t>
      </w:r>
      <w:r w:rsidR="00FC30CF">
        <w:rPr>
          <w:rFonts w:asciiTheme="majorBidi" w:eastAsia="Calibri" w:hAnsiTheme="majorBidi" w:cstheme="majorBidi"/>
          <w:lang w:val="fr-FR"/>
        </w:rPr>
        <w:t xml:space="preserve"> point 4, </w:t>
      </w:r>
      <w:proofErr w:type="gramStart"/>
      <w:r w:rsidR="00FC30CF" w:rsidRPr="009C1C52">
        <w:rPr>
          <w:rFonts w:asciiTheme="majorBidi" w:eastAsia="Calibri" w:hAnsiTheme="majorBidi" w:cstheme="majorBidi"/>
          <w:lang w:val="fr-FR"/>
        </w:rPr>
        <w:t>remplacer:</w:t>
      </w:r>
      <w:proofErr w:type="gramEnd"/>
      <w:r w:rsidR="00FC30CF" w:rsidRPr="009C1C52">
        <w:rPr>
          <w:rFonts w:asciiTheme="majorBidi" w:eastAsia="Calibri" w:hAnsiTheme="majorBidi" w:cstheme="majorBidi"/>
          <w:lang w:val="fr-FR"/>
        </w:rPr>
        <w:t xml:space="preserve"> «Pression d’ouverture des soupapes de dégagement à grande vitesse</w:t>
      </w:r>
      <w:r w:rsidR="00FC30CF">
        <w:rPr>
          <w:rFonts w:asciiTheme="majorBidi" w:eastAsia="Calibri" w:hAnsiTheme="majorBidi" w:cstheme="majorBidi"/>
          <w:lang w:val="fr-FR"/>
        </w:rPr>
        <w:t xml:space="preserve">/des </w:t>
      </w:r>
      <w:r w:rsidR="00FC30CF" w:rsidRPr="009C1C52">
        <w:rPr>
          <w:rFonts w:asciiTheme="majorBidi" w:eastAsia="Calibri" w:hAnsiTheme="majorBidi" w:cstheme="majorBidi"/>
          <w:lang w:val="fr-FR"/>
        </w:rPr>
        <w:t>soupapes de</w:t>
      </w:r>
      <w:r w:rsidR="00FC30CF">
        <w:rPr>
          <w:rFonts w:asciiTheme="majorBidi" w:eastAsia="Calibri" w:hAnsiTheme="majorBidi" w:cstheme="majorBidi"/>
          <w:lang w:val="fr-FR"/>
        </w:rPr>
        <w:t xml:space="preserve"> sécurité</w:t>
      </w:r>
      <w:r w:rsidR="00FC30CF" w:rsidRPr="009C1C52">
        <w:rPr>
          <w:rFonts w:asciiTheme="majorBidi" w:eastAsia="Calibri" w:hAnsiTheme="majorBidi" w:cstheme="majorBidi"/>
          <w:lang w:val="fr-FR"/>
        </w:rPr>
        <w:t>» par «Pression d’ouverture de la soupape de surpression/soupape de dégagement à grande vitesse».</w:t>
      </w:r>
    </w:p>
    <w:p w:rsidR="009C1C52" w:rsidRPr="00D67FEA" w:rsidRDefault="005D4DC5" w:rsidP="005D4DC5">
      <w:pPr>
        <w:pStyle w:val="H23G"/>
      </w:pPr>
      <w:r w:rsidRPr="0032408A">
        <w:rPr>
          <w:lang w:val="fr-CH"/>
        </w:rPr>
        <w:tab/>
      </w:r>
      <w:r w:rsidRPr="00D67FEA">
        <w:t>8.</w:t>
      </w:r>
      <w:r w:rsidRPr="00D67FEA">
        <w:tab/>
        <w:t>Chapter 8.2, 8.2.2.3.3.2</w:t>
      </w:r>
    </w:p>
    <w:p w:rsidR="00112476" w:rsidRDefault="00112476" w:rsidP="00112476">
      <w:pPr>
        <w:pStyle w:val="SingleTxtG"/>
      </w:pPr>
      <w:r>
        <w:t>Not applicable to English.</w:t>
      </w:r>
    </w:p>
    <w:p w:rsidR="0061013B" w:rsidRPr="0061013B" w:rsidRDefault="0061013B" w:rsidP="0061013B">
      <w:pPr>
        <w:pStyle w:val="H23G"/>
      </w:pPr>
      <w:r w:rsidRPr="0032408A">
        <w:rPr>
          <w:lang w:val="fr-CH"/>
        </w:rPr>
        <w:tab/>
      </w:r>
      <w:r w:rsidRPr="0061013B">
        <w:rPr>
          <w:lang w:val="fr-CH"/>
        </w:rPr>
        <w:t>8.</w:t>
      </w:r>
      <w:r w:rsidRPr="0061013B">
        <w:rPr>
          <w:lang w:val="fr-CH"/>
        </w:rPr>
        <w:tab/>
        <w:t>Chap</w:t>
      </w:r>
      <w:r>
        <w:rPr>
          <w:lang w:val="fr-CH"/>
        </w:rPr>
        <w:t>itre</w:t>
      </w:r>
      <w:r w:rsidRPr="0061013B">
        <w:rPr>
          <w:lang w:val="fr-CH"/>
        </w:rPr>
        <w:t xml:space="preserve"> 8.2, 8.2.2.3.3.2</w:t>
      </w:r>
    </w:p>
    <w:p w:rsidR="005D4DC5" w:rsidRPr="00D67FEA" w:rsidRDefault="00112476" w:rsidP="009C1C52">
      <w:pPr>
        <w:pStyle w:val="SingleTxtG"/>
        <w:rPr>
          <w:sz w:val="22"/>
          <w:szCs w:val="22"/>
          <w:highlight w:val="yellow"/>
          <w:lang w:val="fr-CH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:rsidR="009C1C52" w:rsidRPr="005D4DC5" w:rsidRDefault="009C1C52" w:rsidP="009C1C52">
      <w:pPr>
        <w:pStyle w:val="SingleTxtG"/>
        <w:rPr>
          <w:lang w:val="fr-CH"/>
        </w:rPr>
      </w:pPr>
      <w:r w:rsidRPr="005D4DC5">
        <w:rPr>
          <w:lang w:val="fr-CH"/>
        </w:rPr>
        <w:lastRenderedPageBreak/>
        <w:t>8.2.2.3.3.2</w:t>
      </w:r>
      <w:r w:rsidRPr="005D4DC5">
        <w:rPr>
          <w:lang w:val="fr-CH"/>
        </w:rPr>
        <w:tab/>
      </w:r>
      <w:r w:rsidR="00112476" w:rsidRPr="0061013B">
        <w:rPr>
          <w:lang w:val="fr-CH"/>
        </w:rPr>
        <w:t>Premier amendement sans objet en français.</w:t>
      </w:r>
      <w:r w:rsidR="00112476">
        <w:rPr>
          <w:lang w:val="fr-CH"/>
        </w:rPr>
        <w:t xml:space="preserve"> </w:t>
      </w:r>
      <w:r w:rsidRPr="005D4DC5">
        <w:rPr>
          <w:lang w:val="fr-CH"/>
        </w:rPr>
        <w:t xml:space="preserve">Modifier le huitième tiret pour lire comme </w:t>
      </w:r>
      <w:proofErr w:type="gramStart"/>
      <w:r w:rsidRPr="005D4DC5">
        <w:rPr>
          <w:lang w:val="fr-CH"/>
        </w:rPr>
        <w:t>suit:</w:t>
      </w:r>
      <w:proofErr w:type="gramEnd"/>
    </w:p>
    <w:p w:rsidR="009C1C52" w:rsidRPr="005D4DC5" w:rsidRDefault="009C1C52" w:rsidP="009C1C52">
      <w:pPr>
        <w:pStyle w:val="SingleTxtG"/>
        <w:rPr>
          <w:lang w:val="fr-CH"/>
        </w:rPr>
      </w:pPr>
      <w:proofErr w:type="gramStart"/>
      <w:r w:rsidRPr="005D4DC5">
        <w:rPr>
          <w:i/>
          <w:lang w:val="fr-CH"/>
        </w:rPr>
        <w:t>«</w:t>
      </w:r>
      <w:r w:rsidRPr="005D4DC5">
        <w:rPr>
          <w:lang w:val="fr-CH"/>
        </w:rPr>
        <w:t>-</w:t>
      </w:r>
      <w:proofErr w:type="gramEnd"/>
      <w:r w:rsidRPr="005D4DC5">
        <w:rPr>
          <w:lang w:val="fr-CH"/>
        </w:rPr>
        <w:tab/>
      </w:r>
      <w:bookmarkStart w:id="5" w:name="_Hlk520107358"/>
      <w:r w:rsidRPr="005D4DC5">
        <w:rPr>
          <w:lang w:val="fr-CH"/>
        </w:rPr>
        <w:t>Attestations d’absence de gaz et travaux admis</w:t>
      </w:r>
      <w:bookmarkEnd w:id="5"/>
      <w:r w:rsidRPr="005D4DC5">
        <w:rPr>
          <w:lang w:val="fr-CH"/>
        </w:rPr>
        <w:t>;».</w:t>
      </w:r>
    </w:p>
    <w:p w:rsidR="000754E3" w:rsidRPr="000E0CAD" w:rsidRDefault="000754E3" w:rsidP="000754E3">
      <w:pPr>
        <w:pStyle w:val="HChG"/>
        <w:rPr>
          <w:sz w:val="22"/>
          <w:szCs w:val="22"/>
        </w:rPr>
      </w:pPr>
      <w:r w:rsidRPr="009C1C52">
        <w:rPr>
          <w:sz w:val="22"/>
          <w:szCs w:val="22"/>
          <w:lang w:val="fr-CH"/>
        </w:rPr>
        <w:tab/>
      </w:r>
      <w:r w:rsidRPr="009C1C52">
        <w:rPr>
          <w:sz w:val="22"/>
          <w:szCs w:val="22"/>
          <w:lang w:val="fr-CH"/>
        </w:rPr>
        <w:tab/>
      </w:r>
      <w:r w:rsidRPr="000E0CAD">
        <w:rPr>
          <w:sz w:val="22"/>
          <w:szCs w:val="22"/>
        </w:rPr>
        <w:t>Corrections to the Annexed regulations to ADN</w:t>
      </w:r>
    </w:p>
    <w:p w:rsidR="005F7F11" w:rsidRPr="00D67FEA" w:rsidRDefault="005F7F11" w:rsidP="005F7F11">
      <w:pPr>
        <w:pStyle w:val="H23G"/>
      </w:pPr>
      <w:r w:rsidRPr="00D67FEA">
        <w:tab/>
        <w:t>1.</w:t>
      </w:r>
      <w:r w:rsidRPr="00D67FEA">
        <w:tab/>
        <w:t xml:space="preserve">Chapter </w:t>
      </w:r>
      <w:r w:rsidR="00F4493B" w:rsidRPr="00D67FEA">
        <w:t>5.4</w:t>
      </w:r>
      <w:r w:rsidRPr="00D67FEA">
        <w:t xml:space="preserve">, </w:t>
      </w:r>
      <w:r w:rsidR="00F4493B" w:rsidRPr="00D67FEA">
        <w:t>5.4.1.1.3</w:t>
      </w:r>
    </w:p>
    <w:p w:rsidR="00F4493B" w:rsidRDefault="00AD0200" w:rsidP="00F4493B">
      <w:pPr>
        <w:pStyle w:val="SingleTxtG"/>
      </w:pPr>
      <w:r>
        <w:t>N</w:t>
      </w:r>
      <w:r w:rsidR="00F4493B">
        <w:t>ot applicable to English.</w:t>
      </w:r>
    </w:p>
    <w:p w:rsidR="00222048" w:rsidRPr="00D67FEA" w:rsidRDefault="00222048" w:rsidP="00222048">
      <w:pPr>
        <w:pStyle w:val="H23G"/>
      </w:pPr>
      <w:r>
        <w:tab/>
      </w:r>
      <w:r w:rsidRPr="00D67FEA">
        <w:t>1.</w:t>
      </w:r>
      <w:r w:rsidRPr="00D67FEA">
        <w:tab/>
      </w:r>
      <w:proofErr w:type="spellStart"/>
      <w:r w:rsidRPr="00D67FEA">
        <w:t>Chap</w:t>
      </w:r>
      <w:r>
        <w:t>itre</w:t>
      </w:r>
      <w:proofErr w:type="spellEnd"/>
      <w:r w:rsidRPr="00D67FEA">
        <w:t xml:space="preserve"> 5.4, 5.4.1.1.3</w:t>
      </w:r>
    </w:p>
    <w:p w:rsidR="00F4493B" w:rsidRPr="00F4493B" w:rsidRDefault="00F4493B" w:rsidP="007E4801">
      <w:pPr>
        <w:pStyle w:val="SingleTxtG"/>
        <w:rPr>
          <w:lang w:val="fr-CH"/>
        </w:rPr>
      </w:pPr>
      <w:r w:rsidRPr="00F4493B">
        <w:rPr>
          <w:i/>
          <w:iCs/>
          <w:lang w:val="fr-CH"/>
        </w:rPr>
        <w:t>A la place de</w:t>
      </w:r>
      <w:r w:rsidRPr="00F4493B">
        <w:rPr>
          <w:lang w:val="fr-CH"/>
        </w:rPr>
        <w:t xml:space="preserve"> </w:t>
      </w:r>
    </w:p>
    <w:p w:rsidR="00F4493B" w:rsidRPr="00F4493B" w:rsidRDefault="00F4493B" w:rsidP="007E4801">
      <w:pPr>
        <w:pStyle w:val="SingleTxtG"/>
        <w:rPr>
          <w:lang w:val="fr-CH"/>
        </w:rPr>
      </w:pPr>
      <w:r w:rsidRPr="00F4493B">
        <w:rPr>
          <w:lang w:val="fr-CH"/>
        </w:rPr>
        <w:t>"DÉCHETS CONFORMES AU 2.1.3.5.5" (par exemple "No ONU 3264, LIQUIDE INORGANIQUE, CORROSIF, ACIDE, N.S.A., 8, II, (E), DÉCHETS CONFORMES AU 2.1.3.5.5")</w:t>
      </w:r>
    </w:p>
    <w:p w:rsidR="007E4801" w:rsidRPr="00F4493B" w:rsidRDefault="00F4493B" w:rsidP="007E4801">
      <w:pPr>
        <w:pStyle w:val="SingleTxtG"/>
        <w:rPr>
          <w:lang w:val="fr-CH"/>
        </w:rPr>
      </w:pPr>
      <w:proofErr w:type="gramStart"/>
      <w:r w:rsidRPr="00F4493B">
        <w:rPr>
          <w:i/>
          <w:iCs/>
          <w:lang w:val="fr-CH"/>
        </w:rPr>
        <w:t>lire</w:t>
      </w:r>
      <w:proofErr w:type="gramEnd"/>
      <w:r w:rsidRPr="00F4493B">
        <w:rPr>
          <w:lang w:val="fr-CH"/>
        </w:rPr>
        <w:t xml:space="preserve"> </w:t>
      </w:r>
    </w:p>
    <w:p w:rsidR="00F4493B" w:rsidRPr="00F4493B" w:rsidRDefault="00F4493B" w:rsidP="007E4801">
      <w:pPr>
        <w:pStyle w:val="SingleTxtG"/>
        <w:rPr>
          <w:lang w:val="fr-CH"/>
        </w:rPr>
      </w:pPr>
      <w:r w:rsidRPr="00F4493B">
        <w:rPr>
          <w:lang w:val="fr-CH"/>
        </w:rPr>
        <w:t>"DÉCHETS CONFORMES AU 2.1.3.5.5" (par exemple "UN 3264, LIQUIDE INORGANIQUE, CORROSIF, ACIDE, N.S.A., 8, II, (E), DÉCHETS CONFORMES AU 2.1.3.5.5")</w:t>
      </w:r>
    </w:p>
    <w:p w:rsidR="00107527" w:rsidRPr="00F4493B" w:rsidRDefault="00885A1E" w:rsidP="00885A1E">
      <w:pPr>
        <w:pStyle w:val="SingleTxtG"/>
        <w:spacing w:before="240" w:after="0"/>
        <w:jc w:val="center"/>
        <w:rPr>
          <w:u w:val="single"/>
          <w:lang w:val="fr-CH"/>
        </w:rPr>
      </w:pPr>
      <w:r w:rsidRPr="00F4493B">
        <w:rPr>
          <w:u w:val="single"/>
          <w:lang w:val="fr-CH"/>
        </w:rPr>
        <w:tab/>
      </w:r>
      <w:r w:rsidRPr="00F4493B">
        <w:rPr>
          <w:u w:val="single"/>
          <w:lang w:val="fr-CH"/>
        </w:rPr>
        <w:tab/>
      </w:r>
      <w:r w:rsidRPr="00F4493B">
        <w:rPr>
          <w:u w:val="single"/>
          <w:lang w:val="fr-CH"/>
        </w:rPr>
        <w:tab/>
      </w:r>
      <w:r w:rsidRPr="00F4493B">
        <w:rPr>
          <w:u w:val="single"/>
          <w:lang w:val="fr-CH"/>
        </w:rPr>
        <w:tab/>
      </w:r>
    </w:p>
    <w:sectPr w:rsidR="00107527" w:rsidRPr="00F4493B" w:rsidSect="00E5571E">
      <w:headerReference w:type="even" r:id="rId8"/>
      <w:footerReference w:type="even" r:id="rId9"/>
      <w:head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47" w:rsidRDefault="00CB1847"/>
  </w:endnote>
  <w:endnote w:type="continuationSeparator" w:id="0">
    <w:p w:rsidR="00CB1847" w:rsidRDefault="00CB1847"/>
  </w:endnote>
  <w:endnote w:type="continuationNotice" w:id="1">
    <w:p w:rsidR="00CB1847" w:rsidRDefault="00CB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76633E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47" w:rsidRDefault="00CB1847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1847" w:rsidRDefault="00CB184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1847" w:rsidRDefault="00CB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B416BC" w:rsidP="00446B79">
    <w:pPr>
      <w:pBdr>
        <w:bottom w:val="single" w:sz="4" w:space="1" w:color="auto"/>
      </w:pBdr>
      <w:rPr>
        <w:b/>
      </w:rPr>
    </w:pPr>
    <w:r>
      <w:rPr>
        <w:b/>
      </w:rPr>
      <w:t>INF.</w:t>
    </w:r>
    <w:r w:rsidR="007E4801">
      <w:rPr>
        <w:b/>
      </w:rPr>
      <w:t>1</w:t>
    </w:r>
    <w:r w:rsidR="00D26DAB">
      <w:rPr>
        <w:b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proofState w:spelling="clean" w:grammar="clean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BA"/>
    <w:rsid w:val="00020790"/>
    <w:rsid w:val="00022219"/>
    <w:rsid w:val="000240B8"/>
    <w:rsid w:val="00024EAF"/>
    <w:rsid w:val="00026199"/>
    <w:rsid w:val="00032BCA"/>
    <w:rsid w:val="000401CE"/>
    <w:rsid w:val="000437FC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4E3"/>
    <w:rsid w:val="000755B2"/>
    <w:rsid w:val="00076BBB"/>
    <w:rsid w:val="00093541"/>
    <w:rsid w:val="00094E2E"/>
    <w:rsid w:val="0009700B"/>
    <w:rsid w:val="000B337A"/>
    <w:rsid w:val="000B6D84"/>
    <w:rsid w:val="000C09D0"/>
    <w:rsid w:val="000C242E"/>
    <w:rsid w:val="000C2965"/>
    <w:rsid w:val="000C51F5"/>
    <w:rsid w:val="000C54D8"/>
    <w:rsid w:val="000D3066"/>
    <w:rsid w:val="000E0CAD"/>
    <w:rsid w:val="000E30A2"/>
    <w:rsid w:val="000E65FF"/>
    <w:rsid w:val="000F2AA3"/>
    <w:rsid w:val="000F69B0"/>
    <w:rsid w:val="00105163"/>
    <w:rsid w:val="00107527"/>
    <w:rsid w:val="00112476"/>
    <w:rsid w:val="001124A6"/>
    <w:rsid w:val="00112D7A"/>
    <w:rsid w:val="00112E69"/>
    <w:rsid w:val="00114DCA"/>
    <w:rsid w:val="001177EE"/>
    <w:rsid w:val="00120027"/>
    <w:rsid w:val="00124305"/>
    <w:rsid w:val="0012656F"/>
    <w:rsid w:val="00127422"/>
    <w:rsid w:val="00143AB5"/>
    <w:rsid w:val="00144348"/>
    <w:rsid w:val="00147CAB"/>
    <w:rsid w:val="00151529"/>
    <w:rsid w:val="00151B62"/>
    <w:rsid w:val="00157446"/>
    <w:rsid w:val="00160290"/>
    <w:rsid w:val="0016094E"/>
    <w:rsid w:val="00164AFF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22048"/>
    <w:rsid w:val="0022283B"/>
    <w:rsid w:val="00224AF3"/>
    <w:rsid w:val="0025084A"/>
    <w:rsid w:val="00253571"/>
    <w:rsid w:val="002542E3"/>
    <w:rsid w:val="00254F21"/>
    <w:rsid w:val="00255A0D"/>
    <w:rsid w:val="002671C7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2408A"/>
    <w:rsid w:val="00337276"/>
    <w:rsid w:val="00340F33"/>
    <w:rsid w:val="00343A67"/>
    <w:rsid w:val="0034439A"/>
    <w:rsid w:val="00344697"/>
    <w:rsid w:val="0034563C"/>
    <w:rsid w:val="00347589"/>
    <w:rsid w:val="00363D31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C7C28"/>
    <w:rsid w:val="003E4DED"/>
    <w:rsid w:val="003E4E69"/>
    <w:rsid w:val="003F1AF8"/>
    <w:rsid w:val="003F270A"/>
    <w:rsid w:val="003F3BEE"/>
    <w:rsid w:val="004202BD"/>
    <w:rsid w:val="0042401A"/>
    <w:rsid w:val="00424E32"/>
    <w:rsid w:val="00425727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C0A88"/>
    <w:rsid w:val="004D4787"/>
    <w:rsid w:val="004E4C77"/>
    <w:rsid w:val="004E4CC3"/>
    <w:rsid w:val="004F2FD6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523C"/>
    <w:rsid w:val="00577F31"/>
    <w:rsid w:val="005827CD"/>
    <w:rsid w:val="005833CB"/>
    <w:rsid w:val="0058438D"/>
    <w:rsid w:val="005855E1"/>
    <w:rsid w:val="00587B4F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D4DC5"/>
    <w:rsid w:val="005D6641"/>
    <w:rsid w:val="005E4990"/>
    <w:rsid w:val="005E4D7E"/>
    <w:rsid w:val="005E6668"/>
    <w:rsid w:val="005E684E"/>
    <w:rsid w:val="005F34E6"/>
    <w:rsid w:val="005F7F11"/>
    <w:rsid w:val="0060173D"/>
    <w:rsid w:val="0060225A"/>
    <w:rsid w:val="00606072"/>
    <w:rsid w:val="0061013B"/>
    <w:rsid w:val="00612296"/>
    <w:rsid w:val="006166F4"/>
    <w:rsid w:val="006234CC"/>
    <w:rsid w:val="0062351F"/>
    <w:rsid w:val="006264EB"/>
    <w:rsid w:val="00631A46"/>
    <w:rsid w:val="00652A45"/>
    <w:rsid w:val="006530EF"/>
    <w:rsid w:val="00661D28"/>
    <w:rsid w:val="0067041E"/>
    <w:rsid w:val="0067429C"/>
    <w:rsid w:val="00674391"/>
    <w:rsid w:val="00680075"/>
    <w:rsid w:val="00684A12"/>
    <w:rsid w:val="00686978"/>
    <w:rsid w:val="006877DE"/>
    <w:rsid w:val="00694E75"/>
    <w:rsid w:val="00697CA2"/>
    <w:rsid w:val="006A5BAF"/>
    <w:rsid w:val="006B21E9"/>
    <w:rsid w:val="006B2756"/>
    <w:rsid w:val="006B63BD"/>
    <w:rsid w:val="006C1C84"/>
    <w:rsid w:val="006C595D"/>
    <w:rsid w:val="006C6B99"/>
    <w:rsid w:val="006E04EA"/>
    <w:rsid w:val="006E1FA4"/>
    <w:rsid w:val="006E6564"/>
    <w:rsid w:val="006F3225"/>
    <w:rsid w:val="006F55E4"/>
    <w:rsid w:val="006F765D"/>
    <w:rsid w:val="00703069"/>
    <w:rsid w:val="00704C49"/>
    <w:rsid w:val="00710B24"/>
    <w:rsid w:val="00715A30"/>
    <w:rsid w:val="00722D7D"/>
    <w:rsid w:val="007455D9"/>
    <w:rsid w:val="007503D0"/>
    <w:rsid w:val="00752D13"/>
    <w:rsid w:val="00753671"/>
    <w:rsid w:val="00753755"/>
    <w:rsid w:val="00753ABE"/>
    <w:rsid w:val="007557E5"/>
    <w:rsid w:val="0076518E"/>
    <w:rsid w:val="0076633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E4801"/>
    <w:rsid w:val="007F0D64"/>
    <w:rsid w:val="007F244B"/>
    <w:rsid w:val="0080168B"/>
    <w:rsid w:val="008059A3"/>
    <w:rsid w:val="00806A75"/>
    <w:rsid w:val="0081106B"/>
    <w:rsid w:val="00813543"/>
    <w:rsid w:val="00817A1C"/>
    <w:rsid w:val="00820A23"/>
    <w:rsid w:val="008309C1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85A1E"/>
    <w:rsid w:val="00890A0F"/>
    <w:rsid w:val="00890A31"/>
    <w:rsid w:val="00891507"/>
    <w:rsid w:val="00891D8D"/>
    <w:rsid w:val="008B2AFB"/>
    <w:rsid w:val="008B670D"/>
    <w:rsid w:val="008C13ED"/>
    <w:rsid w:val="008C37BA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1B61"/>
    <w:rsid w:val="00906FB6"/>
    <w:rsid w:val="00910F84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1C52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20A"/>
    <w:rsid w:val="00A1385B"/>
    <w:rsid w:val="00A25618"/>
    <w:rsid w:val="00A429BD"/>
    <w:rsid w:val="00A42D5D"/>
    <w:rsid w:val="00A44660"/>
    <w:rsid w:val="00A45656"/>
    <w:rsid w:val="00A46D5B"/>
    <w:rsid w:val="00A54C98"/>
    <w:rsid w:val="00A562D3"/>
    <w:rsid w:val="00A56814"/>
    <w:rsid w:val="00A677E6"/>
    <w:rsid w:val="00A70354"/>
    <w:rsid w:val="00A70A49"/>
    <w:rsid w:val="00A849EE"/>
    <w:rsid w:val="00A867D9"/>
    <w:rsid w:val="00A912CA"/>
    <w:rsid w:val="00AA6A46"/>
    <w:rsid w:val="00AB1878"/>
    <w:rsid w:val="00AB5FE4"/>
    <w:rsid w:val="00AC6DF1"/>
    <w:rsid w:val="00AD0200"/>
    <w:rsid w:val="00AE1969"/>
    <w:rsid w:val="00AE1C51"/>
    <w:rsid w:val="00AE7FB5"/>
    <w:rsid w:val="00AF095F"/>
    <w:rsid w:val="00AF7EB3"/>
    <w:rsid w:val="00B00A3D"/>
    <w:rsid w:val="00B01B63"/>
    <w:rsid w:val="00B0360E"/>
    <w:rsid w:val="00B051E1"/>
    <w:rsid w:val="00B10E78"/>
    <w:rsid w:val="00B12181"/>
    <w:rsid w:val="00B12D35"/>
    <w:rsid w:val="00B17DF9"/>
    <w:rsid w:val="00B416BC"/>
    <w:rsid w:val="00B44B0E"/>
    <w:rsid w:val="00B51EF8"/>
    <w:rsid w:val="00B54049"/>
    <w:rsid w:val="00B6345C"/>
    <w:rsid w:val="00B64AFA"/>
    <w:rsid w:val="00B65E66"/>
    <w:rsid w:val="00B756C8"/>
    <w:rsid w:val="00B75796"/>
    <w:rsid w:val="00B82511"/>
    <w:rsid w:val="00B92A07"/>
    <w:rsid w:val="00B92EB7"/>
    <w:rsid w:val="00BA1B8B"/>
    <w:rsid w:val="00BA1D19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1E5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A50AB"/>
    <w:rsid w:val="00CB1847"/>
    <w:rsid w:val="00CC041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26DAB"/>
    <w:rsid w:val="00D41080"/>
    <w:rsid w:val="00D42E3A"/>
    <w:rsid w:val="00D53053"/>
    <w:rsid w:val="00D53C6B"/>
    <w:rsid w:val="00D56FD2"/>
    <w:rsid w:val="00D57F1B"/>
    <w:rsid w:val="00D60487"/>
    <w:rsid w:val="00D61720"/>
    <w:rsid w:val="00D66C42"/>
    <w:rsid w:val="00D67FEA"/>
    <w:rsid w:val="00D71354"/>
    <w:rsid w:val="00D773F9"/>
    <w:rsid w:val="00D854B5"/>
    <w:rsid w:val="00D85503"/>
    <w:rsid w:val="00D8691E"/>
    <w:rsid w:val="00D86CD5"/>
    <w:rsid w:val="00D9326B"/>
    <w:rsid w:val="00D956D9"/>
    <w:rsid w:val="00DA3149"/>
    <w:rsid w:val="00DA53FF"/>
    <w:rsid w:val="00DC1FB4"/>
    <w:rsid w:val="00DE0024"/>
    <w:rsid w:val="00DE024B"/>
    <w:rsid w:val="00DE4089"/>
    <w:rsid w:val="00DF2DC6"/>
    <w:rsid w:val="00DF410F"/>
    <w:rsid w:val="00E0067F"/>
    <w:rsid w:val="00E073BA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571E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347A"/>
    <w:rsid w:val="00EB4128"/>
    <w:rsid w:val="00EB4E6A"/>
    <w:rsid w:val="00EC23E6"/>
    <w:rsid w:val="00EC3683"/>
    <w:rsid w:val="00EC550B"/>
    <w:rsid w:val="00ED44FE"/>
    <w:rsid w:val="00ED5F4B"/>
    <w:rsid w:val="00EE470B"/>
    <w:rsid w:val="00EE502F"/>
    <w:rsid w:val="00EF3C3C"/>
    <w:rsid w:val="00EF75C7"/>
    <w:rsid w:val="00F06314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4493B"/>
    <w:rsid w:val="00F51635"/>
    <w:rsid w:val="00F5187E"/>
    <w:rsid w:val="00F609B7"/>
    <w:rsid w:val="00F711AA"/>
    <w:rsid w:val="00F714AB"/>
    <w:rsid w:val="00F729F8"/>
    <w:rsid w:val="00F75D32"/>
    <w:rsid w:val="00F7696D"/>
    <w:rsid w:val="00F84B81"/>
    <w:rsid w:val="00F902C9"/>
    <w:rsid w:val="00F92BA9"/>
    <w:rsid w:val="00FA1363"/>
    <w:rsid w:val="00FA58F8"/>
    <w:rsid w:val="00FC30CF"/>
    <w:rsid w:val="00FC321C"/>
    <w:rsid w:val="00FC6D5D"/>
    <w:rsid w:val="00FD3E57"/>
    <w:rsid w:val="00FD5B2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4DB171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uiPriority w:val="99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527"/>
    <w:rPr>
      <w:rFonts w:ascii="Courier New" w:hAnsi="Courier New" w:cs="Courier New"/>
      <w:lang w:val="en-GB" w:eastAsia="en-US"/>
    </w:rPr>
  </w:style>
  <w:style w:type="character" w:customStyle="1" w:styleId="H23GChar">
    <w:name w:val="_ H_2/3_G Char"/>
    <w:link w:val="H23G"/>
    <w:rsid w:val="00E073BA"/>
    <w:rPr>
      <w:b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C1C52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22B9-F5BA-4340-A071-E6CA9E76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ECE-ADN-45-Corr.1</cp:lastModifiedBy>
  <cp:revision>26</cp:revision>
  <cp:lastPrinted>2018-07-23T08:43:00Z</cp:lastPrinted>
  <dcterms:created xsi:type="dcterms:W3CDTF">2018-08-07T08:51:00Z</dcterms:created>
  <dcterms:modified xsi:type="dcterms:W3CDTF">2018-08-09T10:08:00Z</dcterms:modified>
</cp:coreProperties>
</file>