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B4DC" w14:textId="63DE1F3C" w:rsidR="00FF3208" w:rsidRPr="00FF3208" w:rsidRDefault="00FF3208" w:rsidP="00FF3208">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FF3208">
        <w:rPr>
          <w:rFonts w:ascii="Arial" w:eastAsia="Arial" w:hAnsi="Arial" w:cs="Arial"/>
          <w:bCs/>
          <w:noProof/>
          <w:szCs w:val="24"/>
          <w:lang w:val="fr-FR"/>
        </w:rPr>
        <w:drawing>
          <wp:anchor distT="0" distB="0" distL="114300" distR="114300" simplePos="0" relativeHeight="251659264" behindDoc="0" locked="0" layoutInCell="1" allowOverlap="1" wp14:anchorId="5A892D73" wp14:editId="5BA17822">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FF3208">
        <w:rPr>
          <w:rFonts w:ascii="Arial" w:eastAsia="Arial" w:hAnsi="Arial" w:cs="Arial"/>
          <w:bCs/>
          <w:szCs w:val="24"/>
          <w:lang w:eastAsia="de-DE"/>
        </w:rPr>
        <w:t>CCNR-ZKR/ADN/WP.15/AC.2/32/INF</w:t>
      </w:r>
      <w:r w:rsidR="0021025D">
        <w:rPr>
          <w:rFonts w:ascii="Arial" w:eastAsia="Arial" w:hAnsi="Arial" w:cs="Arial"/>
          <w:bCs/>
          <w:szCs w:val="24"/>
          <w:lang w:eastAsia="de-DE"/>
        </w:rPr>
        <w:t>14</w:t>
      </w:r>
    </w:p>
    <w:p w14:paraId="0DDD061C" w14:textId="77777777" w:rsidR="00FF3208" w:rsidRPr="00FF3208" w:rsidRDefault="00FF3208" w:rsidP="00FF3208">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sidRPr="00FF3208">
        <w:rPr>
          <w:rFonts w:ascii="Arial" w:eastAsia="Arial" w:hAnsi="Arial" w:cs="Arial"/>
          <w:szCs w:val="24"/>
          <w:lang w:eastAsia="de-DE"/>
        </w:rPr>
        <w:t>11. Januar 2018</w:t>
      </w:r>
    </w:p>
    <w:p w14:paraId="73401DC3" w14:textId="4649201A" w:rsidR="00FF3208" w:rsidRPr="00FF3208" w:rsidRDefault="00FF3208" w:rsidP="00FF3208">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lang w:eastAsia="de-DE"/>
        </w:rPr>
      </w:pPr>
      <w:r w:rsidRPr="00FF3208">
        <w:rPr>
          <w:rFonts w:ascii="Arial" w:eastAsia="Arial" w:hAnsi="Arial" w:cs="Arial"/>
          <w:sz w:val="16"/>
          <w:szCs w:val="24"/>
          <w:lang w:eastAsia="de-DE"/>
        </w:rPr>
        <w:t xml:space="preserve">Or. </w:t>
      </w:r>
      <w:r w:rsidR="004C128D">
        <w:rPr>
          <w:rFonts w:ascii="Arial" w:eastAsia="Arial" w:hAnsi="Arial" w:cs="Arial"/>
          <w:sz w:val="16"/>
          <w:szCs w:val="24"/>
        </w:rPr>
        <w:t>DEUTSCH</w:t>
      </w:r>
    </w:p>
    <w:p w14:paraId="7DC2A784" w14:textId="77777777" w:rsidR="00FF3208" w:rsidRPr="00250138"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14:paraId="2FA15F87" w14:textId="77777777" w:rsidR="00FF3208" w:rsidRPr="00250138"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14:paraId="5CDA7929" w14:textId="77777777" w:rsidR="00FF3208" w:rsidRPr="00FF3208"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FF3208">
        <w:rPr>
          <w:rFonts w:ascii="Arial" w:hAnsi="Arial"/>
          <w:noProof/>
          <w:snapToGrid w:val="0"/>
          <w:sz w:val="16"/>
          <w:szCs w:val="24"/>
        </w:rPr>
        <w:t>GEMEINSAME EXPERTENTAGUNG FÜR DIE DEM</w:t>
      </w:r>
    </w:p>
    <w:p w14:paraId="4466FFCC" w14:textId="77777777" w:rsidR="00FF3208" w:rsidRPr="00FF3208"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FF3208">
        <w:rPr>
          <w:rFonts w:ascii="Arial" w:hAnsi="Arial"/>
          <w:noProof/>
          <w:snapToGrid w:val="0"/>
          <w:sz w:val="16"/>
          <w:szCs w:val="24"/>
        </w:rPr>
        <w:t>ÜBEREINKOMMEN ÜBER DIE INTERNATIONALE BEFÖRDERUNG</w:t>
      </w:r>
    </w:p>
    <w:p w14:paraId="3E701026" w14:textId="77777777" w:rsidR="00FF3208" w:rsidRPr="00FF3208"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FF3208">
        <w:rPr>
          <w:rFonts w:ascii="Arial" w:hAnsi="Arial"/>
          <w:noProof/>
          <w:snapToGrid w:val="0"/>
          <w:sz w:val="16"/>
          <w:szCs w:val="24"/>
        </w:rPr>
        <w:t>VON GEFÄHRLICHEN GÜTERN AUF BINNENWASSERSTRASSEN</w:t>
      </w:r>
    </w:p>
    <w:p w14:paraId="6C284FE1" w14:textId="77777777" w:rsidR="00FF3208" w:rsidRPr="00FF3208"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FF3208">
        <w:rPr>
          <w:rFonts w:ascii="Arial" w:hAnsi="Arial"/>
          <w:noProof/>
          <w:snapToGrid w:val="0"/>
          <w:sz w:val="16"/>
          <w:szCs w:val="24"/>
        </w:rPr>
        <w:t>BEIGEFÜGTE VERORDNUNG (ADN)</w:t>
      </w:r>
    </w:p>
    <w:p w14:paraId="618D4EEA" w14:textId="77777777" w:rsidR="00FF3208" w:rsidRPr="00FF3208"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FF3208">
        <w:rPr>
          <w:rFonts w:ascii="Arial" w:hAnsi="Arial"/>
          <w:noProof/>
          <w:snapToGrid w:val="0"/>
          <w:sz w:val="16"/>
          <w:szCs w:val="24"/>
        </w:rPr>
        <w:t>(SICHERHEITSAUSSCHUSS)</w:t>
      </w:r>
    </w:p>
    <w:p w14:paraId="051961AB" w14:textId="77777777" w:rsidR="00FF3208" w:rsidRPr="00FF3208" w:rsidRDefault="00FF3208" w:rsidP="00FF3208">
      <w:pPr>
        <w:widowControl/>
        <w:tabs>
          <w:tab w:val="left" w:pos="2977"/>
        </w:tabs>
        <w:overflowPunct/>
        <w:autoSpaceDE/>
        <w:autoSpaceDN/>
        <w:adjustRightInd/>
        <w:ind w:left="3960" w:firstLine="0"/>
        <w:jc w:val="left"/>
        <w:textAlignment w:val="auto"/>
        <w:rPr>
          <w:rFonts w:ascii="Arial" w:hAnsi="Arial"/>
          <w:snapToGrid w:val="0"/>
          <w:sz w:val="16"/>
          <w:szCs w:val="24"/>
        </w:rPr>
      </w:pPr>
      <w:r w:rsidRPr="00FF3208">
        <w:rPr>
          <w:rFonts w:ascii="Arial" w:hAnsi="Arial"/>
          <w:snapToGrid w:val="0"/>
          <w:sz w:val="16"/>
          <w:szCs w:val="24"/>
        </w:rPr>
        <w:t>(32. Tagung, Genf, 22. bis 26.Januar 2018)</w:t>
      </w:r>
    </w:p>
    <w:p w14:paraId="39C49DDC" w14:textId="77777777" w:rsidR="00FF3208" w:rsidRPr="00FF3208" w:rsidRDefault="00FF3208" w:rsidP="00FF3208">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FF3208">
        <w:rPr>
          <w:rFonts w:ascii="Arial" w:hAnsi="Arial" w:cs="Arial"/>
          <w:sz w:val="16"/>
          <w:szCs w:val="16"/>
          <w:lang w:eastAsia="en-US"/>
        </w:rPr>
        <w:t>Punkt 5 a) zur vorläufigen Tagesordnung</w:t>
      </w:r>
    </w:p>
    <w:p w14:paraId="46E8D85D" w14:textId="77777777" w:rsidR="00FF3208" w:rsidRPr="00FF3208" w:rsidRDefault="00FF3208" w:rsidP="00FF3208">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FF3208">
        <w:rPr>
          <w:rFonts w:ascii="Arial" w:hAnsi="Arial" w:cs="Arial"/>
          <w:b/>
          <w:sz w:val="16"/>
          <w:szCs w:val="16"/>
          <w:lang w:eastAsia="en-US"/>
        </w:rPr>
        <w:t>Vorschläge für Änderungen der dem ADN beigefügten Verordnung:</w:t>
      </w:r>
      <w:r w:rsidRPr="00FF3208">
        <w:rPr>
          <w:rFonts w:ascii="Arial" w:hAnsi="Arial" w:cs="Arial"/>
          <w:b/>
          <w:sz w:val="16"/>
          <w:szCs w:val="16"/>
          <w:lang w:eastAsia="en-US"/>
        </w:rPr>
        <w:tab/>
        <w:t>Weitere Vorschläge</w:t>
      </w:r>
    </w:p>
    <w:p w14:paraId="6DC140A6" w14:textId="77777777" w:rsidR="00FF3208" w:rsidRPr="00FF3208" w:rsidRDefault="00FF3208" w:rsidP="00FF3208">
      <w:pPr>
        <w:keepNext/>
        <w:keepLines/>
        <w:widowControl/>
        <w:suppressAutoHyphens/>
        <w:overflowPunct/>
        <w:autoSpaceDE/>
        <w:autoSpaceDN/>
        <w:adjustRightInd/>
        <w:snapToGrid w:val="0"/>
        <w:spacing w:before="360" w:after="240" w:line="276" w:lineRule="auto"/>
        <w:ind w:right="567" w:firstLine="0"/>
        <w:jc w:val="left"/>
        <w:textAlignment w:val="auto"/>
        <w:rPr>
          <w:rFonts w:eastAsia="Calibri"/>
          <w:b/>
          <w:bCs/>
          <w:iCs/>
          <w:sz w:val="28"/>
          <w:szCs w:val="28"/>
        </w:rPr>
      </w:pPr>
      <w:r w:rsidRPr="00FF3208">
        <w:rPr>
          <w:rFonts w:eastAsia="Calibri"/>
          <w:b/>
          <w:bCs/>
          <w:iCs/>
          <w:sz w:val="28"/>
          <w:szCs w:val="28"/>
        </w:rPr>
        <w:t>Implementierung des modifizierten Explosionsschutzkonzeptes auf Binnenschiffen - Nachtrag</w:t>
      </w:r>
    </w:p>
    <w:p w14:paraId="29DA0A7B" w14:textId="77777777" w:rsidR="00FF3208" w:rsidRPr="00FF3208" w:rsidRDefault="00FF3208" w:rsidP="00FF3208">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FF3208">
        <w:rPr>
          <w:b/>
          <w:sz w:val="24"/>
        </w:rPr>
        <w:t>Vorgelegt von Deutschland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FF3208" w:rsidRPr="00FF3208" w14:paraId="189DBC6B" w14:textId="77777777" w:rsidTr="004C76DA">
        <w:trPr>
          <w:jc w:val="center"/>
        </w:trPr>
        <w:tc>
          <w:tcPr>
            <w:tcW w:w="2330" w:type="dxa"/>
          </w:tcPr>
          <w:p w14:paraId="2CD0D2FF" w14:textId="77777777" w:rsidR="00FF3208" w:rsidRPr="00FF3208" w:rsidRDefault="00FF3208" w:rsidP="004C76DA">
            <w:pPr>
              <w:tabs>
                <w:tab w:val="left" w:pos="284"/>
              </w:tabs>
              <w:spacing w:before="120" w:after="120"/>
              <w:rPr>
                <w:i/>
                <w:lang w:eastAsia="en-US"/>
              </w:rPr>
            </w:pPr>
            <w:r w:rsidRPr="00FF3208">
              <w:rPr>
                <w:rFonts w:eastAsia="Arial"/>
                <w:i/>
                <w:lang w:eastAsia="en-US"/>
              </w:rPr>
              <w:t>Zusammenfassung</w:t>
            </w:r>
          </w:p>
        </w:tc>
        <w:tc>
          <w:tcPr>
            <w:tcW w:w="7309" w:type="dxa"/>
          </w:tcPr>
          <w:p w14:paraId="623B50F5" w14:textId="77777777" w:rsidR="00FF3208" w:rsidRPr="00FF3208" w:rsidRDefault="00FF3208" w:rsidP="004C76DA">
            <w:pPr>
              <w:spacing w:before="120" w:after="120"/>
              <w:rPr>
                <w:lang w:eastAsia="en-US"/>
              </w:rPr>
            </w:pPr>
          </w:p>
        </w:tc>
      </w:tr>
      <w:tr w:rsidR="00FF3208" w:rsidRPr="00FF3208" w14:paraId="72F3FEB3" w14:textId="77777777" w:rsidTr="004C76DA">
        <w:trPr>
          <w:jc w:val="center"/>
        </w:trPr>
        <w:tc>
          <w:tcPr>
            <w:tcW w:w="2330" w:type="dxa"/>
            <w:tcBorders>
              <w:bottom w:val="single" w:sz="4" w:space="0" w:color="auto"/>
            </w:tcBorders>
          </w:tcPr>
          <w:p w14:paraId="7652208C" w14:textId="77777777" w:rsidR="00FF3208" w:rsidRPr="00FF3208" w:rsidRDefault="00FF3208" w:rsidP="004C76DA">
            <w:pPr>
              <w:tabs>
                <w:tab w:val="left" w:pos="284"/>
              </w:tabs>
              <w:spacing w:before="120" w:after="120"/>
              <w:jc w:val="left"/>
              <w:rPr>
                <w:b/>
                <w:lang w:eastAsia="en-US"/>
              </w:rPr>
            </w:pPr>
            <w:r w:rsidRPr="00FF3208">
              <w:rPr>
                <w:b/>
                <w:lang w:eastAsia="en-US"/>
              </w:rPr>
              <w:t>Analytische</w:t>
            </w:r>
          </w:p>
          <w:p w14:paraId="47B7863B" w14:textId="77777777" w:rsidR="00FF3208" w:rsidRPr="00FF3208" w:rsidRDefault="00FF3208" w:rsidP="004C76DA">
            <w:pPr>
              <w:tabs>
                <w:tab w:val="left" w:pos="284"/>
              </w:tabs>
              <w:spacing w:before="120" w:after="120"/>
              <w:jc w:val="left"/>
              <w:rPr>
                <w:b/>
                <w:lang w:eastAsia="en-US"/>
              </w:rPr>
            </w:pPr>
            <w:r w:rsidRPr="00FF3208">
              <w:rPr>
                <w:b/>
                <w:lang w:eastAsia="en-US"/>
              </w:rPr>
              <w:t>Zusammenfassung:</w:t>
            </w:r>
          </w:p>
        </w:tc>
        <w:tc>
          <w:tcPr>
            <w:tcW w:w="7309" w:type="dxa"/>
            <w:tcBorders>
              <w:bottom w:val="single" w:sz="4" w:space="0" w:color="auto"/>
            </w:tcBorders>
          </w:tcPr>
          <w:p w14:paraId="66A56A83" w14:textId="77777777" w:rsidR="00FF3208" w:rsidRPr="00FF3208" w:rsidRDefault="00FF3208" w:rsidP="004C76DA">
            <w:pPr>
              <w:spacing w:before="120" w:after="120"/>
              <w:ind w:left="11" w:firstLine="0"/>
              <w:rPr>
                <w:rFonts w:cs="Arial"/>
              </w:rPr>
            </w:pPr>
            <w:r w:rsidRPr="00FF3208">
              <w:rPr>
                <w:rFonts w:cs="Arial"/>
              </w:rPr>
              <w:t>Bei der Durchsicht der im November veröffentlichten Sitzungsdokumente, die den Explosionsschutz betreffen, wurde einige redaktionelle Mängel und inhaltliche Mängel der in den vorhergehenden Sitzungen beratenen Änderungsvorschläge festgestellt, die z.T. negative Auswirkungen auf das Schutzniveau haben können.</w:t>
            </w:r>
          </w:p>
        </w:tc>
      </w:tr>
      <w:tr w:rsidR="00FF3208" w:rsidRPr="00FF3208" w14:paraId="74AD5210" w14:textId="77777777" w:rsidTr="004C76DA">
        <w:trPr>
          <w:jc w:val="center"/>
        </w:trPr>
        <w:tc>
          <w:tcPr>
            <w:tcW w:w="2330" w:type="dxa"/>
            <w:tcBorders>
              <w:bottom w:val="single" w:sz="4" w:space="0" w:color="auto"/>
            </w:tcBorders>
          </w:tcPr>
          <w:p w14:paraId="157F1470" w14:textId="77777777" w:rsidR="00FF3208" w:rsidRPr="00FF3208" w:rsidRDefault="00FF3208" w:rsidP="004C76DA">
            <w:pPr>
              <w:spacing w:before="120" w:after="120"/>
              <w:ind w:left="0" w:firstLine="0"/>
              <w:jc w:val="left"/>
              <w:rPr>
                <w:b/>
                <w:lang w:eastAsia="en-US"/>
              </w:rPr>
            </w:pPr>
            <w:r w:rsidRPr="00FF3208">
              <w:rPr>
                <w:b/>
                <w:lang w:eastAsia="en-US"/>
              </w:rPr>
              <w:t>Zu ergreifende Maßnahme:</w:t>
            </w:r>
          </w:p>
        </w:tc>
        <w:tc>
          <w:tcPr>
            <w:tcW w:w="7309" w:type="dxa"/>
            <w:tcBorders>
              <w:bottom w:val="single" w:sz="4" w:space="0" w:color="auto"/>
            </w:tcBorders>
          </w:tcPr>
          <w:p w14:paraId="473FC675" w14:textId="77777777" w:rsidR="00FF3208" w:rsidRPr="00FF3208" w:rsidRDefault="00FF3208" w:rsidP="004C76DA">
            <w:pPr>
              <w:spacing w:before="120" w:after="120"/>
              <w:ind w:left="11" w:firstLine="0"/>
              <w:rPr>
                <w:rFonts w:cs="Arial"/>
              </w:rPr>
            </w:pPr>
            <w:r w:rsidRPr="00FF3208">
              <w:rPr>
                <w:rFonts w:cs="Arial"/>
              </w:rPr>
              <w:t>Überarbeitung einzelner Änderungsvorschläge.</w:t>
            </w:r>
          </w:p>
        </w:tc>
      </w:tr>
      <w:tr w:rsidR="00FF3208" w:rsidRPr="00FF3208" w14:paraId="28BAA1DB" w14:textId="77777777" w:rsidTr="004C76DA">
        <w:trPr>
          <w:jc w:val="center"/>
        </w:trPr>
        <w:tc>
          <w:tcPr>
            <w:tcW w:w="2330" w:type="dxa"/>
            <w:tcBorders>
              <w:top w:val="single" w:sz="4" w:space="0" w:color="auto"/>
            </w:tcBorders>
          </w:tcPr>
          <w:p w14:paraId="38322EAB" w14:textId="77777777" w:rsidR="00FF3208" w:rsidRPr="00FF3208" w:rsidRDefault="00FF3208" w:rsidP="004C76DA">
            <w:pPr>
              <w:tabs>
                <w:tab w:val="left" w:pos="284"/>
              </w:tabs>
              <w:jc w:val="left"/>
              <w:rPr>
                <w:b/>
                <w:lang w:eastAsia="en-US"/>
              </w:rPr>
            </w:pPr>
            <w:r w:rsidRPr="00FF3208">
              <w:rPr>
                <w:b/>
                <w:lang w:eastAsia="en-US"/>
              </w:rPr>
              <w:t>Verbundene Dokumente:</w:t>
            </w:r>
          </w:p>
        </w:tc>
        <w:tc>
          <w:tcPr>
            <w:tcW w:w="7309" w:type="dxa"/>
            <w:tcBorders>
              <w:top w:val="single" w:sz="4" w:space="0" w:color="auto"/>
            </w:tcBorders>
          </w:tcPr>
          <w:p w14:paraId="78351D86" w14:textId="77777777" w:rsidR="00FF3208" w:rsidRPr="00FF3208" w:rsidRDefault="00FF3208" w:rsidP="004C76DA">
            <w:pPr>
              <w:ind w:left="0" w:firstLine="0"/>
              <w:jc w:val="left"/>
              <w:rPr>
                <w:rFonts w:cs="Arial"/>
              </w:rPr>
            </w:pPr>
            <w:r w:rsidRPr="00FF3208">
              <w:rPr>
                <w:rFonts w:cs="Arial"/>
              </w:rPr>
              <w:t>CCNR-ZKR/ADN/WP.15/AC.2/2018/11</w:t>
            </w:r>
          </w:p>
        </w:tc>
      </w:tr>
    </w:tbl>
    <w:p w14:paraId="1AE011EC" w14:textId="77777777" w:rsidR="00FF3208" w:rsidRPr="00FF3208" w:rsidRDefault="00FF3208" w:rsidP="00FF3208">
      <w:pPr>
        <w:tabs>
          <w:tab w:val="left" w:pos="567"/>
          <w:tab w:val="left" w:pos="1418"/>
        </w:tabs>
        <w:spacing w:line="240" w:lineRule="atLeast"/>
        <w:rPr>
          <w:b/>
          <w:sz w:val="24"/>
          <w:szCs w:val="18"/>
        </w:rPr>
      </w:pPr>
    </w:p>
    <w:p w14:paraId="211C4987" w14:textId="77777777" w:rsidR="00FF3208" w:rsidRPr="00FF3208" w:rsidRDefault="00FF3208" w:rsidP="00FF3208">
      <w:pPr>
        <w:tabs>
          <w:tab w:val="left" w:pos="567"/>
          <w:tab w:val="left" w:pos="1418"/>
        </w:tabs>
        <w:spacing w:line="240" w:lineRule="atLeast"/>
        <w:rPr>
          <w:b/>
          <w:sz w:val="24"/>
          <w:szCs w:val="18"/>
        </w:rPr>
      </w:pPr>
    </w:p>
    <w:p w14:paraId="553D7BC3" w14:textId="77777777" w:rsidR="00FF3208" w:rsidRPr="00FF3208" w:rsidRDefault="00FF3208" w:rsidP="00FF3208">
      <w:pPr>
        <w:tabs>
          <w:tab w:val="left" w:pos="567"/>
          <w:tab w:val="left" w:pos="1418"/>
        </w:tabs>
        <w:spacing w:line="240" w:lineRule="atLeast"/>
        <w:rPr>
          <w:b/>
          <w:sz w:val="24"/>
          <w:szCs w:val="18"/>
        </w:rPr>
      </w:pPr>
      <w:r w:rsidRPr="00FF3208">
        <w:rPr>
          <w:b/>
          <w:sz w:val="24"/>
          <w:szCs w:val="18"/>
        </w:rPr>
        <w:t>I.</w:t>
      </w:r>
      <w:r w:rsidRPr="00FF3208">
        <w:rPr>
          <w:b/>
          <w:sz w:val="24"/>
          <w:szCs w:val="18"/>
        </w:rPr>
        <w:tab/>
        <w:t>Anträge und Begründung</w:t>
      </w:r>
    </w:p>
    <w:p w14:paraId="32C1B8C3" w14:textId="77777777" w:rsidR="00FF3208" w:rsidRPr="00FF3208" w:rsidRDefault="00FF3208" w:rsidP="00FF3208">
      <w:pPr>
        <w:tabs>
          <w:tab w:val="left" w:pos="567"/>
        </w:tabs>
        <w:spacing w:line="240" w:lineRule="atLeast"/>
        <w:ind w:left="0" w:firstLine="0"/>
        <w:contextualSpacing/>
        <w:rPr>
          <w:rFonts w:cs="Arial"/>
        </w:rPr>
      </w:pPr>
    </w:p>
    <w:p w14:paraId="4CD9F146" w14:textId="77777777" w:rsidR="00FF3208" w:rsidRPr="00FF3208" w:rsidRDefault="00FF3208" w:rsidP="00FF3208">
      <w:pPr>
        <w:tabs>
          <w:tab w:val="left" w:pos="567"/>
        </w:tabs>
        <w:spacing w:line="240" w:lineRule="atLeast"/>
        <w:ind w:left="0" w:firstLine="0"/>
        <w:contextualSpacing/>
        <w:rPr>
          <w:rFonts w:cs="Arial"/>
        </w:rPr>
      </w:pPr>
      <w:r w:rsidRPr="00FF3208">
        <w:rPr>
          <w:rFonts w:cs="Arial"/>
        </w:rPr>
        <w:t>1.</w:t>
      </w:r>
      <w:r w:rsidRPr="00FF3208">
        <w:rPr>
          <w:rFonts w:cs="Arial"/>
        </w:rPr>
        <w:tab/>
        <w:t xml:space="preserve">Die Änderung zu Abschnitt 1.2.1, Begriffsbestimmung für </w:t>
      </w:r>
      <w:r w:rsidRPr="00FF3208">
        <w:rPr>
          <w:rFonts w:cs="Arial"/>
          <w:b/>
          <w:i/>
        </w:rPr>
        <w:t xml:space="preserve">„Schutzhandschuhe“ </w:t>
      </w:r>
      <w:r w:rsidRPr="00FF3208">
        <w:rPr>
          <w:rFonts w:cs="Arial"/>
        </w:rPr>
        <w:t>wie folgt ersetzen:</w:t>
      </w:r>
    </w:p>
    <w:p w14:paraId="6009DB80" w14:textId="77777777" w:rsidR="00FF3208" w:rsidRPr="00FF3208" w:rsidRDefault="00FF3208" w:rsidP="00FF3208">
      <w:pPr>
        <w:tabs>
          <w:tab w:val="left" w:pos="567"/>
        </w:tabs>
        <w:spacing w:line="240" w:lineRule="atLeast"/>
        <w:ind w:left="0" w:firstLine="0"/>
        <w:contextualSpacing/>
        <w:rPr>
          <w:rFonts w:cs="Arial"/>
        </w:rPr>
      </w:pPr>
    </w:p>
    <w:p w14:paraId="7536ABDE" w14:textId="23885572" w:rsidR="00FF3208" w:rsidRPr="00FF3208" w:rsidRDefault="00FF3208" w:rsidP="00AA3039">
      <w:pPr>
        <w:tabs>
          <w:tab w:val="left" w:pos="1701"/>
          <w:tab w:val="left" w:pos="2268"/>
        </w:tabs>
        <w:ind w:left="567" w:right="-2" w:firstLine="0"/>
        <w:rPr>
          <w:b/>
          <w:i/>
          <w:iCs/>
          <w:lang w:eastAsia="de-DE" w:bidi="de-DE"/>
        </w:rPr>
      </w:pPr>
      <w:r w:rsidRPr="00FF3208">
        <w:rPr>
          <w:iCs/>
          <w:lang w:eastAsia="de-DE" w:bidi="de-DE"/>
        </w:rPr>
        <w:t>„1.2.1</w:t>
      </w:r>
      <w:r w:rsidRPr="00FF3208">
        <w:rPr>
          <w:iCs/>
          <w:lang w:eastAsia="de-DE" w:bidi="de-DE"/>
        </w:rPr>
        <w:tab/>
        <w:t xml:space="preserve">Die Begriffsbestimmung für </w:t>
      </w:r>
      <w:r w:rsidRPr="00FF3208">
        <w:rPr>
          <w:b/>
          <w:i/>
          <w:iCs/>
          <w:lang w:eastAsia="de-DE" w:bidi="de-DE"/>
        </w:rPr>
        <w:t xml:space="preserve">„Schutzhandschuhe“ </w:t>
      </w:r>
      <w:r w:rsidRPr="00FF3208">
        <w:rPr>
          <w:iCs/>
          <w:lang w:eastAsia="de-DE" w:bidi="de-DE"/>
        </w:rPr>
        <w:t>erhält folgenden Wortlaut:</w:t>
      </w:r>
    </w:p>
    <w:p w14:paraId="4D6C52D7" w14:textId="77777777" w:rsidR="00FF3208" w:rsidRPr="00FF3208" w:rsidRDefault="00FF3208" w:rsidP="00AA3039">
      <w:pPr>
        <w:tabs>
          <w:tab w:val="left" w:pos="1701"/>
          <w:tab w:val="left" w:pos="2268"/>
        </w:tabs>
        <w:ind w:left="567" w:right="1134" w:hanging="284"/>
        <w:rPr>
          <w:bCs/>
          <w:i/>
          <w:iCs/>
          <w:lang w:eastAsia="de-DE"/>
        </w:rPr>
      </w:pPr>
    </w:p>
    <w:p w14:paraId="4FB2F139" w14:textId="77777777" w:rsidR="00FF3208" w:rsidRPr="00FF3208" w:rsidRDefault="00FF3208" w:rsidP="00AA3039">
      <w:pPr>
        <w:tabs>
          <w:tab w:val="left" w:pos="1701"/>
        </w:tabs>
        <w:spacing w:line="240" w:lineRule="atLeast"/>
        <w:ind w:left="567" w:firstLine="0"/>
        <w:rPr>
          <w:szCs w:val="18"/>
        </w:rPr>
      </w:pPr>
      <w:r w:rsidRPr="00FF3208">
        <w:rPr>
          <w:b/>
          <w:i/>
          <w:szCs w:val="18"/>
        </w:rPr>
        <w:t>„Schutzhandschuhe:</w:t>
      </w:r>
      <w:r w:rsidRPr="00FF3208">
        <w:rPr>
          <w:szCs w:val="18"/>
        </w:rPr>
        <w:t xml:space="preserve"> Handschuhe, die die Hände des Trägers bei Arbeiten in einem Gefahrenbereich schützen. Die Wahl der geeigneten Schutzhandschuhe muss entsprechend den auftretenden Gefahren erfolgen (siehe z. B. Europäische Normen </w:t>
      </w:r>
      <w:r w:rsidRPr="00FF3208">
        <w:rPr>
          <w:rFonts w:eastAsia="Calibri"/>
          <w:szCs w:val="18"/>
        </w:rPr>
        <w:t>EN 374-1:2003, EN 374-2:2015 oder EN 374-4:2014</w:t>
      </w:r>
      <w:r w:rsidRPr="00FF3208">
        <w:rPr>
          <w:szCs w:val="18"/>
        </w:rPr>
        <w:t>).</w:t>
      </w:r>
      <w:r w:rsidRPr="00FF3208">
        <w:rPr>
          <w:rFonts w:eastAsia="Calibri"/>
          <w:szCs w:val="18"/>
        </w:rPr>
        <w:t xml:space="preserve"> Bei Gefahren durch elektrostatische Aufladung/Entladung müssen sie der Europäische Norm EN 16350:2015 entsprechen.“.“.</w:t>
      </w:r>
    </w:p>
    <w:p w14:paraId="1EDCFFDC" w14:textId="77777777" w:rsidR="00FF3208" w:rsidRPr="00FF3208" w:rsidRDefault="00FF3208" w:rsidP="00FF3208">
      <w:pPr>
        <w:tabs>
          <w:tab w:val="left" w:pos="567"/>
        </w:tabs>
        <w:spacing w:line="240" w:lineRule="atLeast"/>
        <w:ind w:left="0" w:firstLine="0"/>
        <w:contextualSpacing/>
        <w:rPr>
          <w:rFonts w:cs="Arial"/>
        </w:rPr>
      </w:pPr>
    </w:p>
    <w:p w14:paraId="6EB7F336" w14:textId="77777777" w:rsidR="00AA3039" w:rsidRDefault="00AA3039">
      <w:pPr>
        <w:widowControl/>
        <w:overflowPunct/>
        <w:autoSpaceDE/>
        <w:autoSpaceDN/>
        <w:adjustRightInd/>
        <w:ind w:left="0" w:firstLine="0"/>
        <w:jc w:val="left"/>
        <w:textAlignment w:val="auto"/>
        <w:rPr>
          <w:rFonts w:cs="Arial"/>
        </w:rPr>
      </w:pPr>
      <w:r>
        <w:rPr>
          <w:rFonts w:cs="Arial"/>
        </w:rPr>
        <w:br w:type="page"/>
      </w:r>
    </w:p>
    <w:p w14:paraId="1F5060D5" w14:textId="398CEEF5" w:rsidR="00FF3208" w:rsidRPr="00FF3208" w:rsidRDefault="00FF3208" w:rsidP="00FF3208">
      <w:pPr>
        <w:spacing w:line="240" w:lineRule="atLeast"/>
        <w:ind w:left="567" w:hanging="567"/>
        <w:contextualSpacing/>
        <w:rPr>
          <w:rFonts w:cs="Arial"/>
        </w:rPr>
      </w:pPr>
      <w:r w:rsidRPr="00FF3208">
        <w:rPr>
          <w:rFonts w:cs="Arial"/>
        </w:rPr>
        <w:lastRenderedPageBreak/>
        <w:t>2.</w:t>
      </w:r>
      <w:r w:rsidRPr="00FF3208">
        <w:rPr>
          <w:rFonts w:cs="Arial"/>
        </w:rPr>
        <w:tab/>
        <w:t xml:space="preserve">Die Änderung zu Abschnitt 1.2.1, Begriffsbestimmung für </w:t>
      </w:r>
      <w:r w:rsidRPr="00FF3208">
        <w:rPr>
          <w:rFonts w:cs="Arial"/>
          <w:b/>
          <w:i/>
        </w:rPr>
        <w:t xml:space="preserve">„Schutzschuhe (oder Schutzstiefel)“ </w:t>
      </w:r>
      <w:r w:rsidRPr="00FF3208">
        <w:rPr>
          <w:rFonts w:cs="Arial"/>
        </w:rPr>
        <w:t>wie folgt ersetzen:</w:t>
      </w:r>
    </w:p>
    <w:p w14:paraId="699F90E9" w14:textId="77777777" w:rsidR="00FF3208" w:rsidRPr="00FF3208" w:rsidRDefault="00FF3208" w:rsidP="00AA3039">
      <w:pPr>
        <w:tabs>
          <w:tab w:val="left" w:pos="1701"/>
          <w:tab w:val="left" w:pos="2268"/>
        </w:tabs>
        <w:ind w:left="567" w:right="-2" w:firstLine="0"/>
        <w:rPr>
          <w:iCs/>
          <w:lang w:eastAsia="de-DE" w:bidi="de-DE"/>
        </w:rPr>
      </w:pPr>
    </w:p>
    <w:p w14:paraId="29872A11" w14:textId="188ACC2F" w:rsidR="00FF3208" w:rsidRPr="00FF3208" w:rsidRDefault="00576807" w:rsidP="00AA3039">
      <w:pPr>
        <w:tabs>
          <w:tab w:val="left" w:pos="1701"/>
          <w:tab w:val="left" w:pos="2268"/>
        </w:tabs>
        <w:ind w:left="567" w:right="-2" w:firstLine="0"/>
        <w:rPr>
          <w:b/>
          <w:i/>
          <w:iCs/>
          <w:lang w:eastAsia="de-DE" w:bidi="de-DE"/>
        </w:rPr>
      </w:pPr>
      <w:r>
        <w:rPr>
          <w:iCs/>
          <w:lang w:eastAsia="de-DE" w:bidi="de-DE"/>
        </w:rPr>
        <w:t>„</w:t>
      </w:r>
      <w:r w:rsidR="00FF3208" w:rsidRPr="00FF3208">
        <w:rPr>
          <w:iCs/>
          <w:lang w:eastAsia="de-DE" w:bidi="de-DE"/>
        </w:rPr>
        <w:t>1.2.1</w:t>
      </w:r>
      <w:r w:rsidR="00FF3208" w:rsidRPr="00FF3208">
        <w:rPr>
          <w:iCs/>
          <w:lang w:eastAsia="de-DE" w:bidi="de-DE"/>
        </w:rPr>
        <w:tab/>
        <w:t xml:space="preserve">Die Begriffsbestimmung für </w:t>
      </w:r>
      <w:r w:rsidR="00FF3208" w:rsidRPr="00FF3208">
        <w:rPr>
          <w:b/>
          <w:i/>
          <w:iCs/>
          <w:lang w:eastAsia="de-DE" w:bidi="de-DE"/>
        </w:rPr>
        <w:t xml:space="preserve">„Schutzschuhe (oder Schutzstiefel) </w:t>
      </w:r>
      <w:r w:rsidR="00FF3208" w:rsidRPr="00FF3208">
        <w:rPr>
          <w:iCs/>
          <w:lang w:eastAsia="de-DE" w:bidi="de-DE"/>
        </w:rPr>
        <w:t>erhält folgenden Wortlaut:</w:t>
      </w:r>
    </w:p>
    <w:p w14:paraId="41658579" w14:textId="77777777" w:rsidR="00FF3208" w:rsidRPr="00FF3208" w:rsidRDefault="00FF3208" w:rsidP="00AA3039">
      <w:pPr>
        <w:tabs>
          <w:tab w:val="left" w:pos="1701"/>
        </w:tabs>
        <w:spacing w:line="240" w:lineRule="atLeast"/>
        <w:ind w:left="567" w:firstLine="0"/>
        <w:rPr>
          <w:b/>
          <w:i/>
          <w:szCs w:val="18"/>
        </w:rPr>
      </w:pPr>
    </w:p>
    <w:p w14:paraId="6EBE4EBE" w14:textId="1FC7F899" w:rsidR="00FF3208" w:rsidRPr="00FF3208" w:rsidRDefault="00FF3208" w:rsidP="00AA3039">
      <w:pPr>
        <w:tabs>
          <w:tab w:val="left" w:pos="1701"/>
        </w:tabs>
        <w:spacing w:line="240" w:lineRule="atLeast"/>
        <w:ind w:left="567" w:firstLine="0"/>
        <w:rPr>
          <w:szCs w:val="18"/>
        </w:rPr>
      </w:pPr>
      <w:r w:rsidRPr="00FF3208">
        <w:rPr>
          <w:b/>
          <w:i/>
          <w:szCs w:val="18"/>
        </w:rPr>
        <w:t>„Schutzschuhe (oder Schutzstiefel):</w:t>
      </w:r>
      <w:r w:rsidRPr="00FF3208">
        <w:rPr>
          <w:szCs w:val="18"/>
        </w:rPr>
        <w:t xml:space="preserve"> Schuhe oder Stiefel, welche die Füße des Trägers bei Arbeiten in einem Gefahrenbereich schützen. </w:t>
      </w:r>
      <w:r w:rsidRPr="00FF3208">
        <w:rPr>
          <w:rFonts w:eastAsia="Calibri"/>
          <w:szCs w:val="18"/>
        </w:rPr>
        <w:t>Die Wahl der geeigneten Schutzschuhe oder Schutzstiefel muss entsprechend den auftretenden Gefahren, insbesondere auch durch elektrostatische Aufladung/Entladung, entsprechend den internationalen Normen ISO 20345:2012 oder ISO 20346:2014 erfolgen.</w:t>
      </w:r>
      <w:r w:rsidRPr="00FF3208">
        <w:rPr>
          <w:szCs w:val="18"/>
        </w:rPr>
        <w:t>“.“.</w:t>
      </w:r>
    </w:p>
    <w:p w14:paraId="15DFBC6C" w14:textId="77777777" w:rsidR="00FF3208" w:rsidRPr="00FF3208" w:rsidRDefault="00FF3208" w:rsidP="00FF3208">
      <w:pPr>
        <w:tabs>
          <w:tab w:val="left" w:pos="567"/>
        </w:tabs>
        <w:spacing w:line="240" w:lineRule="atLeast"/>
        <w:ind w:left="0" w:firstLine="0"/>
        <w:contextualSpacing/>
        <w:rPr>
          <w:rFonts w:cs="Arial"/>
        </w:rPr>
      </w:pPr>
    </w:p>
    <w:p w14:paraId="434C3634"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 zu 1. und 2.</w:t>
      </w:r>
    </w:p>
    <w:p w14:paraId="5DC840DB" w14:textId="77777777" w:rsidR="00FF3208" w:rsidRPr="00FF3208" w:rsidRDefault="00FF3208" w:rsidP="00FF3208">
      <w:pPr>
        <w:tabs>
          <w:tab w:val="left" w:pos="567"/>
        </w:tabs>
        <w:spacing w:line="240" w:lineRule="atLeast"/>
        <w:ind w:left="0" w:firstLine="0"/>
        <w:contextualSpacing/>
        <w:rPr>
          <w:rFonts w:cs="Arial"/>
        </w:rPr>
      </w:pPr>
    </w:p>
    <w:p w14:paraId="666CF4D6" w14:textId="77777777" w:rsidR="00FF3208" w:rsidRPr="00FF3208" w:rsidRDefault="00FF3208" w:rsidP="00FF3208">
      <w:pPr>
        <w:spacing w:line="240" w:lineRule="atLeast"/>
        <w:ind w:firstLine="0"/>
        <w:contextualSpacing/>
        <w:rPr>
          <w:rFonts w:cs="Arial"/>
        </w:rPr>
      </w:pPr>
      <w:r w:rsidRPr="00FF3208">
        <w:rPr>
          <w:rFonts w:cs="Arial"/>
        </w:rPr>
        <w:t>Redaktionelle Überarbeitung.</w:t>
      </w:r>
    </w:p>
    <w:p w14:paraId="7CF9A96E" w14:textId="77777777" w:rsidR="00FF3208" w:rsidRPr="00FF3208" w:rsidRDefault="00FF3208" w:rsidP="00FF3208">
      <w:pPr>
        <w:spacing w:line="240" w:lineRule="atLeast"/>
        <w:ind w:firstLine="0"/>
        <w:contextualSpacing/>
        <w:rPr>
          <w:rFonts w:cs="Arial"/>
        </w:rPr>
      </w:pPr>
    </w:p>
    <w:p w14:paraId="10E5CC30" w14:textId="77777777" w:rsidR="00FF3208" w:rsidRPr="00FF3208" w:rsidRDefault="00FF3208" w:rsidP="00FF3208">
      <w:pPr>
        <w:spacing w:line="240" w:lineRule="atLeast"/>
        <w:ind w:firstLine="0"/>
        <w:contextualSpacing/>
        <w:rPr>
          <w:rFonts w:cs="Arial"/>
        </w:rPr>
      </w:pPr>
      <w:r w:rsidRPr="00FF3208">
        <w:rPr>
          <w:rFonts w:cs="Arial"/>
        </w:rPr>
        <w:t>Die Vermeidung von Zündquellen durch elektrostatische Aufladung ist unverzichtbarer Bestandteil der Maßnahmen zum Explosionsschutz. Daher muss die Verwendung von ausreichend ableitfähigen Schutzhandschuhen, Schutzschuhen und Schutzstiefeln verpflichtend sein.</w:t>
      </w:r>
    </w:p>
    <w:p w14:paraId="5AD6FE37" w14:textId="77777777" w:rsidR="00FF3208" w:rsidRPr="00FF3208" w:rsidRDefault="00FF3208" w:rsidP="00FF3208">
      <w:pPr>
        <w:spacing w:line="240" w:lineRule="atLeast"/>
        <w:ind w:firstLine="0"/>
        <w:contextualSpacing/>
        <w:rPr>
          <w:rFonts w:cs="Arial"/>
        </w:rPr>
      </w:pPr>
    </w:p>
    <w:p w14:paraId="04E36757" w14:textId="77777777" w:rsidR="00FF3208" w:rsidRPr="00FF3208" w:rsidRDefault="00FF3208" w:rsidP="00FF3208">
      <w:pPr>
        <w:spacing w:line="240" w:lineRule="atLeast"/>
        <w:ind w:left="567" w:hanging="567"/>
      </w:pPr>
      <w:r w:rsidRPr="00FF3208">
        <w:t>3.</w:t>
      </w:r>
      <w:r w:rsidRPr="00FF3208">
        <w:tab/>
        <w:t>Absatz 1.6.7.2.1.1 ADN</w:t>
      </w:r>
      <w:r w:rsidRPr="00FF3208">
        <w:tab/>
        <w:t>In der neuen Übergangsvorschrift zu 7.1.2.19.1 in der dritten Spalte im letzten Satz vor dem Wort „Abschnitten“ das Wort „folgenden“ einfügen.</w:t>
      </w:r>
    </w:p>
    <w:p w14:paraId="2300228A" w14:textId="77777777" w:rsidR="00FF3208" w:rsidRPr="00FF3208" w:rsidRDefault="00FF3208" w:rsidP="00FF3208">
      <w:pPr>
        <w:pStyle w:val="CommentText"/>
        <w:spacing w:line="240" w:lineRule="atLeast"/>
        <w:ind w:left="567" w:hanging="567"/>
        <w:contextualSpacing/>
      </w:pPr>
    </w:p>
    <w:p w14:paraId="5739C8DF"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5EDBEA74" w14:textId="77777777" w:rsidR="00FF3208" w:rsidRPr="00FF3208" w:rsidRDefault="00FF3208" w:rsidP="00FF3208">
      <w:pPr>
        <w:tabs>
          <w:tab w:val="left" w:pos="567"/>
        </w:tabs>
        <w:spacing w:line="240" w:lineRule="atLeast"/>
        <w:ind w:left="0" w:firstLine="0"/>
        <w:contextualSpacing/>
        <w:rPr>
          <w:rFonts w:cs="Arial"/>
        </w:rPr>
      </w:pPr>
    </w:p>
    <w:p w14:paraId="35BE3D02" w14:textId="77777777" w:rsidR="00FF3208" w:rsidRPr="00FF3208" w:rsidRDefault="00FF3208" w:rsidP="00FF3208">
      <w:pPr>
        <w:spacing w:line="240" w:lineRule="atLeast"/>
        <w:ind w:firstLine="0"/>
        <w:contextualSpacing/>
        <w:rPr>
          <w:rFonts w:cs="Arial"/>
        </w:rPr>
      </w:pPr>
      <w:r w:rsidRPr="00FF3208">
        <w:rPr>
          <w:rFonts w:cs="Arial"/>
        </w:rPr>
        <w:t>Sprachliche/Grammatikalische Verbesserung. Siehe auch die englische Sprachfassung.</w:t>
      </w:r>
    </w:p>
    <w:p w14:paraId="5E373989" w14:textId="77777777" w:rsidR="00FF3208" w:rsidRPr="00FF3208" w:rsidRDefault="00FF3208" w:rsidP="00FF3208">
      <w:pPr>
        <w:spacing w:line="240" w:lineRule="atLeast"/>
        <w:ind w:firstLine="0"/>
        <w:contextualSpacing/>
        <w:rPr>
          <w:rFonts w:cs="Arial"/>
        </w:rPr>
      </w:pPr>
    </w:p>
    <w:p w14:paraId="07A72560" w14:textId="25FEAF97" w:rsidR="00FF3208" w:rsidRPr="00FF3208" w:rsidRDefault="00FF3208" w:rsidP="00FF3208">
      <w:pPr>
        <w:tabs>
          <w:tab w:val="left" w:pos="2835"/>
        </w:tabs>
        <w:spacing w:line="240" w:lineRule="atLeast"/>
        <w:ind w:left="567" w:hanging="567"/>
        <w:rPr>
          <w:rFonts w:cs="Arial"/>
        </w:rPr>
      </w:pPr>
      <w:r w:rsidRPr="00FF3208">
        <w:rPr>
          <w:rFonts w:cs="Arial"/>
        </w:rPr>
        <w:t>4.</w:t>
      </w:r>
      <w:r w:rsidRPr="00FF3208">
        <w:rPr>
          <w:rFonts w:cs="Arial"/>
        </w:rPr>
        <w:tab/>
        <w:t xml:space="preserve">Absatz </w:t>
      </w:r>
      <w:r w:rsidR="009B08B3" w:rsidRPr="009B08B3">
        <w:rPr>
          <w:rFonts w:cs="Arial"/>
        </w:rPr>
        <w:t>1.6.7.2.1.2</w:t>
      </w:r>
      <w:bookmarkStart w:id="0" w:name="_GoBack"/>
      <w:bookmarkEnd w:id="0"/>
      <w:r w:rsidRPr="00FF3208">
        <w:rPr>
          <w:rFonts w:cs="Arial"/>
        </w:rPr>
        <w:tab/>
        <w:t>In der neuen Übergangsvorschrift zu 9.3.1.8.3, 9.3.2.8.3, 9.3.3.8.3 „Überprüfung der Sauerstoffmessanlage“ in der ersten Spalte die Angabe „9.3.1.8.3, 9.3.2.8.3, 9.3.3.8.3“ ersetzen durch „8.1.6.3“.</w:t>
      </w:r>
    </w:p>
    <w:p w14:paraId="325176DE" w14:textId="77777777" w:rsidR="00FF3208" w:rsidRPr="00FF3208" w:rsidRDefault="00FF3208" w:rsidP="00FF3208">
      <w:pPr>
        <w:ind w:left="284" w:hanging="568"/>
        <w:jc w:val="center"/>
      </w:pPr>
    </w:p>
    <w:p w14:paraId="7A49F5D1"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02684499" w14:textId="77777777" w:rsidR="00FF3208" w:rsidRPr="00FF3208" w:rsidRDefault="00FF3208" w:rsidP="00FF3208">
      <w:pPr>
        <w:jc w:val="center"/>
        <w:rPr>
          <w:rFonts w:cs="Arial"/>
        </w:rPr>
      </w:pPr>
    </w:p>
    <w:p w14:paraId="751C43D2" w14:textId="77777777" w:rsidR="00FF3208" w:rsidRPr="00FF3208" w:rsidRDefault="00FF3208" w:rsidP="00FF3208">
      <w:pPr>
        <w:spacing w:line="240" w:lineRule="atLeast"/>
        <w:ind w:firstLine="0"/>
        <w:contextualSpacing/>
        <w:rPr>
          <w:rFonts w:cs="Arial"/>
        </w:rPr>
      </w:pPr>
      <w:r w:rsidRPr="00FF3208">
        <w:rPr>
          <w:rFonts w:cs="Arial"/>
        </w:rPr>
        <w:t>Der Inhalt von 9.3.1.8.3, 9.3.2.8.3, 9.3.3.8.3 wurde nach 8.1.6.3 verschoben.</w:t>
      </w:r>
    </w:p>
    <w:p w14:paraId="5862CFDE" w14:textId="77777777" w:rsidR="00FF3208" w:rsidRPr="00FF3208" w:rsidRDefault="00FF3208" w:rsidP="00FF3208">
      <w:pPr>
        <w:spacing w:line="240" w:lineRule="atLeast"/>
        <w:ind w:left="284" w:hanging="284"/>
        <w:rPr>
          <w:rFonts w:cs="Arial"/>
        </w:rPr>
      </w:pPr>
    </w:p>
    <w:p w14:paraId="61CD5CBA" w14:textId="77777777" w:rsidR="00FF3208" w:rsidRPr="00FF3208" w:rsidRDefault="00FF3208" w:rsidP="00FF3208">
      <w:pPr>
        <w:tabs>
          <w:tab w:val="left" w:pos="2835"/>
        </w:tabs>
        <w:ind w:left="567" w:hanging="567"/>
      </w:pPr>
      <w:r w:rsidRPr="00FF3208">
        <w:t>5.</w:t>
      </w:r>
      <w:r w:rsidRPr="00FF3208">
        <w:tab/>
        <w:t>Absatz 1.6.7.2.2.2</w:t>
      </w:r>
      <w:r w:rsidRPr="00FF3208">
        <w:tab/>
        <w:t>Die neue Übergangsvorschrift für 9.3.2.22.4 d)/9.3.3.22.4 e) wie folgt ändern:</w:t>
      </w:r>
    </w:p>
    <w:p w14:paraId="1E6B26AF" w14:textId="77777777" w:rsidR="00FF3208" w:rsidRPr="00FF3208" w:rsidRDefault="00FF3208" w:rsidP="00FF3208">
      <w:pPr>
        <w:spacing w:line="240" w:lineRule="atLeast"/>
        <w:ind w:left="284" w:hanging="284"/>
        <w:rPr>
          <w:rFonts w:cs="Arial"/>
        </w:rPr>
      </w:pPr>
      <w:r w:rsidRPr="00FF3208">
        <w:rPr>
          <w:rFonts w:cs="Arial"/>
        </w:rPr>
        <w:t>„</w:t>
      </w:r>
    </w:p>
    <w:tbl>
      <w:tblPr>
        <w:tblStyle w:val="Grilledutableau6"/>
        <w:tblW w:w="8614" w:type="dxa"/>
        <w:tblInd w:w="708" w:type="dxa"/>
        <w:tblLayout w:type="fixed"/>
        <w:tblLook w:val="04A0" w:firstRow="1" w:lastRow="0" w:firstColumn="1" w:lastColumn="0" w:noHBand="0" w:noVBand="1"/>
      </w:tblPr>
      <w:tblGrid>
        <w:gridCol w:w="1810"/>
        <w:gridCol w:w="3262"/>
        <w:gridCol w:w="3542"/>
      </w:tblGrid>
      <w:tr w:rsidR="00FF3208" w:rsidRPr="00FF3208" w14:paraId="7A9CC21F" w14:textId="77777777" w:rsidTr="00FF3208">
        <w:trPr>
          <w:cantSplit/>
          <w:trHeight w:val="464"/>
        </w:trPr>
        <w:tc>
          <w:tcPr>
            <w:tcW w:w="1810" w:type="dxa"/>
            <w:tcBorders>
              <w:top w:val="single" w:sz="4" w:space="0" w:color="auto"/>
              <w:left w:val="single" w:sz="4" w:space="0" w:color="auto"/>
              <w:bottom w:val="single" w:sz="4" w:space="0" w:color="auto"/>
              <w:right w:val="single" w:sz="4" w:space="0" w:color="auto"/>
            </w:tcBorders>
            <w:hideMark/>
          </w:tcPr>
          <w:p w14:paraId="0FB7DC9F" w14:textId="77777777" w:rsidR="00FF3208" w:rsidRPr="00FF3208" w:rsidRDefault="00FF3208" w:rsidP="004C76DA">
            <w:pPr>
              <w:tabs>
                <w:tab w:val="left" w:pos="708"/>
              </w:tabs>
              <w:jc w:val="center"/>
              <w:rPr>
                <w:rFonts w:ascii="Times New Roman" w:hAnsi="Times New Roman"/>
                <w:szCs w:val="20"/>
              </w:rPr>
            </w:pPr>
            <w:r w:rsidRPr="00FF3208">
              <w:rPr>
                <w:rFonts w:ascii="Times New Roman" w:hAnsi="Times New Roman"/>
                <w:szCs w:val="20"/>
              </w:rPr>
              <w:t xml:space="preserve">9.3.2.22.4 </w:t>
            </w:r>
            <w:r w:rsidRPr="00FF3208">
              <w:rPr>
                <w:rFonts w:ascii="Times New Roman" w:hAnsi="Times New Roman"/>
                <w:strike/>
                <w:szCs w:val="20"/>
              </w:rPr>
              <w:t>d)</w:t>
            </w:r>
            <w:r w:rsidRPr="00FF3208">
              <w:rPr>
                <w:rFonts w:ascii="Times New Roman" w:hAnsi="Times New Roman"/>
                <w:szCs w:val="20"/>
                <w:u w:val="single"/>
              </w:rPr>
              <w:t xml:space="preserve"> e)</w:t>
            </w:r>
          </w:p>
          <w:p w14:paraId="1B977976" w14:textId="77777777" w:rsidR="00FF3208" w:rsidRPr="00FF3208" w:rsidRDefault="00FF3208" w:rsidP="004C76DA">
            <w:pPr>
              <w:tabs>
                <w:tab w:val="left" w:pos="708"/>
              </w:tabs>
              <w:jc w:val="center"/>
              <w:rPr>
                <w:rFonts w:ascii="Times New Roman" w:hAnsi="Times New Roman"/>
                <w:szCs w:val="20"/>
              </w:rPr>
            </w:pPr>
            <w:r w:rsidRPr="00FF3208">
              <w:rPr>
                <w:rFonts w:ascii="Times New Roman" w:hAnsi="Times New Roman"/>
                <w:szCs w:val="20"/>
              </w:rPr>
              <w:t xml:space="preserve">9.3.3.22.4 </w:t>
            </w:r>
            <w:r w:rsidRPr="00FF3208">
              <w:rPr>
                <w:rFonts w:ascii="Times New Roman" w:hAnsi="Times New Roman"/>
                <w:strike/>
                <w:szCs w:val="20"/>
              </w:rPr>
              <w:t>e)</w:t>
            </w:r>
            <w:r w:rsidRPr="00FF3208">
              <w:rPr>
                <w:rFonts w:ascii="Times New Roman" w:hAnsi="Times New Roman"/>
                <w:szCs w:val="20"/>
                <w:u w:val="single"/>
              </w:rPr>
              <w:t xml:space="preserve"> d)</w:t>
            </w:r>
          </w:p>
        </w:tc>
        <w:tc>
          <w:tcPr>
            <w:tcW w:w="3262" w:type="dxa"/>
            <w:tcBorders>
              <w:top w:val="single" w:sz="4" w:space="0" w:color="auto"/>
              <w:left w:val="single" w:sz="4" w:space="0" w:color="auto"/>
              <w:bottom w:val="single" w:sz="4" w:space="0" w:color="auto"/>
              <w:right w:val="single" w:sz="4" w:space="0" w:color="auto"/>
            </w:tcBorders>
            <w:hideMark/>
          </w:tcPr>
          <w:p w14:paraId="1D1B521A" w14:textId="77777777" w:rsidR="00FF3208" w:rsidRPr="00FF3208" w:rsidRDefault="00FF3208" w:rsidP="004C76DA">
            <w:pPr>
              <w:rPr>
                <w:rFonts w:ascii="Times New Roman" w:hAnsi="Times New Roman"/>
                <w:szCs w:val="20"/>
              </w:rPr>
            </w:pPr>
            <w:r w:rsidRPr="00FF3208">
              <w:rPr>
                <w:rFonts w:ascii="Times New Roman" w:hAnsi="Times New Roman"/>
                <w:szCs w:val="20"/>
              </w:rPr>
              <w:t>Explosionsgruppe/Untergruppe</w:t>
            </w:r>
          </w:p>
        </w:tc>
        <w:tc>
          <w:tcPr>
            <w:tcW w:w="3542" w:type="dxa"/>
            <w:tcBorders>
              <w:top w:val="single" w:sz="4" w:space="0" w:color="auto"/>
              <w:left w:val="single" w:sz="4" w:space="0" w:color="auto"/>
              <w:bottom w:val="single" w:sz="4" w:space="0" w:color="auto"/>
              <w:right w:val="single" w:sz="4" w:space="0" w:color="auto"/>
            </w:tcBorders>
            <w:hideMark/>
          </w:tcPr>
          <w:p w14:paraId="3C2965B2" w14:textId="75D59E6F" w:rsidR="00FF3208" w:rsidRPr="00FF3208" w:rsidRDefault="00FF3208" w:rsidP="00FF3208">
            <w:pPr>
              <w:ind w:left="32" w:firstLine="0"/>
              <w:jc w:val="center"/>
              <w:rPr>
                <w:rFonts w:ascii="Times New Roman" w:hAnsi="Times New Roman"/>
                <w:szCs w:val="20"/>
                <w:lang w:val="de-DE"/>
              </w:rPr>
            </w:pPr>
            <w:r>
              <w:rPr>
                <w:rFonts w:ascii="Times New Roman" w:hAnsi="Times New Roman"/>
                <w:szCs w:val="20"/>
                <w:lang w:val="de-DE"/>
              </w:rPr>
              <w:t>N.E.U. ab 1. Januar 2019</w:t>
            </w:r>
          </w:p>
          <w:p w14:paraId="1B2F24A0" w14:textId="77777777" w:rsidR="00FF3208" w:rsidRPr="00FF3208" w:rsidRDefault="00FF3208" w:rsidP="00FF3208">
            <w:pPr>
              <w:ind w:left="32" w:firstLine="0"/>
              <w:jc w:val="center"/>
              <w:rPr>
                <w:rFonts w:ascii="Times New Roman" w:hAnsi="Times New Roman"/>
                <w:szCs w:val="20"/>
              </w:rPr>
            </w:pPr>
            <w:r w:rsidRPr="00FF3208">
              <w:rPr>
                <w:rFonts w:ascii="Times New Roman" w:hAnsi="Times New Roman"/>
                <w:szCs w:val="20"/>
                <w:lang w:val="de-DE"/>
              </w:rPr>
              <w:t>Erneuerung des Zulassungszeugnisses nach dem 31. </w:t>
            </w:r>
            <w:r w:rsidRPr="00FF3208">
              <w:rPr>
                <w:rFonts w:ascii="Times New Roman" w:hAnsi="Times New Roman"/>
                <w:szCs w:val="20"/>
              </w:rPr>
              <w:t>Dezember 2024</w:t>
            </w:r>
          </w:p>
        </w:tc>
      </w:tr>
    </w:tbl>
    <w:p w14:paraId="6AD021B6" w14:textId="77777777" w:rsidR="00FF3208" w:rsidRPr="00FF3208" w:rsidRDefault="00FF3208" w:rsidP="00FF3208">
      <w:pPr>
        <w:spacing w:line="240" w:lineRule="atLeast"/>
        <w:ind w:left="0" w:firstLine="0"/>
        <w:contextualSpacing/>
        <w:rPr>
          <w:rFonts w:cs="Arial"/>
        </w:rPr>
      </w:pPr>
      <w:r w:rsidRPr="00FF3208">
        <w:rPr>
          <w:rFonts w:cs="Arial"/>
        </w:rPr>
        <w:t>“.</w:t>
      </w:r>
    </w:p>
    <w:p w14:paraId="4DAA2619" w14:textId="77777777" w:rsidR="00FF3208" w:rsidRPr="00FF3208" w:rsidRDefault="00FF3208" w:rsidP="00FF3208">
      <w:pPr>
        <w:spacing w:line="240" w:lineRule="atLeast"/>
        <w:ind w:firstLine="0"/>
        <w:contextualSpacing/>
        <w:rPr>
          <w:rFonts w:cs="Arial"/>
          <w:u w:val="single"/>
        </w:rPr>
      </w:pPr>
    </w:p>
    <w:p w14:paraId="138464FA"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592280C4" w14:textId="77777777" w:rsidR="00FF3208" w:rsidRPr="00FF3208" w:rsidRDefault="00FF3208" w:rsidP="00FF3208">
      <w:pPr>
        <w:jc w:val="center"/>
        <w:rPr>
          <w:rFonts w:cs="Arial"/>
        </w:rPr>
      </w:pPr>
    </w:p>
    <w:p w14:paraId="1BB2D704" w14:textId="77777777" w:rsidR="00FF3208" w:rsidRPr="00FF3208" w:rsidRDefault="00FF3208" w:rsidP="00FF3208">
      <w:pPr>
        <w:spacing w:line="240" w:lineRule="atLeast"/>
        <w:ind w:firstLine="0"/>
        <w:contextualSpacing/>
        <w:rPr>
          <w:rFonts w:cs="Arial"/>
        </w:rPr>
      </w:pPr>
      <w:r w:rsidRPr="00FF3208">
        <w:rPr>
          <w:rFonts w:cs="Arial"/>
        </w:rPr>
        <w:t>Redaktioneller Fehler.</w:t>
      </w:r>
    </w:p>
    <w:p w14:paraId="36EF78F0" w14:textId="77777777" w:rsidR="00FF3208" w:rsidRPr="00FF3208" w:rsidRDefault="00FF3208" w:rsidP="00FF3208">
      <w:pPr>
        <w:spacing w:line="240" w:lineRule="atLeast"/>
        <w:ind w:left="284" w:hanging="284"/>
        <w:rPr>
          <w:rFonts w:cs="Arial"/>
        </w:rPr>
      </w:pPr>
    </w:p>
    <w:p w14:paraId="1BFF69C7" w14:textId="77777777" w:rsidR="00FF3208" w:rsidRPr="00FF3208" w:rsidRDefault="00FF3208" w:rsidP="00FF3208">
      <w:pPr>
        <w:tabs>
          <w:tab w:val="left" w:pos="2552"/>
        </w:tabs>
        <w:spacing w:line="240" w:lineRule="atLeast"/>
        <w:ind w:left="567" w:hanging="567"/>
        <w:rPr>
          <w:rFonts w:cs="Arial"/>
        </w:rPr>
      </w:pPr>
      <w:r w:rsidRPr="00FF3208">
        <w:rPr>
          <w:rFonts w:cs="Arial"/>
        </w:rPr>
        <w:t>6.</w:t>
      </w:r>
      <w:r w:rsidRPr="00FF3208">
        <w:rPr>
          <w:rFonts w:cs="Arial"/>
        </w:rPr>
        <w:tab/>
        <w:t>Absatz 1.6.7.2.2.2</w:t>
      </w:r>
      <w:r w:rsidRPr="00FF3208">
        <w:rPr>
          <w:rFonts w:cs="Arial"/>
        </w:rPr>
        <w:tab/>
        <w:t>Die neue Übergangsvorschrift für 7.2.4.25.5 streichen.</w:t>
      </w:r>
    </w:p>
    <w:p w14:paraId="3089C1EC" w14:textId="77777777" w:rsidR="00FF3208" w:rsidRPr="00FF3208" w:rsidRDefault="00FF3208" w:rsidP="00FF3208">
      <w:pPr>
        <w:spacing w:line="240" w:lineRule="atLeast"/>
        <w:ind w:firstLine="0"/>
        <w:contextualSpacing/>
        <w:rPr>
          <w:rFonts w:cs="Arial"/>
          <w:u w:val="single"/>
        </w:rPr>
      </w:pPr>
    </w:p>
    <w:p w14:paraId="2FE15147"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71F7E2C3" w14:textId="77777777" w:rsidR="00FF3208" w:rsidRPr="00FF3208" w:rsidRDefault="00FF3208" w:rsidP="00FF3208">
      <w:pPr>
        <w:spacing w:line="240" w:lineRule="atLeast"/>
        <w:ind w:firstLine="0"/>
        <w:contextualSpacing/>
        <w:rPr>
          <w:rFonts w:cs="Arial"/>
          <w:u w:val="single"/>
        </w:rPr>
      </w:pPr>
    </w:p>
    <w:p w14:paraId="4DC3481A" w14:textId="77777777" w:rsidR="00FF3208" w:rsidRPr="00FF3208" w:rsidRDefault="00FF3208" w:rsidP="00FF3208">
      <w:pPr>
        <w:spacing w:line="240" w:lineRule="atLeast"/>
        <w:ind w:firstLine="0"/>
        <w:contextualSpacing/>
        <w:rPr>
          <w:rFonts w:cs="Arial"/>
        </w:rPr>
      </w:pPr>
      <w:r w:rsidRPr="00FF3208">
        <w:rPr>
          <w:rFonts w:cs="Arial"/>
        </w:rPr>
        <w:t>Der Änderungsbefehl zu 7.2.4.25.5 entfällt.</w:t>
      </w:r>
    </w:p>
    <w:p w14:paraId="57B1F1A0" w14:textId="77777777" w:rsidR="00FF3208" w:rsidRPr="00FF3208" w:rsidRDefault="00FF3208" w:rsidP="00FF3208">
      <w:pPr>
        <w:tabs>
          <w:tab w:val="left" w:pos="567"/>
        </w:tabs>
        <w:spacing w:line="240" w:lineRule="atLeast"/>
        <w:ind w:left="0" w:firstLine="0"/>
        <w:contextualSpacing/>
        <w:rPr>
          <w:rFonts w:cs="Arial"/>
        </w:rPr>
      </w:pPr>
    </w:p>
    <w:p w14:paraId="290C08B2" w14:textId="77777777" w:rsidR="00AA3039" w:rsidRDefault="00AA3039">
      <w:pPr>
        <w:widowControl/>
        <w:overflowPunct/>
        <w:autoSpaceDE/>
        <w:autoSpaceDN/>
        <w:adjustRightInd/>
        <w:ind w:left="0" w:firstLine="0"/>
        <w:jc w:val="left"/>
        <w:textAlignment w:val="auto"/>
      </w:pPr>
      <w:r>
        <w:br w:type="page"/>
      </w:r>
    </w:p>
    <w:p w14:paraId="608F5B58" w14:textId="1877051E" w:rsidR="00FF3208" w:rsidRPr="00FF3208" w:rsidRDefault="00FF3208" w:rsidP="00FF3208">
      <w:pPr>
        <w:spacing w:line="240" w:lineRule="atLeast"/>
        <w:ind w:left="567" w:hanging="567"/>
        <w:rPr>
          <w:rFonts w:eastAsia="Calibri"/>
        </w:rPr>
      </w:pPr>
      <w:r w:rsidRPr="00FF3208">
        <w:lastRenderedPageBreak/>
        <w:t>7.</w:t>
      </w:r>
      <w:r w:rsidRPr="00FF3208">
        <w:tab/>
        <w:t>Im Änderungsbefehl zu Absatz 7.1.3.51.8 ADN folgenden Satz anfügen: „</w:t>
      </w:r>
      <w:r w:rsidRPr="00FF3208">
        <w:rPr>
          <w:rFonts w:eastAsia="Calibri"/>
        </w:rPr>
        <w:t>Die zuständige Behörde kann im Einzelfall Ausnahmen zulassen.“.</w:t>
      </w:r>
    </w:p>
    <w:p w14:paraId="76B01F19" w14:textId="77777777" w:rsidR="00FF3208" w:rsidRPr="00FF3208" w:rsidRDefault="00FF3208" w:rsidP="00FF3208">
      <w:pPr>
        <w:spacing w:line="240" w:lineRule="atLeast"/>
        <w:ind w:firstLine="0"/>
        <w:contextualSpacing/>
        <w:rPr>
          <w:rFonts w:cs="Arial"/>
          <w:u w:val="single"/>
        </w:rPr>
      </w:pPr>
    </w:p>
    <w:p w14:paraId="5DA60402"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44F49938" w14:textId="77777777" w:rsidR="00FF3208" w:rsidRPr="00FF3208" w:rsidRDefault="00FF3208" w:rsidP="00FF3208">
      <w:pPr>
        <w:spacing w:line="240" w:lineRule="atLeast"/>
        <w:ind w:firstLine="0"/>
        <w:contextualSpacing/>
        <w:rPr>
          <w:rFonts w:cs="Arial"/>
          <w:u w:val="single"/>
        </w:rPr>
      </w:pPr>
    </w:p>
    <w:p w14:paraId="76A6C0AC" w14:textId="77777777" w:rsidR="00FF3208" w:rsidRPr="00FF3208" w:rsidRDefault="00FF3208" w:rsidP="00FF3208">
      <w:pPr>
        <w:spacing w:line="240" w:lineRule="atLeast"/>
        <w:ind w:firstLine="0"/>
        <w:contextualSpacing/>
        <w:rPr>
          <w:rFonts w:cs="Arial"/>
        </w:rPr>
      </w:pPr>
      <w:r w:rsidRPr="00FF3208">
        <w:rPr>
          <w:rFonts w:cs="Arial"/>
        </w:rPr>
        <w:t>Die Verkehrssituation oder Havariefälle können das sofortige Anfahren einer solchen Lade- und Löschstelle erforderlichen machen. Die zuständige Behörde hat zu prüfen, ob der Explosionsschutz auf andere Art und Weise gewährleistet werden kann oder ob Erleichterungen vertretbar sind.</w:t>
      </w:r>
    </w:p>
    <w:p w14:paraId="763A83B0" w14:textId="4DB6625D" w:rsidR="00FF3208" w:rsidRPr="00FF3208" w:rsidRDefault="00FF3208" w:rsidP="00FF3208">
      <w:pPr>
        <w:widowControl/>
        <w:overflowPunct/>
        <w:autoSpaceDE/>
        <w:autoSpaceDN/>
        <w:adjustRightInd/>
        <w:ind w:left="0" w:firstLine="0"/>
        <w:jc w:val="left"/>
        <w:textAlignment w:val="auto"/>
        <w:rPr>
          <w:rFonts w:cs="Arial"/>
        </w:rPr>
      </w:pPr>
    </w:p>
    <w:p w14:paraId="3DDAE4DC" w14:textId="77777777" w:rsidR="00FF3208" w:rsidRPr="00FF3208" w:rsidRDefault="00FF3208" w:rsidP="00FF3208">
      <w:pPr>
        <w:spacing w:line="240" w:lineRule="atLeast"/>
        <w:ind w:left="567" w:hanging="567"/>
        <w:rPr>
          <w:rFonts w:cs="Arial"/>
        </w:rPr>
      </w:pPr>
      <w:r w:rsidRPr="00FF3208">
        <w:rPr>
          <w:rFonts w:cs="Arial"/>
        </w:rPr>
        <w:t>8.</w:t>
      </w:r>
      <w:r w:rsidRPr="00FF3208">
        <w:rPr>
          <w:rFonts w:cs="Arial"/>
        </w:rPr>
        <w:tab/>
        <w:t>Im Änderungsbefehl zu Absatz 7.1.4.7.3 ADN folgenden Satz anfügen: „Die zuständige Behörde kann im Einzelfall Ausnahmen zulassen.“.</w:t>
      </w:r>
    </w:p>
    <w:p w14:paraId="118A9162" w14:textId="77777777" w:rsidR="00FF3208" w:rsidRPr="00FF3208" w:rsidRDefault="00FF3208" w:rsidP="00FF3208">
      <w:pPr>
        <w:spacing w:line="240" w:lineRule="atLeast"/>
        <w:ind w:firstLine="0"/>
        <w:contextualSpacing/>
        <w:rPr>
          <w:rFonts w:cs="Arial"/>
          <w:u w:val="single"/>
        </w:rPr>
      </w:pPr>
    </w:p>
    <w:p w14:paraId="0BF81EB1"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48BE27B8" w14:textId="77777777" w:rsidR="00FF3208" w:rsidRPr="00FF3208" w:rsidRDefault="00FF3208" w:rsidP="00FF3208">
      <w:pPr>
        <w:spacing w:line="240" w:lineRule="atLeast"/>
        <w:ind w:firstLine="0"/>
        <w:contextualSpacing/>
        <w:rPr>
          <w:rFonts w:cs="Arial"/>
          <w:u w:val="single"/>
        </w:rPr>
      </w:pPr>
    </w:p>
    <w:p w14:paraId="42069942" w14:textId="77777777" w:rsidR="00FF3208" w:rsidRPr="00FF3208" w:rsidRDefault="00FF3208" w:rsidP="00FF3208">
      <w:pPr>
        <w:spacing w:line="240" w:lineRule="atLeast"/>
        <w:ind w:firstLine="0"/>
        <w:contextualSpacing/>
        <w:rPr>
          <w:rFonts w:cs="Arial"/>
        </w:rPr>
      </w:pPr>
      <w:r w:rsidRPr="00FF3208">
        <w:rPr>
          <w:rFonts w:cs="Arial"/>
        </w:rPr>
        <w:t>Die Verkehrssituation oder Havariefälle können das sofortige Anfahren einer solchen Lade- und Löschstelle erforderlichen machen. Die zuständige Behörde hat zu prüfen, ob der Explosionsschutz auf andere Art und Weise gewährleistet werden kann oder ob Erleichterungen vertretbar sind.</w:t>
      </w:r>
    </w:p>
    <w:p w14:paraId="12324389" w14:textId="77777777" w:rsidR="00FF3208" w:rsidRPr="00FF3208" w:rsidRDefault="00FF3208" w:rsidP="00FF3208">
      <w:pPr>
        <w:spacing w:line="240" w:lineRule="atLeast"/>
        <w:ind w:left="284" w:hanging="284"/>
        <w:rPr>
          <w:rFonts w:cs="Arial"/>
        </w:rPr>
      </w:pPr>
    </w:p>
    <w:p w14:paraId="2D5587FB" w14:textId="77777777" w:rsidR="00FF3208" w:rsidRPr="00F5700E" w:rsidRDefault="00FF3208" w:rsidP="00FF3208">
      <w:pPr>
        <w:tabs>
          <w:tab w:val="left" w:pos="567"/>
        </w:tabs>
        <w:spacing w:line="240" w:lineRule="atLeast"/>
        <w:ind w:left="0" w:firstLine="0"/>
        <w:contextualSpacing/>
        <w:rPr>
          <w:rFonts w:cs="Arial"/>
        </w:rPr>
      </w:pPr>
      <w:r w:rsidRPr="00F5700E">
        <w:rPr>
          <w:rFonts w:cs="Arial"/>
        </w:rPr>
        <w:t>9.</w:t>
      </w:r>
      <w:r w:rsidRPr="00F5700E">
        <w:rPr>
          <w:rFonts w:cs="Arial"/>
        </w:rPr>
        <w:tab/>
        <w:t>Die Änderung zu Unterabschnitt 7.1.4.75 „Gefahr der Funkenbildung“ wie folgt ersetzen:</w:t>
      </w:r>
    </w:p>
    <w:p w14:paraId="454E7E47" w14:textId="77777777" w:rsidR="00FF3208" w:rsidRPr="00FF3208" w:rsidRDefault="00FF3208" w:rsidP="00FF3208">
      <w:pPr>
        <w:tabs>
          <w:tab w:val="left" w:pos="567"/>
        </w:tabs>
        <w:spacing w:line="276" w:lineRule="auto"/>
        <w:ind w:left="0" w:firstLine="0"/>
        <w:contextualSpacing/>
        <w:rPr>
          <w:rFonts w:cs="Arial"/>
        </w:rPr>
      </w:pPr>
    </w:p>
    <w:p w14:paraId="6F4F3851" w14:textId="1520ECDA" w:rsidR="00FF3208" w:rsidRPr="00FF3208" w:rsidRDefault="00AA3039" w:rsidP="00AA3039">
      <w:pPr>
        <w:tabs>
          <w:tab w:val="left" w:pos="2268"/>
        </w:tabs>
        <w:spacing w:line="276" w:lineRule="auto"/>
        <w:ind w:left="567" w:right="-2" w:firstLine="0"/>
        <w:rPr>
          <w:rFonts w:cs="Arial"/>
        </w:rPr>
      </w:pPr>
      <w:r>
        <w:rPr>
          <w:rFonts w:cs="Arial"/>
        </w:rPr>
        <w:t>„</w:t>
      </w:r>
      <w:r w:rsidR="00FF3208" w:rsidRPr="00FF3208">
        <w:rPr>
          <w:rFonts w:cs="Arial"/>
        </w:rPr>
        <w:t>7.1.4.75 erhält fol</w:t>
      </w:r>
      <w:r w:rsidR="00490887">
        <w:rPr>
          <w:rFonts w:cs="Arial"/>
        </w:rPr>
        <w:t>g</w:t>
      </w:r>
      <w:r w:rsidR="00FF3208" w:rsidRPr="00FF3208">
        <w:rPr>
          <w:rFonts w:cs="Arial"/>
        </w:rPr>
        <w:t>enden Wortlaut:</w:t>
      </w:r>
    </w:p>
    <w:p w14:paraId="4D30630D" w14:textId="77777777" w:rsidR="00FF3208" w:rsidRPr="006A37B8" w:rsidRDefault="00FF3208" w:rsidP="00AA3039">
      <w:pPr>
        <w:tabs>
          <w:tab w:val="left" w:pos="1701"/>
        </w:tabs>
        <w:spacing w:before="120" w:line="276" w:lineRule="auto"/>
        <w:ind w:left="567" w:right="1134" w:firstLine="0"/>
        <w:rPr>
          <w:rFonts w:cs="Arial"/>
        </w:rPr>
      </w:pPr>
      <w:r w:rsidRPr="006A37B8">
        <w:rPr>
          <w:rFonts w:cs="Arial"/>
        </w:rPr>
        <w:t>„7.1.4.75</w:t>
      </w:r>
      <w:r w:rsidRPr="006A37B8">
        <w:rPr>
          <w:rFonts w:cs="Arial"/>
        </w:rPr>
        <w:tab/>
        <w:t>Gefahr der Funkenbildung</w:t>
      </w:r>
    </w:p>
    <w:p w14:paraId="5454CBA7" w14:textId="4BA56A66" w:rsidR="00FF3208" w:rsidRPr="00FF3208" w:rsidRDefault="00FF3208" w:rsidP="00AA3039">
      <w:pPr>
        <w:tabs>
          <w:tab w:val="left" w:pos="2268"/>
        </w:tabs>
        <w:spacing w:line="276" w:lineRule="auto"/>
        <w:ind w:left="567" w:right="1134" w:firstLine="0"/>
      </w:pPr>
      <w:r w:rsidRPr="00FF3208">
        <w:t xml:space="preserve">„Elektrisch leitende Verbindungen zwischen Schiff und Land müssen so beschaffen sein, dass sie keine Zündquelle darstellen. Wenn die </w:t>
      </w:r>
      <w:r w:rsidRPr="00FF3208">
        <w:rPr>
          <w:rFonts w:eastAsia="Calibri"/>
        </w:rPr>
        <w:t>Schiffsstoffliste nach Absatz 1.16.1.2.5 Stoffe enthält, für die nach Unterabschnitt 3.2.3.2 Tabelle C Spalte (17) Explosionsschutz gefordert wird, ist in Zone 1 das Ablegen von Kleidung verboten.“.</w:t>
      </w:r>
      <w:r w:rsidR="00AA3039">
        <w:rPr>
          <w:rFonts w:eastAsia="Calibri"/>
        </w:rPr>
        <w:t>“.</w:t>
      </w:r>
    </w:p>
    <w:p w14:paraId="5415AF04" w14:textId="77777777" w:rsidR="00FF3208" w:rsidRPr="00FF3208" w:rsidRDefault="00FF3208" w:rsidP="00FF3208">
      <w:pPr>
        <w:spacing w:line="240" w:lineRule="atLeast"/>
        <w:ind w:firstLine="0"/>
        <w:contextualSpacing/>
        <w:rPr>
          <w:rFonts w:cs="Arial"/>
          <w:u w:val="single"/>
        </w:rPr>
      </w:pPr>
    </w:p>
    <w:p w14:paraId="5EE81520"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087F6351" w14:textId="77777777" w:rsidR="00FF3208" w:rsidRPr="00FF3208" w:rsidRDefault="00FF3208" w:rsidP="00FF3208">
      <w:pPr>
        <w:spacing w:line="240" w:lineRule="atLeast"/>
        <w:ind w:firstLine="0"/>
        <w:contextualSpacing/>
        <w:rPr>
          <w:rFonts w:cs="Arial"/>
          <w:u w:val="single"/>
        </w:rPr>
      </w:pPr>
    </w:p>
    <w:p w14:paraId="1A11C31D" w14:textId="77777777" w:rsidR="00FF3208" w:rsidRPr="00FF3208" w:rsidRDefault="00FF3208" w:rsidP="00FF3208">
      <w:pPr>
        <w:spacing w:line="240" w:lineRule="atLeast"/>
        <w:ind w:firstLine="0"/>
        <w:contextualSpacing/>
        <w:rPr>
          <w:rFonts w:cs="Arial"/>
        </w:rPr>
      </w:pPr>
      <w:r w:rsidRPr="00FF3208">
        <w:rPr>
          <w:rFonts w:cs="Arial"/>
        </w:rPr>
        <w:t>Die Vermeidung von Zündquellen durch elektrostatische Aufladung ist unverzichtbarer Bestandteil der Maßnahmen zum Explosionsschutz. Das Ablegen von nicht ausreichend ableitfähiger Kleidung kann zu solch einer elektrostatischen Aufladung führen und muss daher in der Zone 1 verboten sein.</w:t>
      </w:r>
    </w:p>
    <w:p w14:paraId="3676FB37" w14:textId="77777777" w:rsidR="00FF3208" w:rsidRPr="00FF3208" w:rsidRDefault="00FF3208" w:rsidP="00FF3208">
      <w:pPr>
        <w:spacing w:line="240" w:lineRule="atLeast"/>
        <w:ind w:left="284" w:hanging="284"/>
        <w:rPr>
          <w:rFonts w:cs="Arial"/>
        </w:rPr>
      </w:pPr>
    </w:p>
    <w:p w14:paraId="0D9031FE" w14:textId="77777777" w:rsidR="00FF3208" w:rsidRPr="00FF3208" w:rsidRDefault="00FF3208" w:rsidP="00FF3208">
      <w:pPr>
        <w:spacing w:line="240" w:lineRule="atLeast"/>
        <w:ind w:left="567" w:hanging="567"/>
        <w:rPr>
          <w:rFonts w:cs="Arial"/>
        </w:rPr>
      </w:pPr>
      <w:r w:rsidRPr="00FF3208">
        <w:rPr>
          <w:rFonts w:cs="Arial"/>
        </w:rPr>
        <w:t>10.</w:t>
      </w:r>
      <w:r w:rsidRPr="00FF3208">
        <w:rPr>
          <w:rFonts w:cs="Arial"/>
        </w:rPr>
        <w:tab/>
        <w:t>Die Einleitung des neuen Absatzes 7.2.3.51.6 ADN wird wie folgt neu gefasst:</w:t>
      </w:r>
    </w:p>
    <w:p w14:paraId="6FDA9BE9" w14:textId="77777777" w:rsidR="00FF3208" w:rsidRPr="00FF3208" w:rsidRDefault="00FF3208" w:rsidP="00FF3208">
      <w:pPr>
        <w:spacing w:line="240" w:lineRule="atLeast"/>
        <w:ind w:left="284" w:firstLine="0"/>
        <w:rPr>
          <w:rFonts w:cs="Arial"/>
        </w:rPr>
      </w:pPr>
    </w:p>
    <w:p w14:paraId="309C3427" w14:textId="77777777" w:rsidR="00FF3208" w:rsidRPr="00FF3208" w:rsidRDefault="00FF3208" w:rsidP="00FF3208">
      <w:pPr>
        <w:spacing w:line="240" w:lineRule="atLeast"/>
        <w:ind w:left="567" w:firstLine="0"/>
        <w:rPr>
          <w:rFonts w:cs="Arial"/>
        </w:rPr>
      </w:pPr>
      <w:r w:rsidRPr="00FF3208">
        <w:rPr>
          <w:rFonts w:cs="Arial"/>
        </w:rPr>
        <w:t>„Die Absätze 7.2.3.51.4 und 7.2.3.51.5 gelten nicht in den Wohnungen, Steuerhaus und Betriebsräumen außerhalb des Bereichs der Ladung wenn […]“.</w:t>
      </w:r>
    </w:p>
    <w:p w14:paraId="73899568" w14:textId="77777777" w:rsidR="00FF3208" w:rsidRPr="00FF3208" w:rsidRDefault="00FF3208" w:rsidP="00FF3208">
      <w:pPr>
        <w:spacing w:line="240" w:lineRule="atLeast"/>
        <w:ind w:left="284" w:firstLine="0"/>
        <w:rPr>
          <w:rFonts w:cs="Arial"/>
        </w:rPr>
      </w:pPr>
    </w:p>
    <w:p w14:paraId="00359D70"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23E57F52" w14:textId="77777777" w:rsidR="00FF3208" w:rsidRPr="00FF3208" w:rsidRDefault="00FF3208" w:rsidP="00FF3208">
      <w:pPr>
        <w:spacing w:line="240" w:lineRule="atLeast"/>
        <w:ind w:firstLine="0"/>
        <w:contextualSpacing/>
        <w:rPr>
          <w:rFonts w:cs="Arial"/>
          <w:u w:val="single"/>
        </w:rPr>
      </w:pPr>
    </w:p>
    <w:p w14:paraId="36523805" w14:textId="77777777" w:rsidR="00FF3208" w:rsidRPr="00FF3208" w:rsidRDefault="00FF3208" w:rsidP="00FF3208">
      <w:pPr>
        <w:spacing w:line="240" w:lineRule="atLeast"/>
        <w:ind w:firstLine="0"/>
        <w:contextualSpacing/>
        <w:rPr>
          <w:rFonts w:cs="Arial"/>
        </w:rPr>
      </w:pPr>
      <w:r w:rsidRPr="00FF3208">
        <w:rPr>
          <w:rFonts w:cs="Arial"/>
        </w:rPr>
        <w:t>In den anderen Änderungsbefehlen wird stets „Wohnungen“ in der Mehrzahl, nicht „Wohnung“ in der Einzahl verwendet.</w:t>
      </w:r>
    </w:p>
    <w:p w14:paraId="0B3BE7C5" w14:textId="77777777" w:rsidR="00FF3208" w:rsidRPr="00FF3208" w:rsidRDefault="00FF3208" w:rsidP="00FF3208">
      <w:pPr>
        <w:spacing w:line="240" w:lineRule="atLeast"/>
        <w:ind w:left="284" w:firstLine="0"/>
        <w:rPr>
          <w:rFonts w:cs="Arial"/>
        </w:rPr>
      </w:pPr>
    </w:p>
    <w:p w14:paraId="14371CC7" w14:textId="77777777" w:rsidR="00FF3208" w:rsidRPr="00FF3208" w:rsidRDefault="00FF3208" w:rsidP="00FF3208">
      <w:pPr>
        <w:spacing w:line="240" w:lineRule="atLeast"/>
        <w:ind w:left="567" w:hanging="567"/>
        <w:rPr>
          <w:rFonts w:cs="Arial"/>
        </w:rPr>
      </w:pPr>
      <w:r w:rsidRPr="00FF3208">
        <w:rPr>
          <w:rFonts w:cs="Arial"/>
        </w:rPr>
        <w:t>11.</w:t>
      </w:r>
      <w:r w:rsidRPr="00FF3208">
        <w:rPr>
          <w:rFonts w:cs="Arial"/>
        </w:rPr>
        <w:tab/>
        <w:t>Im Änderungsbefehl zu Absatz 7.2.4.7.1 ADN den folgenden Satz anfügen: „Die zuständige Behörde kann im Einzelfall Ausnahmen zulassen.“.</w:t>
      </w:r>
    </w:p>
    <w:p w14:paraId="2157B837" w14:textId="77777777" w:rsidR="00FF3208" w:rsidRPr="00FF3208" w:rsidRDefault="00FF3208" w:rsidP="00FF3208">
      <w:pPr>
        <w:spacing w:line="240" w:lineRule="atLeast"/>
        <w:ind w:firstLine="0"/>
        <w:contextualSpacing/>
        <w:rPr>
          <w:rFonts w:cs="Arial"/>
          <w:u w:val="single"/>
        </w:rPr>
      </w:pPr>
    </w:p>
    <w:p w14:paraId="3D42D91E"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48902425" w14:textId="77777777" w:rsidR="00FF3208" w:rsidRPr="00FF3208" w:rsidRDefault="00FF3208" w:rsidP="00FF3208">
      <w:pPr>
        <w:spacing w:line="240" w:lineRule="atLeast"/>
        <w:ind w:firstLine="0"/>
        <w:contextualSpacing/>
        <w:rPr>
          <w:rFonts w:cs="Arial"/>
          <w:u w:val="single"/>
        </w:rPr>
      </w:pPr>
    </w:p>
    <w:p w14:paraId="5CC78DE2" w14:textId="77777777" w:rsidR="00FF3208" w:rsidRPr="00FF3208" w:rsidRDefault="00FF3208" w:rsidP="00FF3208">
      <w:pPr>
        <w:spacing w:line="240" w:lineRule="atLeast"/>
        <w:ind w:firstLine="0"/>
        <w:contextualSpacing/>
        <w:rPr>
          <w:rFonts w:cs="Arial"/>
        </w:rPr>
      </w:pPr>
      <w:r w:rsidRPr="00FF3208">
        <w:rPr>
          <w:rFonts w:cs="Arial"/>
        </w:rPr>
        <w:t>Die Verkehrssituation oder Havariefälle können das sofortige Anfahren einer solchen Lade- und Löschstelle erforderlichen machen. Die zuständige Behörde hat zu prüfen, ob der Explosionsschutz auf andere Art und Weise gewährleistet werden kann oder ob Erleichterungen vertretbar sind.</w:t>
      </w:r>
    </w:p>
    <w:p w14:paraId="6E9B0D43" w14:textId="77777777" w:rsidR="00FF3208" w:rsidRPr="00FF3208" w:rsidRDefault="00FF3208" w:rsidP="00FF3208">
      <w:pPr>
        <w:spacing w:line="240" w:lineRule="atLeast"/>
        <w:ind w:left="284" w:hanging="284"/>
        <w:rPr>
          <w:rFonts w:cs="Arial"/>
        </w:rPr>
      </w:pPr>
    </w:p>
    <w:p w14:paraId="4D58AE56" w14:textId="77777777" w:rsidR="00FF3208" w:rsidRPr="00FF3208" w:rsidRDefault="00FF3208" w:rsidP="00FF3208">
      <w:pPr>
        <w:widowControl/>
        <w:overflowPunct/>
        <w:autoSpaceDE/>
        <w:autoSpaceDN/>
        <w:adjustRightInd/>
        <w:ind w:left="0" w:firstLine="0"/>
        <w:jc w:val="left"/>
        <w:textAlignment w:val="auto"/>
        <w:rPr>
          <w:rFonts w:cs="Arial"/>
        </w:rPr>
      </w:pPr>
      <w:r w:rsidRPr="00FF3208">
        <w:rPr>
          <w:rFonts w:cs="Arial"/>
        </w:rPr>
        <w:br w:type="page"/>
      </w:r>
    </w:p>
    <w:p w14:paraId="5E2501C4" w14:textId="3E600974" w:rsidR="00FF3208" w:rsidRPr="00FF3208" w:rsidRDefault="00FF3208" w:rsidP="00FF3208">
      <w:pPr>
        <w:tabs>
          <w:tab w:val="left" w:pos="567"/>
        </w:tabs>
        <w:spacing w:line="240" w:lineRule="atLeast"/>
        <w:ind w:left="0" w:firstLine="0"/>
        <w:contextualSpacing/>
        <w:rPr>
          <w:rFonts w:cs="Arial"/>
        </w:rPr>
      </w:pPr>
      <w:r w:rsidRPr="00FF3208">
        <w:rPr>
          <w:rFonts w:cs="Arial"/>
        </w:rPr>
        <w:lastRenderedPageBreak/>
        <w:t>12.</w:t>
      </w:r>
      <w:r w:rsidRPr="00FF3208">
        <w:rPr>
          <w:rFonts w:cs="Arial"/>
        </w:rPr>
        <w:tab/>
      </w:r>
      <w:r w:rsidR="00DB5BC2">
        <w:rPr>
          <w:rFonts w:cs="Arial"/>
        </w:rPr>
        <w:t>Folgende</w:t>
      </w:r>
      <w:r w:rsidR="00F85476">
        <w:rPr>
          <w:rFonts w:cs="Arial"/>
        </w:rPr>
        <w:t>n</w:t>
      </w:r>
      <w:r w:rsidR="00DB5BC2">
        <w:rPr>
          <w:rFonts w:cs="Arial"/>
        </w:rPr>
        <w:t xml:space="preserve"> neue</w:t>
      </w:r>
      <w:r w:rsidR="00F85476">
        <w:rPr>
          <w:rFonts w:cs="Arial"/>
        </w:rPr>
        <w:t>n</w:t>
      </w:r>
      <w:r w:rsidR="00DB5BC2">
        <w:rPr>
          <w:rFonts w:cs="Arial"/>
        </w:rPr>
        <w:t xml:space="preserve"> </w:t>
      </w:r>
      <w:r w:rsidR="00282C43">
        <w:rPr>
          <w:rFonts w:cs="Arial"/>
        </w:rPr>
        <w:t>Änderungsvorschalg</w:t>
      </w:r>
      <w:r w:rsidR="00DB5BC2">
        <w:rPr>
          <w:rFonts w:cs="Arial"/>
        </w:rPr>
        <w:t xml:space="preserve"> einfügen:</w:t>
      </w:r>
    </w:p>
    <w:p w14:paraId="4CC1A4F4" w14:textId="77777777" w:rsidR="00FF3208" w:rsidRPr="00FF3208" w:rsidRDefault="00FF3208" w:rsidP="00FF3208">
      <w:pPr>
        <w:tabs>
          <w:tab w:val="left" w:pos="567"/>
        </w:tabs>
        <w:spacing w:line="240" w:lineRule="atLeast"/>
        <w:ind w:left="0" w:firstLine="0"/>
        <w:contextualSpacing/>
        <w:rPr>
          <w:rFonts w:cs="Arial"/>
        </w:rPr>
      </w:pPr>
    </w:p>
    <w:p w14:paraId="3BE1FBEF" w14:textId="1FAF1B84" w:rsidR="00FF3208" w:rsidRPr="00FF3208" w:rsidRDefault="00FF3208" w:rsidP="00A13C90">
      <w:pPr>
        <w:tabs>
          <w:tab w:val="left" w:pos="1701"/>
        </w:tabs>
        <w:ind w:left="567" w:right="-2" w:firstLine="0"/>
        <w:rPr>
          <w:rFonts w:cs="Arial"/>
        </w:rPr>
      </w:pPr>
      <w:r w:rsidRPr="00FF3208">
        <w:rPr>
          <w:rFonts w:cs="Arial"/>
        </w:rPr>
        <w:t>„7.2.4.75</w:t>
      </w:r>
      <w:r w:rsidR="00E42BF7">
        <w:rPr>
          <w:rFonts w:cs="Arial"/>
        </w:rPr>
        <w:tab/>
      </w:r>
      <w:r w:rsidR="00E42BF7" w:rsidRPr="00E42BF7">
        <w:rPr>
          <w:rFonts w:cs="Arial"/>
        </w:rPr>
        <w:t>E</w:t>
      </w:r>
      <w:r w:rsidRPr="00E42BF7">
        <w:rPr>
          <w:rFonts w:cs="Arial"/>
        </w:rPr>
        <w:t>rh</w:t>
      </w:r>
      <w:r w:rsidRPr="00FF3208">
        <w:rPr>
          <w:rFonts w:cs="Arial"/>
        </w:rPr>
        <w:t>ält folgenden Wortlaut:</w:t>
      </w:r>
    </w:p>
    <w:p w14:paraId="678ACAC0" w14:textId="77777777" w:rsidR="00FF3208" w:rsidRPr="00FF3208" w:rsidRDefault="00FF3208" w:rsidP="00AA3039">
      <w:pPr>
        <w:tabs>
          <w:tab w:val="left" w:pos="1701"/>
          <w:tab w:val="left" w:pos="2268"/>
        </w:tabs>
        <w:ind w:left="567" w:right="1134" w:firstLine="0"/>
        <w:rPr>
          <w:rFonts w:cs="Arial"/>
          <w:b/>
        </w:rPr>
      </w:pPr>
    </w:p>
    <w:p w14:paraId="52911A2A" w14:textId="77777777" w:rsidR="00FF3208" w:rsidRPr="00920ACF" w:rsidRDefault="00FF3208" w:rsidP="00AA3039">
      <w:pPr>
        <w:tabs>
          <w:tab w:val="left" w:pos="1701"/>
          <w:tab w:val="left" w:pos="2268"/>
        </w:tabs>
        <w:ind w:left="567" w:right="1134" w:firstLine="0"/>
        <w:rPr>
          <w:rFonts w:cs="Arial"/>
        </w:rPr>
      </w:pPr>
      <w:r w:rsidRPr="00920ACF">
        <w:rPr>
          <w:rFonts w:cs="Arial"/>
        </w:rPr>
        <w:t>„7.2.4.75</w:t>
      </w:r>
      <w:r w:rsidRPr="00920ACF">
        <w:rPr>
          <w:rFonts w:cs="Arial"/>
        </w:rPr>
        <w:tab/>
        <w:t>Gefahr der Funkenbildung</w:t>
      </w:r>
    </w:p>
    <w:p w14:paraId="24BBF392" w14:textId="1BBF566C" w:rsidR="00FF3208" w:rsidRPr="00FF3208" w:rsidRDefault="00FF3208" w:rsidP="007D4EE5">
      <w:pPr>
        <w:tabs>
          <w:tab w:val="left" w:pos="1701"/>
          <w:tab w:val="left" w:pos="2268"/>
        </w:tabs>
        <w:ind w:left="567" w:right="-2" w:firstLine="0"/>
      </w:pPr>
      <w:r w:rsidRPr="00FF3208">
        <w:t xml:space="preserve">Elektrisch leitende Verbindungen zwischen Schiff und Land müssen so beschaffen sein, dass sie keine Zündquelle darstellen. Wenn die </w:t>
      </w:r>
      <w:r w:rsidRPr="00FF3208">
        <w:rPr>
          <w:rFonts w:eastAsia="Calibri"/>
        </w:rPr>
        <w:t>Schiffsstoffliste nach Absatz 1.16.1.2.5 Stoffe enthält, für die nach Unterabschnitt 3.2.3.2 Tabelle C Spalte (17) Explosionsschutz gefordert wird, ist in Zone 1 das Ablegen von Kleidung verboten.“.“.</w:t>
      </w:r>
    </w:p>
    <w:p w14:paraId="597BFE0E" w14:textId="77777777" w:rsidR="00FF3208" w:rsidRPr="00FF3208" w:rsidRDefault="00FF3208" w:rsidP="00FF3208">
      <w:pPr>
        <w:spacing w:line="240" w:lineRule="atLeast"/>
        <w:ind w:firstLine="0"/>
        <w:contextualSpacing/>
        <w:rPr>
          <w:rFonts w:cs="Arial"/>
          <w:u w:val="single"/>
        </w:rPr>
      </w:pPr>
    </w:p>
    <w:p w14:paraId="04CE4D02"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796D0B1B" w14:textId="77777777" w:rsidR="00FF3208" w:rsidRPr="00FF3208" w:rsidRDefault="00FF3208" w:rsidP="00FF3208">
      <w:pPr>
        <w:spacing w:line="240" w:lineRule="atLeast"/>
        <w:ind w:firstLine="0"/>
        <w:contextualSpacing/>
        <w:rPr>
          <w:rFonts w:cs="Arial"/>
          <w:u w:val="single"/>
        </w:rPr>
      </w:pPr>
    </w:p>
    <w:p w14:paraId="675012A7" w14:textId="77777777" w:rsidR="00FF3208" w:rsidRPr="00FF3208" w:rsidRDefault="00FF3208" w:rsidP="00FF3208">
      <w:pPr>
        <w:spacing w:line="240" w:lineRule="atLeast"/>
        <w:ind w:firstLine="0"/>
        <w:contextualSpacing/>
        <w:rPr>
          <w:rFonts w:cs="Arial"/>
        </w:rPr>
      </w:pPr>
      <w:r w:rsidRPr="00FF3208">
        <w:rPr>
          <w:rFonts w:cs="Arial"/>
        </w:rPr>
        <w:t>Die Vermeidung von Zündquellen durch elektrostatische Aufladung ist unverzichtbarer Bestandteil der Maßnahmen zum Explosionsschutz. Das Ablegen von nicht ausreichend ableitfähiger Kleidung kann zu solch einer elektrostatischen Aufladung führen und muss daher in der Zone 1 verboten sein.</w:t>
      </w:r>
    </w:p>
    <w:p w14:paraId="05E876A6" w14:textId="77777777" w:rsidR="00FF3208" w:rsidRPr="00FF3208" w:rsidRDefault="00FF3208" w:rsidP="00FF3208">
      <w:pPr>
        <w:spacing w:line="240" w:lineRule="atLeast"/>
        <w:ind w:left="284" w:hanging="284"/>
        <w:rPr>
          <w:rFonts w:cs="Arial"/>
        </w:rPr>
      </w:pPr>
    </w:p>
    <w:p w14:paraId="421C79F3" w14:textId="77777777" w:rsidR="00FF3208" w:rsidRPr="00FF3208" w:rsidRDefault="00FF3208" w:rsidP="00FF3208">
      <w:pPr>
        <w:spacing w:line="240" w:lineRule="atLeast"/>
        <w:ind w:left="567" w:hanging="567"/>
        <w:rPr>
          <w:rFonts w:cs="Arial"/>
        </w:rPr>
      </w:pPr>
      <w:r w:rsidRPr="00FF3208">
        <w:rPr>
          <w:rFonts w:cs="Arial"/>
        </w:rPr>
        <w:t>13.</w:t>
      </w:r>
      <w:r w:rsidRPr="00FF3208">
        <w:rPr>
          <w:rFonts w:cs="Arial"/>
        </w:rPr>
        <w:tab/>
        <w:t>In dem Vorschlag zu Abschnitt 8.3.5 ADN wird der dritte Spiegelstrich wie folgt gefasst:</w:t>
      </w:r>
    </w:p>
    <w:p w14:paraId="597F293B" w14:textId="77777777" w:rsidR="00FF3208" w:rsidRPr="00FF3208" w:rsidRDefault="00FF3208" w:rsidP="00FF3208">
      <w:pPr>
        <w:tabs>
          <w:tab w:val="left" w:pos="851"/>
        </w:tabs>
        <w:spacing w:before="60"/>
        <w:ind w:left="568" w:hanging="1"/>
        <w:rPr>
          <w:rFonts w:eastAsia="Calibri"/>
        </w:rPr>
      </w:pPr>
      <w:r w:rsidRPr="00FF3208">
        <w:rPr>
          <w:rFonts w:eastAsia="Calibri"/>
        </w:rPr>
        <w:t xml:space="preserve">„- </w:t>
      </w:r>
      <w:r w:rsidRPr="00FF3208">
        <w:rPr>
          <w:rFonts w:eastAsia="Calibri"/>
        </w:rPr>
        <w:tab/>
        <w:t>wenn sich das Schiff nicht in einer oder unmittelbar angrenzend an eine landseitig ausgewiesene Zone aufhält und bei Tankschiffen eine Gasfreiheitsbescheinigung nach Absatz 7.2.3.7.6 für das Schiff oder eine Genehmigung der zuständigen Behörde vorliegt, bzw. bei Trockengüterschiffen eine Gasfreiheitsbescheinigung für den geschützten Bereich oder eine Genehmigung der zuständigen Behörde vorliegt.“.</w:t>
      </w:r>
    </w:p>
    <w:p w14:paraId="7E5DA0FC" w14:textId="77777777" w:rsidR="00FF3208" w:rsidRPr="00FF3208" w:rsidRDefault="00FF3208" w:rsidP="00FF3208">
      <w:pPr>
        <w:spacing w:line="240" w:lineRule="atLeast"/>
        <w:ind w:firstLine="0"/>
        <w:contextualSpacing/>
        <w:rPr>
          <w:rFonts w:cs="Arial"/>
          <w:i/>
          <w:u w:val="single"/>
        </w:rPr>
      </w:pPr>
    </w:p>
    <w:p w14:paraId="68F5DA9B"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3AD05E46" w14:textId="77777777" w:rsidR="00FF3208" w:rsidRPr="00FF3208" w:rsidRDefault="00FF3208" w:rsidP="00FF3208">
      <w:pPr>
        <w:spacing w:line="240" w:lineRule="atLeast"/>
        <w:ind w:firstLine="0"/>
        <w:contextualSpacing/>
        <w:rPr>
          <w:rFonts w:cs="Arial"/>
          <w:i/>
          <w:u w:val="single"/>
        </w:rPr>
      </w:pPr>
    </w:p>
    <w:p w14:paraId="66BD87D5" w14:textId="77777777" w:rsidR="00FF3208" w:rsidRPr="00FF3208" w:rsidRDefault="00FF3208" w:rsidP="00FF3208">
      <w:pPr>
        <w:spacing w:line="240" w:lineRule="atLeast"/>
        <w:ind w:firstLine="0"/>
        <w:contextualSpacing/>
        <w:rPr>
          <w:rFonts w:cs="Arial"/>
        </w:rPr>
      </w:pPr>
      <w:r w:rsidRPr="00FF3208">
        <w:rPr>
          <w:rFonts w:cs="Arial"/>
        </w:rPr>
        <w:t>Die bis zum ADN 2017 bekannte Möglichkeit, die Gasfreiheitsbescheinigung durch eine behördliche Genehmigung zu ersetzen, soll auch für Tankschiffe erhalten bleiben.</w:t>
      </w:r>
    </w:p>
    <w:p w14:paraId="1010DF82" w14:textId="77777777" w:rsidR="00FF3208" w:rsidRPr="00FF3208" w:rsidRDefault="00FF3208" w:rsidP="00FF3208">
      <w:pPr>
        <w:spacing w:before="60"/>
        <w:ind w:left="568" w:hanging="284"/>
        <w:rPr>
          <w:rFonts w:eastAsia="Calibri"/>
        </w:rPr>
      </w:pPr>
    </w:p>
    <w:p w14:paraId="725B2BA1" w14:textId="77777777" w:rsidR="00FF3208" w:rsidRPr="00FF3208" w:rsidRDefault="00FF3208" w:rsidP="00FF3208">
      <w:pPr>
        <w:spacing w:line="240" w:lineRule="atLeast"/>
        <w:ind w:left="567" w:hanging="567"/>
        <w:rPr>
          <w:rFonts w:cs="Arial"/>
        </w:rPr>
      </w:pPr>
      <w:r w:rsidRPr="00FF3208">
        <w:rPr>
          <w:rFonts w:cs="Arial"/>
        </w:rPr>
        <w:t xml:space="preserve">14. </w:t>
      </w:r>
      <w:r w:rsidRPr="00FF3208">
        <w:rPr>
          <w:rFonts w:cs="Arial"/>
        </w:rPr>
        <w:tab/>
        <w:t>In Änderungsvorschlag zu Absatz 9.1.0.52.1 ADN den Buchstaben b) wie folgt fassen:</w:t>
      </w:r>
    </w:p>
    <w:p w14:paraId="2EA5C28A" w14:textId="77777777" w:rsidR="00FF3208" w:rsidRPr="00FF3208" w:rsidRDefault="00FF3208" w:rsidP="00FF3208">
      <w:pPr>
        <w:ind w:left="2552" w:right="112" w:hanging="284"/>
        <w:rPr>
          <w:rFonts w:eastAsia="Calibri"/>
        </w:rPr>
      </w:pPr>
    </w:p>
    <w:p w14:paraId="2824F623" w14:textId="19CEFA86" w:rsidR="00FF3208" w:rsidRPr="00FF3208" w:rsidRDefault="00FF3208" w:rsidP="00FF3208">
      <w:pPr>
        <w:ind w:left="992" w:right="112" w:hanging="425"/>
        <w:rPr>
          <w:rFonts w:eastAsia="Calibri"/>
        </w:rPr>
      </w:pPr>
      <w:r w:rsidRPr="00FF3208">
        <w:rPr>
          <w:rFonts w:eastAsia="Calibri"/>
        </w:rPr>
        <w:t>„b)</w:t>
      </w:r>
      <w:r w:rsidRPr="00FF3208">
        <w:rPr>
          <w:rFonts w:eastAsia="Calibri"/>
        </w:rPr>
        <w:tab/>
        <w:t xml:space="preserve">tragbare Telefone, fest installierte Telefonanlagen sowie stationäre Computer und </w:t>
      </w:r>
      <w:r w:rsidRPr="00FF3208">
        <w:t>tragbare Rechner</w:t>
      </w:r>
      <w:r w:rsidR="0021296C">
        <w:t xml:space="preserve"> </w:t>
      </w:r>
      <w:r w:rsidRPr="00FF3208">
        <w:rPr>
          <w:rFonts w:eastAsia="Calibri"/>
        </w:rPr>
        <w:t>in den Wohnungen und im Steuerhaus;“.</w:t>
      </w:r>
    </w:p>
    <w:p w14:paraId="2D035390" w14:textId="77777777" w:rsidR="00FF3208" w:rsidRPr="00FF3208" w:rsidRDefault="00FF3208" w:rsidP="00FF3208">
      <w:pPr>
        <w:spacing w:line="240" w:lineRule="atLeast"/>
        <w:ind w:firstLine="0"/>
        <w:contextualSpacing/>
        <w:rPr>
          <w:rFonts w:cs="Arial"/>
          <w:u w:val="single"/>
        </w:rPr>
      </w:pPr>
    </w:p>
    <w:p w14:paraId="73A993A6"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4B924D6D" w14:textId="77777777" w:rsidR="00FF3208" w:rsidRPr="00FF3208" w:rsidRDefault="00FF3208" w:rsidP="00FF3208">
      <w:pPr>
        <w:spacing w:line="240" w:lineRule="atLeast"/>
        <w:ind w:firstLine="0"/>
        <w:contextualSpacing/>
        <w:rPr>
          <w:rFonts w:cs="Arial"/>
          <w:u w:val="single"/>
        </w:rPr>
      </w:pPr>
    </w:p>
    <w:p w14:paraId="46B12DAE" w14:textId="77777777" w:rsidR="00FF3208" w:rsidRPr="00FF3208" w:rsidRDefault="00FF3208" w:rsidP="00FF3208">
      <w:pPr>
        <w:spacing w:line="240" w:lineRule="atLeast"/>
        <w:ind w:firstLine="0"/>
        <w:contextualSpacing/>
        <w:rPr>
          <w:rFonts w:eastAsia="Calibri"/>
        </w:rPr>
      </w:pPr>
      <w:r w:rsidRPr="00FF3208">
        <w:t xml:space="preserve">Die genannten Geräte sind entweder im Steuerhaus in Verwendung als Bordcomputer z.B. im Ladungsrechnersystem oder werden wie tragbare Telefone von der Schiffsmannschaft für betriebliche oder persönliche Zwecke verwendet. Auch für diese Geräte ist die Anforderung </w:t>
      </w:r>
      <w:r w:rsidRPr="00FF3208">
        <w:rPr>
          <w:rFonts w:eastAsia="Calibri"/>
        </w:rPr>
        <w:t>Typ „begrenzte Explosionsgefahr“ unverhältnismäßig.</w:t>
      </w:r>
    </w:p>
    <w:p w14:paraId="1632594F" w14:textId="77777777" w:rsidR="00FF3208" w:rsidRPr="00FF3208" w:rsidRDefault="00FF3208" w:rsidP="00FF3208">
      <w:pPr>
        <w:spacing w:line="240" w:lineRule="atLeast"/>
        <w:ind w:firstLine="0"/>
        <w:contextualSpacing/>
        <w:rPr>
          <w:rFonts w:cs="Arial"/>
        </w:rPr>
      </w:pPr>
    </w:p>
    <w:p w14:paraId="2498F129" w14:textId="77777777" w:rsidR="00FF3208" w:rsidRPr="00FF3208" w:rsidRDefault="00FF3208" w:rsidP="00FF3208">
      <w:pPr>
        <w:spacing w:line="240" w:lineRule="atLeast"/>
        <w:ind w:left="567" w:hanging="567"/>
        <w:rPr>
          <w:rFonts w:cs="Arial"/>
        </w:rPr>
      </w:pPr>
      <w:r w:rsidRPr="00FF3208">
        <w:rPr>
          <w:rFonts w:cs="Arial"/>
        </w:rPr>
        <w:t>15.</w:t>
      </w:r>
      <w:r w:rsidRPr="00FF3208">
        <w:rPr>
          <w:rFonts w:cs="Arial"/>
        </w:rPr>
        <w:tab/>
        <w:t>Im Änderungsvorschlag zu den Absätzen 9.3.2.21.1 f) und 9.3.2.21.1 f) ADN den zweiten Verweis auf „9.3.2.21.1“ ersetzen durch „9.3.3.21.1“.</w:t>
      </w:r>
    </w:p>
    <w:p w14:paraId="1A6873FC" w14:textId="77777777" w:rsidR="00FF3208" w:rsidRPr="00FF3208" w:rsidRDefault="00FF3208" w:rsidP="00FF3208">
      <w:pPr>
        <w:spacing w:line="240" w:lineRule="atLeast"/>
        <w:ind w:firstLine="0"/>
        <w:contextualSpacing/>
        <w:rPr>
          <w:rFonts w:cs="Arial"/>
          <w:u w:val="single"/>
        </w:rPr>
      </w:pPr>
    </w:p>
    <w:p w14:paraId="343645F7" w14:textId="77777777" w:rsidR="00FF3208" w:rsidRPr="00FF3208" w:rsidRDefault="00FF3208" w:rsidP="00FF3208">
      <w:pPr>
        <w:spacing w:line="240" w:lineRule="atLeast"/>
        <w:ind w:firstLine="0"/>
        <w:contextualSpacing/>
        <w:rPr>
          <w:rFonts w:cs="Arial"/>
          <w:u w:val="single"/>
        </w:rPr>
      </w:pPr>
      <w:r w:rsidRPr="00FF3208">
        <w:rPr>
          <w:rFonts w:cs="Arial"/>
          <w:u w:val="single"/>
        </w:rPr>
        <w:t xml:space="preserve">Begründung: </w:t>
      </w:r>
    </w:p>
    <w:p w14:paraId="2126F025" w14:textId="77777777" w:rsidR="00FF3208" w:rsidRPr="00FF3208" w:rsidRDefault="00FF3208" w:rsidP="00FF3208">
      <w:pPr>
        <w:pStyle w:val="ListParagraph"/>
        <w:spacing w:before="240"/>
        <w:ind w:left="1134" w:firstLine="0"/>
        <w:contextualSpacing w:val="0"/>
        <w:rPr>
          <w:rFonts w:cs="Arial"/>
        </w:rPr>
      </w:pPr>
      <w:r w:rsidRPr="00FF3208">
        <w:rPr>
          <w:rFonts w:cs="Arial"/>
        </w:rPr>
        <w:t xml:space="preserve">Die Bestimmung gilt auch für Schiffe des Typs N. </w:t>
      </w:r>
    </w:p>
    <w:p w14:paraId="6DD785FE" w14:textId="77777777" w:rsidR="00FF3208" w:rsidRPr="00FF3208" w:rsidRDefault="00FF3208" w:rsidP="00FF3208">
      <w:pPr>
        <w:spacing w:line="240" w:lineRule="atLeast"/>
        <w:ind w:firstLine="0"/>
        <w:contextualSpacing/>
        <w:rPr>
          <w:rFonts w:cs="Arial"/>
          <w:u w:val="single"/>
        </w:rPr>
      </w:pPr>
    </w:p>
    <w:p w14:paraId="003C5737" w14:textId="77777777" w:rsidR="00FF3208" w:rsidRPr="00FF3208" w:rsidRDefault="00FF3208" w:rsidP="00FF3208">
      <w:pPr>
        <w:widowControl/>
        <w:overflowPunct/>
        <w:autoSpaceDE/>
        <w:autoSpaceDN/>
        <w:adjustRightInd/>
        <w:ind w:left="0" w:firstLine="0"/>
        <w:jc w:val="left"/>
        <w:textAlignment w:val="auto"/>
        <w:rPr>
          <w:rFonts w:cs="Arial"/>
        </w:rPr>
      </w:pPr>
      <w:r w:rsidRPr="00FF3208">
        <w:rPr>
          <w:rFonts w:cs="Arial"/>
        </w:rPr>
        <w:br w:type="page"/>
      </w:r>
    </w:p>
    <w:p w14:paraId="25EA88B6" w14:textId="77777777" w:rsidR="00FF3208" w:rsidRPr="00FF3208" w:rsidRDefault="00FF3208" w:rsidP="00FF3208">
      <w:pPr>
        <w:spacing w:line="240" w:lineRule="atLeast"/>
        <w:ind w:left="567" w:hanging="567"/>
        <w:rPr>
          <w:rFonts w:cs="Arial"/>
        </w:rPr>
      </w:pPr>
      <w:r w:rsidRPr="00FF3208">
        <w:rPr>
          <w:rFonts w:cs="Arial"/>
        </w:rPr>
        <w:lastRenderedPageBreak/>
        <w:t>16.</w:t>
      </w:r>
      <w:r w:rsidRPr="00FF3208">
        <w:rPr>
          <w:rFonts w:cs="Arial"/>
        </w:rPr>
        <w:tab/>
        <w:t>Im Änderungsvorschlag zu Absatz 9.3.2.22.4 b) ADN den zweiten Spiegelstrich entfernen.</w:t>
      </w:r>
    </w:p>
    <w:p w14:paraId="318B7CA5" w14:textId="77777777" w:rsidR="00FF3208" w:rsidRPr="00FF3208" w:rsidRDefault="00FF3208" w:rsidP="00FF3208">
      <w:pPr>
        <w:spacing w:line="240" w:lineRule="atLeast"/>
        <w:ind w:left="567" w:firstLine="0"/>
      </w:pPr>
      <w:r w:rsidRPr="00FF3208">
        <w:t>Den Satzanfang in Buchstabe e) wie folgt fassen: „</w:t>
      </w:r>
      <w:r w:rsidRPr="00FF3208">
        <w:rPr>
          <w:rFonts w:eastAsia="Calibri"/>
        </w:rPr>
        <w:t xml:space="preserve">e) </w:t>
      </w:r>
      <w:r w:rsidRPr="00FF3208">
        <w:rPr>
          <w:rFonts w:eastAsia="Calibri"/>
        </w:rPr>
        <w:tab/>
        <w:t>Die in c) genannten autonomen Schutzsysteme […]“.</w:t>
      </w:r>
    </w:p>
    <w:p w14:paraId="4F399597" w14:textId="77777777" w:rsidR="00FF3208" w:rsidRPr="00FF3208" w:rsidRDefault="00FF3208" w:rsidP="00FF3208">
      <w:pPr>
        <w:spacing w:line="240" w:lineRule="atLeast"/>
        <w:ind w:left="284" w:hanging="284"/>
        <w:rPr>
          <w:rFonts w:cs="Arial"/>
        </w:rPr>
      </w:pPr>
    </w:p>
    <w:p w14:paraId="6F2C9EEA"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w:t>
      </w:r>
    </w:p>
    <w:p w14:paraId="1DD967C7" w14:textId="77777777" w:rsidR="00FF3208" w:rsidRPr="00FF3208" w:rsidRDefault="00FF3208" w:rsidP="00FF3208">
      <w:pPr>
        <w:spacing w:line="240" w:lineRule="atLeast"/>
        <w:ind w:firstLine="0"/>
        <w:contextualSpacing/>
        <w:rPr>
          <w:rFonts w:cs="Arial"/>
          <w:u w:val="single"/>
        </w:rPr>
      </w:pPr>
    </w:p>
    <w:p w14:paraId="386EFF02" w14:textId="77777777" w:rsidR="00FF3208" w:rsidRPr="00FF3208" w:rsidRDefault="00FF3208" w:rsidP="00FF3208">
      <w:pPr>
        <w:spacing w:line="240" w:lineRule="atLeast"/>
        <w:ind w:left="708" w:firstLine="424"/>
        <w:rPr>
          <w:rFonts w:eastAsia="Calibri"/>
        </w:rPr>
      </w:pPr>
      <w:r w:rsidRPr="00FF3208">
        <w:rPr>
          <w:rFonts w:eastAsia="Calibri"/>
        </w:rPr>
        <w:t>Diese Anforderung ist bereits in der Begriffsbestimmung enthalten.</w:t>
      </w:r>
    </w:p>
    <w:p w14:paraId="1539AEAB" w14:textId="77777777" w:rsidR="00FF3208" w:rsidRPr="00FF3208" w:rsidRDefault="00FF3208" w:rsidP="00FF3208">
      <w:pPr>
        <w:spacing w:line="240" w:lineRule="atLeast"/>
        <w:ind w:left="708" w:firstLine="424"/>
        <w:rPr>
          <w:rFonts w:eastAsia="Calibri"/>
        </w:rPr>
      </w:pPr>
    </w:p>
    <w:p w14:paraId="60EE9FC6" w14:textId="77777777" w:rsidR="00FF3208" w:rsidRPr="00FF3208" w:rsidRDefault="00FF3208" w:rsidP="00FF3208">
      <w:pPr>
        <w:spacing w:line="240" w:lineRule="atLeast"/>
        <w:ind w:left="1132" w:firstLine="0"/>
      </w:pPr>
      <w:r w:rsidRPr="00FF3208">
        <w:rPr>
          <w:rFonts w:eastAsia="Calibri"/>
        </w:rPr>
        <w:t>Hinweis: in der deutschen Fassung des Dokumentes 2018/11 „autonome Schutzsysteme“ im Plural, in der englischen Fassung des Dokumentes 2018/11 „</w:t>
      </w:r>
      <w:r w:rsidRPr="00FF3208">
        <w:t>autonomous protection system“ im Singular.</w:t>
      </w:r>
    </w:p>
    <w:p w14:paraId="3D745DF9" w14:textId="77777777" w:rsidR="00FF3208" w:rsidRPr="00FF3208" w:rsidRDefault="00FF3208" w:rsidP="00FF3208">
      <w:pPr>
        <w:spacing w:line="240" w:lineRule="atLeast"/>
        <w:ind w:left="284" w:hanging="284"/>
        <w:rPr>
          <w:rFonts w:cs="Arial"/>
        </w:rPr>
      </w:pPr>
    </w:p>
    <w:p w14:paraId="3445FAA4" w14:textId="77777777" w:rsidR="00FF3208" w:rsidRPr="00FF3208" w:rsidRDefault="00FF3208" w:rsidP="00FF3208">
      <w:pPr>
        <w:spacing w:line="240" w:lineRule="atLeast"/>
        <w:ind w:left="567" w:hanging="567"/>
        <w:contextualSpacing/>
      </w:pPr>
      <w:r w:rsidRPr="00FF3208">
        <w:t>17.</w:t>
      </w:r>
      <w:r w:rsidRPr="00FF3208">
        <w:tab/>
        <w:t>In dem Änderungsvorschlag zu Absatz 9.3.2.22.4 a) ADN im 2. Spiegelstrich die Worte „der Absperrarmatur“ streichen.</w:t>
      </w:r>
    </w:p>
    <w:p w14:paraId="7BAD2F9B" w14:textId="77777777" w:rsidR="00FF3208" w:rsidRPr="00FF3208" w:rsidRDefault="00FF3208" w:rsidP="00FF3208">
      <w:pPr>
        <w:widowControl/>
        <w:overflowPunct/>
        <w:autoSpaceDE/>
        <w:autoSpaceDN/>
        <w:adjustRightInd/>
        <w:ind w:left="0" w:firstLine="0"/>
        <w:jc w:val="left"/>
        <w:textAlignment w:val="auto"/>
      </w:pPr>
    </w:p>
    <w:p w14:paraId="3E0838D5" w14:textId="77777777" w:rsidR="00FF3208" w:rsidRPr="00FF3208" w:rsidRDefault="00FF3208" w:rsidP="00FF3208">
      <w:pPr>
        <w:spacing w:line="240" w:lineRule="atLeast"/>
        <w:ind w:left="567" w:hanging="567"/>
        <w:contextualSpacing/>
      </w:pPr>
      <w:r w:rsidRPr="00FF3208">
        <w:t>18.</w:t>
      </w:r>
      <w:r w:rsidRPr="00FF3208">
        <w:tab/>
        <w:t>In dem Änderungsvorschlag zu Absatz 9.3.3.22.4 b) ADN die Worte „der Absperrarmatur“ streichen.</w:t>
      </w:r>
    </w:p>
    <w:p w14:paraId="5C791007" w14:textId="77777777" w:rsidR="00FF3208" w:rsidRPr="00FF3208" w:rsidRDefault="00FF3208" w:rsidP="00FF3208">
      <w:pPr>
        <w:spacing w:line="240" w:lineRule="atLeast"/>
        <w:contextualSpacing/>
        <w:rPr>
          <w:rFonts w:cs="Arial"/>
        </w:rPr>
      </w:pPr>
    </w:p>
    <w:p w14:paraId="2B68D5C7" w14:textId="77777777" w:rsidR="00FF3208" w:rsidRPr="00FF3208" w:rsidRDefault="00FF3208" w:rsidP="00FF3208">
      <w:pPr>
        <w:spacing w:line="240" w:lineRule="atLeast"/>
        <w:ind w:firstLine="0"/>
        <w:contextualSpacing/>
        <w:rPr>
          <w:rFonts w:cs="Arial"/>
          <w:u w:val="single"/>
        </w:rPr>
      </w:pPr>
      <w:r w:rsidRPr="00FF3208">
        <w:rPr>
          <w:rFonts w:cs="Arial"/>
          <w:u w:val="single"/>
        </w:rPr>
        <w:t>Begründung zu 16. und 17.:</w:t>
      </w:r>
    </w:p>
    <w:p w14:paraId="6FDE0915" w14:textId="77777777" w:rsidR="00FF3208" w:rsidRPr="00FF3208" w:rsidRDefault="00FF3208" w:rsidP="00FF3208">
      <w:pPr>
        <w:spacing w:line="240" w:lineRule="atLeast"/>
        <w:ind w:firstLine="0"/>
        <w:contextualSpacing/>
        <w:rPr>
          <w:rFonts w:cs="Arial"/>
          <w:u w:val="single"/>
        </w:rPr>
      </w:pPr>
    </w:p>
    <w:p w14:paraId="340F6A02" w14:textId="77777777" w:rsidR="00FF3208" w:rsidRPr="00FF3208" w:rsidRDefault="00FF3208" w:rsidP="00FF3208">
      <w:pPr>
        <w:spacing w:line="240" w:lineRule="atLeast"/>
        <w:ind w:firstLine="0"/>
        <w:contextualSpacing/>
        <w:rPr>
          <w:rFonts w:cs="Arial"/>
        </w:rPr>
      </w:pPr>
      <w:r w:rsidRPr="00FF3208">
        <w:rPr>
          <w:rFonts w:cs="Arial"/>
        </w:rPr>
        <w:t>Die genannte „Absperrvorrichtung“ ist kein zusätzliches Bauteil, sondern meint die Vorrichtung zum gefahrlosen Entspannen selbst.</w:t>
      </w:r>
    </w:p>
    <w:p w14:paraId="4E62A079" w14:textId="77777777" w:rsidR="00FF3208" w:rsidRPr="00FF3208" w:rsidRDefault="00FF3208" w:rsidP="00FF3208">
      <w:pPr>
        <w:spacing w:line="240" w:lineRule="atLeast"/>
        <w:contextualSpacing/>
        <w:rPr>
          <w:rFonts w:cs="Arial"/>
        </w:rPr>
      </w:pPr>
    </w:p>
    <w:p w14:paraId="38B32251" w14:textId="77777777" w:rsidR="00FF3208" w:rsidRPr="00FF3208" w:rsidRDefault="00FF3208" w:rsidP="00FF3208">
      <w:pPr>
        <w:spacing w:line="240" w:lineRule="atLeast"/>
        <w:contextualSpacing/>
        <w:rPr>
          <w:rFonts w:cs="Arial"/>
        </w:rPr>
      </w:pPr>
    </w:p>
    <w:p w14:paraId="4B384788" w14:textId="77777777" w:rsidR="00FF3208" w:rsidRPr="00FF3208" w:rsidRDefault="00FF3208" w:rsidP="00FF3208">
      <w:pPr>
        <w:tabs>
          <w:tab w:val="left" w:pos="567"/>
        </w:tabs>
        <w:spacing w:line="240" w:lineRule="atLeast"/>
        <w:contextualSpacing/>
        <w:rPr>
          <w:b/>
          <w:sz w:val="28"/>
          <w:szCs w:val="18"/>
        </w:rPr>
      </w:pPr>
      <w:r w:rsidRPr="00FF3208">
        <w:rPr>
          <w:b/>
          <w:sz w:val="28"/>
          <w:szCs w:val="18"/>
        </w:rPr>
        <w:t>II.</w:t>
      </w:r>
      <w:r w:rsidRPr="00FF3208">
        <w:rPr>
          <w:b/>
          <w:sz w:val="28"/>
          <w:szCs w:val="18"/>
        </w:rPr>
        <w:tab/>
        <w:t>Umsetzbarkeit</w:t>
      </w:r>
    </w:p>
    <w:p w14:paraId="491CF888" w14:textId="77777777" w:rsidR="00FF3208" w:rsidRPr="00FF3208" w:rsidRDefault="00FF3208" w:rsidP="00FF3208">
      <w:pPr>
        <w:tabs>
          <w:tab w:val="left" w:pos="1418"/>
        </w:tabs>
        <w:spacing w:line="240" w:lineRule="atLeast"/>
        <w:contextualSpacing/>
      </w:pPr>
    </w:p>
    <w:p w14:paraId="77776839" w14:textId="77777777" w:rsidR="00FF3208" w:rsidRPr="00FF3208" w:rsidRDefault="00FF3208" w:rsidP="00FF3208">
      <w:pPr>
        <w:spacing w:line="240" w:lineRule="atLeast"/>
        <w:ind w:left="567" w:hanging="567"/>
        <w:contextualSpacing/>
      </w:pPr>
      <w:r w:rsidRPr="00FF3208">
        <w:t>19.</w:t>
      </w:r>
      <w:r w:rsidRPr="00FF3208">
        <w:tab/>
        <w:t>Keine der vorgeschlagenen Änderungen erfordert zusätzliche Investitionen in den Schiffbau oder Änderungen in den Beförderungsabläufen.</w:t>
      </w:r>
    </w:p>
    <w:p w14:paraId="3AE64559" w14:textId="77777777" w:rsidR="00FF3208" w:rsidRPr="00FF3208" w:rsidRDefault="00FF3208" w:rsidP="00FF3208">
      <w:pPr>
        <w:spacing w:line="240" w:lineRule="atLeast"/>
        <w:ind w:left="567" w:firstLine="0"/>
        <w:contextualSpacing/>
      </w:pPr>
      <w:r w:rsidRPr="00FF3208">
        <w:t>Eventuelle Mehrkosten bei Schutzhandschuhen, Schutzschuhen oder Schutzstiefeln sind durch den Erfolg beim Explosionsschutz und den besseren Schutz des Personals an Bord gerechtfertigt.</w:t>
      </w:r>
    </w:p>
    <w:p w14:paraId="2EFF3DBA" w14:textId="77777777" w:rsidR="00FF3208" w:rsidRPr="00FF3208" w:rsidRDefault="00FF3208" w:rsidP="00FF3208">
      <w:pPr>
        <w:spacing w:line="240" w:lineRule="atLeast"/>
        <w:ind w:left="567" w:firstLine="0"/>
        <w:contextualSpacing/>
      </w:pPr>
      <w:r w:rsidRPr="00FF3208">
        <w:t>Das in Nr. 13 eingeführte Genehmigungsverfahren bei der zuständigen Behörde entspricht der heutigen Rechtslage.</w:t>
      </w:r>
    </w:p>
    <w:p w14:paraId="602A8A20" w14:textId="10EFCC9C" w:rsidR="00751575" w:rsidRPr="00FF3208" w:rsidRDefault="00FF3208" w:rsidP="00FF3208">
      <w:pPr>
        <w:tabs>
          <w:tab w:val="left" w:pos="567"/>
          <w:tab w:val="left" w:pos="1418"/>
        </w:tabs>
        <w:spacing w:line="240" w:lineRule="atLeast"/>
        <w:ind w:left="0" w:firstLine="0"/>
        <w:contextualSpacing/>
        <w:jc w:val="center"/>
      </w:pPr>
      <w:r w:rsidRPr="00FF3208">
        <w:t>***</w:t>
      </w:r>
    </w:p>
    <w:sectPr w:rsidR="00751575" w:rsidRPr="00FF3208" w:rsidSect="00E064BD">
      <w:headerReference w:type="even" r:id="rId9"/>
      <w:headerReference w:type="default" r:id="rId10"/>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0A42C" w14:textId="77777777" w:rsidR="0058753C" w:rsidRDefault="0058753C" w:rsidP="0011702A">
      <w:r>
        <w:separator/>
      </w:r>
    </w:p>
  </w:endnote>
  <w:endnote w:type="continuationSeparator" w:id="0">
    <w:p w14:paraId="03113B1F" w14:textId="77777777" w:rsidR="0058753C" w:rsidRDefault="0058753C"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0283" w14:textId="27E48495" w:rsidR="00250138" w:rsidRPr="00FF3208" w:rsidRDefault="00250138" w:rsidP="00FF3208">
    <w:pPr>
      <w:widowControl/>
      <w:tabs>
        <w:tab w:val="center" w:pos="4536"/>
        <w:tab w:val="left" w:pos="7177"/>
        <w:tab w:val="right" w:pos="9070"/>
      </w:tabs>
      <w:overflowPunct/>
      <w:autoSpaceDE/>
      <w:autoSpaceDN/>
      <w:adjustRightInd/>
      <w:ind w:left="0" w:firstLine="0"/>
      <w:jc w:val="right"/>
      <w:textAlignment w:val="auto"/>
      <w:rPr>
        <w:rFonts w:ascii="Arial" w:hAnsi="Arial"/>
        <w:noProof/>
        <w:sz w:val="12"/>
        <w:szCs w:val="24"/>
      </w:rPr>
    </w:pPr>
    <w:r w:rsidRPr="00FF3208">
      <w:rPr>
        <w:rFonts w:ascii="Arial" w:hAnsi="Arial"/>
        <w:noProof/>
        <w:sz w:val="12"/>
        <w:szCs w:val="24"/>
        <w:lang w:val="fr-FR" w:eastAsia="en-US"/>
      </w:rPr>
      <w:t>mm/adn_wp15_ac2_32_INF.</w:t>
    </w:r>
    <w:r w:rsidR="0021025D">
      <w:rPr>
        <w:rFonts w:ascii="Arial" w:hAnsi="Arial"/>
        <w:noProof/>
        <w:sz w:val="12"/>
        <w:szCs w:val="24"/>
      </w:rPr>
      <w:t>14</w:t>
    </w:r>
    <w:r w:rsidRPr="00FF3208">
      <w:rPr>
        <w:rFonts w:ascii="Arial" w:hAnsi="Arial"/>
        <w:noProof/>
        <w:sz w:val="12"/>
        <w:szCs w:val="24"/>
        <w:lang w:val="fr-FR" w:eastAsia="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61A6" w14:textId="3B84E5CB" w:rsidR="00B8463B" w:rsidRPr="00FF3208" w:rsidRDefault="00B8463B" w:rsidP="00FF3208">
    <w:pPr>
      <w:widowControl/>
      <w:tabs>
        <w:tab w:val="center" w:pos="4536"/>
        <w:tab w:val="left" w:pos="7177"/>
        <w:tab w:val="right" w:pos="9070"/>
      </w:tabs>
      <w:overflowPunct/>
      <w:autoSpaceDE/>
      <w:autoSpaceDN/>
      <w:adjustRightInd/>
      <w:ind w:left="0" w:firstLine="0"/>
      <w:jc w:val="right"/>
      <w:textAlignment w:val="auto"/>
      <w:rPr>
        <w:rFonts w:ascii="Arial" w:hAnsi="Arial"/>
        <w:noProof/>
        <w:sz w:val="12"/>
        <w:szCs w:val="24"/>
      </w:rPr>
    </w:pPr>
    <w:r w:rsidRPr="00FF3208">
      <w:rPr>
        <w:rFonts w:ascii="Arial" w:hAnsi="Arial"/>
        <w:noProof/>
        <w:sz w:val="12"/>
        <w:szCs w:val="24"/>
        <w:lang w:val="fr-FR" w:eastAsia="en-US"/>
      </w:rPr>
      <w:t>mm/adn_wp15_ac2_32_INF.</w:t>
    </w:r>
    <w:r w:rsidR="0021025D">
      <w:rPr>
        <w:rFonts w:ascii="Arial" w:hAnsi="Arial"/>
        <w:noProof/>
        <w:sz w:val="12"/>
        <w:szCs w:val="24"/>
      </w:rPr>
      <w:t>14</w:t>
    </w:r>
    <w:r w:rsidRPr="00FF3208">
      <w:rPr>
        <w:rFonts w:ascii="Arial" w:hAnsi="Arial"/>
        <w:noProof/>
        <w:sz w:val="12"/>
        <w:szCs w:val="24"/>
        <w:lang w:val="fr-FR" w:eastAsia="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3F460" w14:textId="77777777" w:rsidR="0058753C" w:rsidRDefault="0058753C" w:rsidP="0011702A">
      <w:r>
        <w:separator/>
      </w:r>
    </w:p>
  </w:footnote>
  <w:footnote w:type="continuationSeparator" w:id="0">
    <w:p w14:paraId="52EA3FAE" w14:textId="77777777" w:rsidR="0058753C" w:rsidRDefault="0058753C" w:rsidP="001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45F4" w14:textId="682B15B7" w:rsidR="00D4056A" w:rsidRPr="00FF3208" w:rsidRDefault="00D4056A" w:rsidP="00FF3208">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11545F" w:rsidRPr="00FF3208">
      <w:rPr>
        <w:rFonts w:ascii="Arial" w:hAnsi="Arial"/>
        <w:snapToGrid w:val="0"/>
        <w:sz w:val="16"/>
        <w:szCs w:val="16"/>
        <w:lang w:val="en-US"/>
      </w:rPr>
      <w:t>2018</w:t>
    </w:r>
    <w:r w:rsidRPr="00FF3208">
      <w:rPr>
        <w:rFonts w:ascii="Arial" w:hAnsi="Arial"/>
        <w:snapToGrid w:val="0"/>
        <w:sz w:val="16"/>
        <w:szCs w:val="16"/>
        <w:lang w:val="en-US"/>
      </w:rPr>
      <w:t>/</w:t>
    </w:r>
    <w:r w:rsidR="0021025D">
      <w:rPr>
        <w:rFonts w:ascii="Arial" w:hAnsi="Arial"/>
        <w:snapToGrid w:val="0"/>
        <w:sz w:val="16"/>
        <w:szCs w:val="16"/>
        <w:lang w:val="en-US"/>
      </w:rPr>
      <w:t>INF.14</w:t>
    </w:r>
  </w:p>
  <w:p w14:paraId="67797BDA" w14:textId="50554AFE" w:rsidR="00D4056A" w:rsidRPr="00FF3208" w:rsidRDefault="00D4056A" w:rsidP="00FF3208">
    <w:pPr>
      <w:widowControl/>
      <w:suppressAutoHyphens/>
      <w:overflowPunct/>
      <w:autoSpaceDE/>
      <w:autoSpaceDN/>
      <w:adjustRightInd/>
      <w:ind w:left="0" w:firstLine="0"/>
      <w:jc w:val="lef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9B08B3">
      <w:rPr>
        <w:rFonts w:ascii="Arial" w:hAnsi="Arial"/>
        <w:noProof/>
        <w:snapToGrid w:val="0"/>
        <w:sz w:val="16"/>
        <w:szCs w:val="16"/>
      </w:rPr>
      <w:t>2</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60E6" w14:textId="69D3C006" w:rsidR="00D4056A" w:rsidRPr="00FF3208" w:rsidRDefault="00D4056A" w:rsidP="00FF3208">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B9072B" w:rsidRPr="00FF3208">
      <w:rPr>
        <w:rFonts w:ascii="Arial" w:hAnsi="Arial"/>
        <w:snapToGrid w:val="0"/>
        <w:sz w:val="16"/>
        <w:szCs w:val="16"/>
        <w:lang w:val="en-US"/>
      </w:rPr>
      <w:t>2018/</w:t>
    </w:r>
    <w:r w:rsidR="0021025D">
      <w:rPr>
        <w:rFonts w:ascii="Arial" w:hAnsi="Arial"/>
        <w:snapToGrid w:val="0"/>
        <w:sz w:val="16"/>
        <w:szCs w:val="16"/>
        <w:lang w:val="en-US"/>
      </w:rPr>
      <w:t>INF.14</w:t>
    </w:r>
  </w:p>
  <w:p w14:paraId="5EE34E04" w14:textId="64B6A84B" w:rsidR="00D4056A" w:rsidRPr="00FF3208" w:rsidRDefault="00D4056A" w:rsidP="00FF3208">
    <w:pPr>
      <w:widowControl/>
      <w:suppressAutoHyphens/>
      <w:overflowPunct/>
      <w:autoSpaceDE/>
      <w:autoSpaceDN/>
      <w:adjustRightInd/>
      <w:ind w:left="0" w:firstLine="0"/>
      <w:jc w:val="righ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9B08B3">
      <w:rPr>
        <w:rFonts w:ascii="Arial" w:hAnsi="Arial"/>
        <w:noProof/>
        <w:snapToGrid w:val="0"/>
        <w:sz w:val="16"/>
        <w:szCs w:val="16"/>
      </w:rPr>
      <w:t>3</w:t>
    </w:r>
    <w:r w:rsidRPr="00FF320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A62228"/>
    <w:multiLevelType w:val="hybridMultilevel"/>
    <w:tmpl w:val="38D0E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5B"/>
    <w:rsid w:val="000049F5"/>
    <w:rsid w:val="00006820"/>
    <w:rsid w:val="000143A3"/>
    <w:rsid w:val="00014D4F"/>
    <w:rsid w:val="00016593"/>
    <w:rsid w:val="00026176"/>
    <w:rsid w:val="0003284B"/>
    <w:rsid w:val="00034828"/>
    <w:rsid w:val="0003543D"/>
    <w:rsid w:val="0004134B"/>
    <w:rsid w:val="0004436E"/>
    <w:rsid w:val="00047E84"/>
    <w:rsid w:val="00052E7E"/>
    <w:rsid w:val="000563D5"/>
    <w:rsid w:val="00056B10"/>
    <w:rsid w:val="000610A7"/>
    <w:rsid w:val="000625E5"/>
    <w:rsid w:val="0006293A"/>
    <w:rsid w:val="00072FB1"/>
    <w:rsid w:val="00076F9A"/>
    <w:rsid w:val="00080275"/>
    <w:rsid w:val="00080F60"/>
    <w:rsid w:val="00090A58"/>
    <w:rsid w:val="0009215A"/>
    <w:rsid w:val="00095D13"/>
    <w:rsid w:val="00097410"/>
    <w:rsid w:val="000A1A85"/>
    <w:rsid w:val="000A324C"/>
    <w:rsid w:val="000A6549"/>
    <w:rsid w:val="000B1F29"/>
    <w:rsid w:val="000B3573"/>
    <w:rsid w:val="000C108A"/>
    <w:rsid w:val="000C6E63"/>
    <w:rsid w:val="000C72ED"/>
    <w:rsid w:val="000C754F"/>
    <w:rsid w:val="000C795B"/>
    <w:rsid w:val="000D3D4C"/>
    <w:rsid w:val="000D4406"/>
    <w:rsid w:val="000D4F22"/>
    <w:rsid w:val="000D5D27"/>
    <w:rsid w:val="000D7FD6"/>
    <w:rsid w:val="000E4620"/>
    <w:rsid w:val="000E4CDE"/>
    <w:rsid w:val="000E6786"/>
    <w:rsid w:val="000F6242"/>
    <w:rsid w:val="000F79E4"/>
    <w:rsid w:val="001013D7"/>
    <w:rsid w:val="00106FC3"/>
    <w:rsid w:val="00113A60"/>
    <w:rsid w:val="00114102"/>
    <w:rsid w:val="0011545F"/>
    <w:rsid w:val="0011702A"/>
    <w:rsid w:val="0012236C"/>
    <w:rsid w:val="00124B75"/>
    <w:rsid w:val="00126AA9"/>
    <w:rsid w:val="00131CD7"/>
    <w:rsid w:val="0013626E"/>
    <w:rsid w:val="00143354"/>
    <w:rsid w:val="00144FA5"/>
    <w:rsid w:val="00156782"/>
    <w:rsid w:val="00156903"/>
    <w:rsid w:val="00156ACE"/>
    <w:rsid w:val="0016790C"/>
    <w:rsid w:val="00171E38"/>
    <w:rsid w:val="001729A2"/>
    <w:rsid w:val="001738C0"/>
    <w:rsid w:val="001739E9"/>
    <w:rsid w:val="00176072"/>
    <w:rsid w:val="0017767A"/>
    <w:rsid w:val="001878DE"/>
    <w:rsid w:val="00190390"/>
    <w:rsid w:val="001A078E"/>
    <w:rsid w:val="001B28F2"/>
    <w:rsid w:val="001B4F22"/>
    <w:rsid w:val="001B7B3E"/>
    <w:rsid w:val="001C0E5C"/>
    <w:rsid w:val="001C1D1B"/>
    <w:rsid w:val="001C269B"/>
    <w:rsid w:val="001C4ED8"/>
    <w:rsid w:val="001D1B0A"/>
    <w:rsid w:val="001E4D07"/>
    <w:rsid w:val="001F6ABC"/>
    <w:rsid w:val="0020240A"/>
    <w:rsid w:val="00202E6D"/>
    <w:rsid w:val="0020431D"/>
    <w:rsid w:val="00205465"/>
    <w:rsid w:val="0021025D"/>
    <w:rsid w:val="0021296C"/>
    <w:rsid w:val="002132D2"/>
    <w:rsid w:val="00223DF9"/>
    <w:rsid w:val="002265F5"/>
    <w:rsid w:val="0023288F"/>
    <w:rsid w:val="00235B56"/>
    <w:rsid w:val="00240203"/>
    <w:rsid w:val="002431F2"/>
    <w:rsid w:val="0024675B"/>
    <w:rsid w:val="002473E1"/>
    <w:rsid w:val="00250138"/>
    <w:rsid w:val="00250FDB"/>
    <w:rsid w:val="00255192"/>
    <w:rsid w:val="00257C39"/>
    <w:rsid w:val="00272277"/>
    <w:rsid w:val="0027414F"/>
    <w:rsid w:val="00282C43"/>
    <w:rsid w:val="00283323"/>
    <w:rsid w:val="00291CB3"/>
    <w:rsid w:val="00296C76"/>
    <w:rsid w:val="002A0C52"/>
    <w:rsid w:val="002A337E"/>
    <w:rsid w:val="002A53A6"/>
    <w:rsid w:val="002B6697"/>
    <w:rsid w:val="002C0469"/>
    <w:rsid w:val="002D1BFB"/>
    <w:rsid w:val="002E3745"/>
    <w:rsid w:val="002E6A16"/>
    <w:rsid w:val="002E7227"/>
    <w:rsid w:val="002F4FC6"/>
    <w:rsid w:val="003033DD"/>
    <w:rsid w:val="00305CDB"/>
    <w:rsid w:val="00316D5A"/>
    <w:rsid w:val="0032045B"/>
    <w:rsid w:val="00322637"/>
    <w:rsid w:val="003233C8"/>
    <w:rsid w:val="00325D76"/>
    <w:rsid w:val="00326B14"/>
    <w:rsid w:val="00326DE9"/>
    <w:rsid w:val="003307BA"/>
    <w:rsid w:val="003317A7"/>
    <w:rsid w:val="003362E9"/>
    <w:rsid w:val="00337284"/>
    <w:rsid w:val="003439FC"/>
    <w:rsid w:val="00344C19"/>
    <w:rsid w:val="00357412"/>
    <w:rsid w:val="00361725"/>
    <w:rsid w:val="00364E68"/>
    <w:rsid w:val="003702C7"/>
    <w:rsid w:val="00370BB8"/>
    <w:rsid w:val="00377CE8"/>
    <w:rsid w:val="0038428F"/>
    <w:rsid w:val="00387545"/>
    <w:rsid w:val="003931FE"/>
    <w:rsid w:val="00394C7F"/>
    <w:rsid w:val="00397E52"/>
    <w:rsid w:val="003A2337"/>
    <w:rsid w:val="003A3C57"/>
    <w:rsid w:val="003B0DF4"/>
    <w:rsid w:val="003B23DA"/>
    <w:rsid w:val="003C61C4"/>
    <w:rsid w:val="003D3605"/>
    <w:rsid w:val="003E6E61"/>
    <w:rsid w:val="003F4348"/>
    <w:rsid w:val="00400ADD"/>
    <w:rsid w:val="00401179"/>
    <w:rsid w:val="00401DA8"/>
    <w:rsid w:val="00406965"/>
    <w:rsid w:val="004077BF"/>
    <w:rsid w:val="00410285"/>
    <w:rsid w:val="00415DCE"/>
    <w:rsid w:val="004176F9"/>
    <w:rsid w:val="00422321"/>
    <w:rsid w:val="00427609"/>
    <w:rsid w:val="00427804"/>
    <w:rsid w:val="00430CD0"/>
    <w:rsid w:val="00432779"/>
    <w:rsid w:val="00436386"/>
    <w:rsid w:val="00446085"/>
    <w:rsid w:val="00466FB5"/>
    <w:rsid w:val="00472198"/>
    <w:rsid w:val="00476E9E"/>
    <w:rsid w:val="004819A4"/>
    <w:rsid w:val="0048292C"/>
    <w:rsid w:val="004836F9"/>
    <w:rsid w:val="004847DC"/>
    <w:rsid w:val="00485BB7"/>
    <w:rsid w:val="00490887"/>
    <w:rsid w:val="00492FA6"/>
    <w:rsid w:val="004937B0"/>
    <w:rsid w:val="0049746A"/>
    <w:rsid w:val="004A0752"/>
    <w:rsid w:val="004A3FE7"/>
    <w:rsid w:val="004A46B8"/>
    <w:rsid w:val="004B0D93"/>
    <w:rsid w:val="004B7EA6"/>
    <w:rsid w:val="004C128D"/>
    <w:rsid w:val="004C18DE"/>
    <w:rsid w:val="004C6017"/>
    <w:rsid w:val="004D4CA5"/>
    <w:rsid w:val="004D4E53"/>
    <w:rsid w:val="004E622A"/>
    <w:rsid w:val="004F4DE3"/>
    <w:rsid w:val="004F5608"/>
    <w:rsid w:val="00506BFE"/>
    <w:rsid w:val="0051476B"/>
    <w:rsid w:val="00516CD1"/>
    <w:rsid w:val="005173C9"/>
    <w:rsid w:val="00534340"/>
    <w:rsid w:val="00540683"/>
    <w:rsid w:val="00546FC1"/>
    <w:rsid w:val="00550E70"/>
    <w:rsid w:val="005533B4"/>
    <w:rsid w:val="005533C3"/>
    <w:rsid w:val="00561447"/>
    <w:rsid w:val="0056605A"/>
    <w:rsid w:val="00573D3E"/>
    <w:rsid w:val="00573FC4"/>
    <w:rsid w:val="00576807"/>
    <w:rsid w:val="0057786D"/>
    <w:rsid w:val="00582B60"/>
    <w:rsid w:val="00583496"/>
    <w:rsid w:val="00585999"/>
    <w:rsid w:val="00586819"/>
    <w:rsid w:val="0058753C"/>
    <w:rsid w:val="00591A7D"/>
    <w:rsid w:val="005926B2"/>
    <w:rsid w:val="00593E26"/>
    <w:rsid w:val="00595B2E"/>
    <w:rsid w:val="00595C5C"/>
    <w:rsid w:val="00596953"/>
    <w:rsid w:val="005A1A44"/>
    <w:rsid w:val="005A5B6A"/>
    <w:rsid w:val="005B6280"/>
    <w:rsid w:val="005C1940"/>
    <w:rsid w:val="005C558D"/>
    <w:rsid w:val="005C7246"/>
    <w:rsid w:val="005D3B31"/>
    <w:rsid w:val="005E1804"/>
    <w:rsid w:val="005E5104"/>
    <w:rsid w:val="005E5EF7"/>
    <w:rsid w:val="005F26AD"/>
    <w:rsid w:val="005F58DF"/>
    <w:rsid w:val="0060269E"/>
    <w:rsid w:val="006047AC"/>
    <w:rsid w:val="00607B11"/>
    <w:rsid w:val="006111A3"/>
    <w:rsid w:val="00611C20"/>
    <w:rsid w:val="0061668A"/>
    <w:rsid w:val="00620982"/>
    <w:rsid w:val="006256AF"/>
    <w:rsid w:val="00626C86"/>
    <w:rsid w:val="00630422"/>
    <w:rsid w:val="0063444B"/>
    <w:rsid w:val="00637818"/>
    <w:rsid w:val="00642215"/>
    <w:rsid w:val="00643AEA"/>
    <w:rsid w:val="00651386"/>
    <w:rsid w:val="00661FED"/>
    <w:rsid w:val="0066280E"/>
    <w:rsid w:val="0066312D"/>
    <w:rsid w:val="00666284"/>
    <w:rsid w:val="00670028"/>
    <w:rsid w:val="0068608E"/>
    <w:rsid w:val="00690A5F"/>
    <w:rsid w:val="0069164E"/>
    <w:rsid w:val="006924C5"/>
    <w:rsid w:val="006970A1"/>
    <w:rsid w:val="006A0959"/>
    <w:rsid w:val="006A37B8"/>
    <w:rsid w:val="006A507B"/>
    <w:rsid w:val="006A73AD"/>
    <w:rsid w:val="006A7F94"/>
    <w:rsid w:val="006B57B7"/>
    <w:rsid w:val="006B5B8A"/>
    <w:rsid w:val="006B6FC7"/>
    <w:rsid w:val="006B7C55"/>
    <w:rsid w:val="006D1972"/>
    <w:rsid w:val="006D78CA"/>
    <w:rsid w:val="006E1542"/>
    <w:rsid w:val="006E27AB"/>
    <w:rsid w:val="006E498C"/>
    <w:rsid w:val="006F3C42"/>
    <w:rsid w:val="00702BE6"/>
    <w:rsid w:val="00706883"/>
    <w:rsid w:val="007151F5"/>
    <w:rsid w:val="007225A1"/>
    <w:rsid w:val="00742BD3"/>
    <w:rsid w:val="00751575"/>
    <w:rsid w:val="00753690"/>
    <w:rsid w:val="00754516"/>
    <w:rsid w:val="0075583E"/>
    <w:rsid w:val="0076007D"/>
    <w:rsid w:val="00760FB2"/>
    <w:rsid w:val="007652AB"/>
    <w:rsid w:val="007705CB"/>
    <w:rsid w:val="00773B7E"/>
    <w:rsid w:val="007877DE"/>
    <w:rsid w:val="0079124E"/>
    <w:rsid w:val="00792E94"/>
    <w:rsid w:val="007A07B3"/>
    <w:rsid w:val="007A19A7"/>
    <w:rsid w:val="007A584D"/>
    <w:rsid w:val="007B5D5A"/>
    <w:rsid w:val="007C1AA7"/>
    <w:rsid w:val="007C4E98"/>
    <w:rsid w:val="007D1EF9"/>
    <w:rsid w:val="007D2FA0"/>
    <w:rsid w:val="007D4EE5"/>
    <w:rsid w:val="007D6265"/>
    <w:rsid w:val="007D716D"/>
    <w:rsid w:val="007E6863"/>
    <w:rsid w:val="007E7F2A"/>
    <w:rsid w:val="007F7716"/>
    <w:rsid w:val="00805AEB"/>
    <w:rsid w:val="00810504"/>
    <w:rsid w:val="0081450F"/>
    <w:rsid w:val="00826787"/>
    <w:rsid w:val="00834438"/>
    <w:rsid w:val="00835551"/>
    <w:rsid w:val="00837FB8"/>
    <w:rsid w:val="00841328"/>
    <w:rsid w:val="00852BEF"/>
    <w:rsid w:val="00854209"/>
    <w:rsid w:val="0086267A"/>
    <w:rsid w:val="0086477D"/>
    <w:rsid w:val="00876F50"/>
    <w:rsid w:val="008808AA"/>
    <w:rsid w:val="008864F8"/>
    <w:rsid w:val="00894221"/>
    <w:rsid w:val="00896081"/>
    <w:rsid w:val="008967B7"/>
    <w:rsid w:val="008A16E9"/>
    <w:rsid w:val="008A683C"/>
    <w:rsid w:val="008B2D55"/>
    <w:rsid w:val="008B3106"/>
    <w:rsid w:val="008B5544"/>
    <w:rsid w:val="008B7C4B"/>
    <w:rsid w:val="008C14D8"/>
    <w:rsid w:val="008C3113"/>
    <w:rsid w:val="008D3CEC"/>
    <w:rsid w:val="008E6069"/>
    <w:rsid w:val="008E6B36"/>
    <w:rsid w:val="008F4B57"/>
    <w:rsid w:val="00903D48"/>
    <w:rsid w:val="009067D0"/>
    <w:rsid w:val="0090748A"/>
    <w:rsid w:val="009102B8"/>
    <w:rsid w:val="00912A46"/>
    <w:rsid w:val="00920ACF"/>
    <w:rsid w:val="00935C84"/>
    <w:rsid w:val="009422FA"/>
    <w:rsid w:val="0094733D"/>
    <w:rsid w:val="00953866"/>
    <w:rsid w:val="00962147"/>
    <w:rsid w:val="00962E31"/>
    <w:rsid w:val="00965DC5"/>
    <w:rsid w:val="00966C68"/>
    <w:rsid w:val="00966CE6"/>
    <w:rsid w:val="00975B09"/>
    <w:rsid w:val="009771C0"/>
    <w:rsid w:val="009777E8"/>
    <w:rsid w:val="0098158C"/>
    <w:rsid w:val="00981925"/>
    <w:rsid w:val="0099031A"/>
    <w:rsid w:val="00991BA0"/>
    <w:rsid w:val="009A4FC8"/>
    <w:rsid w:val="009B08B3"/>
    <w:rsid w:val="009C79C4"/>
    <w:rsid w:val="009E281C"/>
    <w:rsid w:val="009E3EBD"/>
    <w:rsid w:val="009E795B"/>
    <w:rsid w:val="009F0973"/>
    <w:rsid w:val="009F2DD9"/>
    <w:rsid w:val="00A005D6"/>
    <w:rsid w:val="00A0723D"/>
    <w:rsid w:val="00A1389E"/>
    <w:rsid w:val="00A13C90"/>
    <w:rsid w:val="00A17F67"/>
    <w:rsid w:val="00A21A7D"/>
    <w:rsid w:val="00A2645D"/>
    <w:rsid w:val="00A27409"/>
    <w:rsid w:val="00A410D7"/>
    <w:rsid w:val="00A44AF1"/>
    <w:rsid w:val="00A57CE8"/>
    <w:rsid w:val="00A61472"/>
    <w:rsid w:val="00A62126"/>
    <w:rsid w:val="00A71FAE"/>
    <w:rsid w:val="00A72CE1"/>
    <w:rsid w:val="00A7621C"/>
    <w:rsid w:val="00A77993"/>
    <w:rsid w:val="00A77C4E"/>
    <w:rsid w:val="00A81D2D"/>
    <w:rsid w:val="00A849B8"/>
    <w:rsid w:val="00A917C1"/>
    <w:rsid w:val="00A92623"/>
    <w:rsid w:val="00A94B80"/>
    <w:rsid w:val="00AA0D24"/>
    <w:rsid w:val="00AA3039"/>
    <w:rsid w:val="00AB23F2"/>
    <w:rsid w:val="00AB6055"/>
    <w:rsid w:val="00AC0F57"/>
    <w:rsid w:val="00AC1577"/>
    <w:rsid w:val="00AC3059"/>
    <w:rsid w:val="00AD14D7"/>
    <w:rsid w:val="00AD27B5"/>
    <w:rsid w:val="00AD68F2"/>
    <w:rsid w:val="00AD69C2"/>
    <w:rsid w:val="00AE50D2"/>
    <w:rsid w:val="00AE73A7"/>
    <w:rsid w:val="00AE7E9E"/>
    <w:rsid w:val="00AF7DC9"/>
    <w:rsid w:val="00B02145"/>
    <w:rsid w:val="00B041A6"/>
    <w:rsid w:val="00B12922"/>
    <w:rsid w:val="00B12D49"/>
    <w:rsid w:val="00B17A75"/>
    <w:rsid w:val="00B2269A"/>
    <w:rsid w:val="00B239F4"/>
    <w:rsid w:val="00B26810"/>
    <w:rsid w:val="00B30626"/>
    <w:rsid w:val="00B3498B"/>
    <w:rsid w:val="00B40836"/>
    <w:rsid w:val="00B45122"/>
    <w:rsid w:val="00B4533C"/>
    <w:rsid w:val="00B54C7A"/>
    <w:rsid w:val="00B5558F"/>
    <w:rsid w:val="00B71545"/>
    <w:rsid w:val="00B72D51"/>
    <w:rsid w:val="00B737F6"/>
    <w:rsid w:val="00B7779D"/>
    <w:rsid w:val="00B83CEA"/>
    <w:rsid w:val="00B8463B"/>
    <w:rsid w:val="00B86696"/>
    <w:rsid w:val="00B87AB9"/>
    <w:rsid w:val="00B9072B"/>
    <w:rsid w:val="00B92BF7"/>
    <w:rsid w:val="00B9368D"/>
    <w:rsid w:val="00B940F8"/>
    <w:rsid w:val="00B9413E"/>
    <w:rsid w:val="00BA358B"/>
    <w:rsid w:val="00BA49CF"/>
    <w:rsid w:val="00BA6693"/>
    <w:rsid w:val="00BB0A40"/>
    <w:rsid w:val="00BB1891"/>
    <w:rsid w:val="00BC224B"/>
    <w:rsid w:val="00BD6076"/>
    <w:rsid w:val="00BD77CE"/>
    <w:rsid w:val="00BF6A72"/>
    <w:rsid w:val="00BF7D16"/>
    <w:rsid w:val="00C01D3D"/>
    <w:rsid w:val="00C05CED"/>
    <w:rsid w:val="00C1260A"/>
    <w:rsid w:val="00C161A1"/>
    <w:rsid w:val="00C16233"/>
    <w:rsid w:val="00C24FA8"/>
    <w:rsid w:val="00C27690"/>
    <w:rsid w:val="00C32E06"/>
    <w:rsid w:val="00C4703A"/>
    <w:rsid w:val="00C509C1"/>
    <w:rsid w:val="00C532C5"/>
    <w:rsid w:val="00C56C4E"/>
    <w:rsid w:val="00C64A71"/>
    <w:rsid w:val="00C674A9"/>
    <w:rsid w:val="00C7003A"/>
    <w:rsid w:val="00C72A39"/>
    <w:rsid w:val="00C75E20"/>
    <w:rsid w:val="00C82985"/>
    <w:rsid w:val="00C8580F"/>
    <w:rsid w:val="00C90787"/>
    <w:rsid w:val="00C93A09"/>
    <w:rsid w:val="00C945EC"/>
    <w:rsid w:val="00C95218"/>
    <w:rsid w:val="00CA2B03"/>
    <w:rsid w:val="00CA71CC"/>
    <w:rsid w:val="00CB17EE"/>
    <w:rsid w:val="00CB257D"/>
    <w:rsid w:val="00CC2417"/>
    <w:rsid w:val="00CC546D"/>
    <w:rsid w:val="00CC62F9"/>
    <w:rsid w:val="00CD654F"/>
    <w:rsid w:val="00CD7A4F"/>
    <w:rsid w:val="00CE1F32"/>
    <w:rsid w:val="00CE77BC"/>
    <w:rsid w:val="00CF2359"/>
    <w:rsid w:val="00CF3E33"/>
    <w:rsid w:val="00CF645B"/>
    <w:rsid w:val="00D03FC5"/>
    <w:rsid w:val="00D04647"/>
    <w:rsid w:val="00D064E0"/>
    <w:rsid w:val="00D12EA3"/>
    <w:rsid w:val="00D169DA"/>
    <w:rsid w:val="00D16A29"/>
    <w:rsid w:val="00D230F7"/>
    <w:rsid w:val="00D2514D"/>
    <w:rsid w:val="00D33B77"/>
    <w:rsid w:val="00D35074"/>
    <w:rsid w:val="00D4056A"/>
    <w:rsid w:val="00D52AF0"/>
    <w:rsid w:val="00D52F95"/>
    <w:rsid w:val="00D6320C"/>
    <w:rsid w:val="00D65991"/>
    <w:rsid w:val="00D7150D"/>
    <w:rsid w:val="00D7156C"/>
    <w:rsid w:val="00D80CB1"/>
    <w:rsid w:val="00D83F2A"/>
    <w:rsid w:val="00D8467E"/>
    <w:rsid w:val="00D84987"/>
    <w:rsid w:val="00D92E0F"/>
    <w:rsid w:val="00D9723D"/>
    <w:rsid w:val="00D97C9F"/>
    <w:rsid w:val="00DA1F54"/>
    <w:rsid w:val="00DA28E2"/>
    <w:rsid w:val="00DA312C"/>
    <w:rsid w:val="00DA3AF6"/>
    <w:rsid w:val="00DA54C3"/>
    <w:rsid w:val="00DB57E7"/>
    <w:rsid w:val="00DB5BC2"/>
    <w:rsid w:val="00DC66D9"/>
    <w:rsid w:val="00DF02ED"/>
    <w:rsid w:val="00DF426C"/>
    <w:rsid w:val="00E053BA"/>
    <w:rsid w:val="00E064BD"/>
    <w:rsid w:val="00E1103A"/>
    <w:rsid w:val="00E14568"/>
    <w:rsid w:val="00E22556"/>
    <w:rsid w:val="00E2343F"/>
    <w:rsid w:val="00E236E5"/>
    <w:rsid w:val="00E240AE"/>
    <w:rsid w:val="00E30C9D"/>
    <w:rsid w:val="00E31826"/>
    <w:rsid w:val="00E40062"/>
    <w:rsid w:val="00E42BF7"/>
    <w:rsid w:val="00E45BA1"/>
    <w:rsid w:val="00E521C8"/>
    <w:rsid w:val="00E54A29"/>
    <w:rsid w:val="00E568C0"/>
    <w:rsid w:val="00E619C6"/>
    <w:rsid w:val="00E626D1"/>
    <w:rsid w:val="00E66171"/>
    <w:rsid w:val="00E7153C"/>
    <w:rsid w:val="00E71A53"/>
    <w:rsid w:val="00E75433"/>
    <w:rsid w:val="00E75440"/>
    <w:rsid w:val="00E7548D"/>
    <w:rsid w:val="00E77B16"/>
    <w:rsid w:val="00E804E2"/>
    <w:rsid w:val="00E8265B"/>
    <w:rsid w:val="00E82CF7"/>
    <w:rsid w:val="00E82F3B"/>
    <w:rsid w:val="00E8511E"/>
    <w:rsid w:val="00E8770E"/>
    <w:rsid w:val="00E93819"/>
    <w:rsid w:val="00EA0422"/>
    <w:rsid w:val="00EA2C25"/>
    <w:rsid w:val="00EA7A70"/>
    <w:rsid w:val="00EB4ADF"/>
    <w:rsid w:val="00EB4D3D"/>
    <w:rsid w:val="00EC26DD"/>
    <w:rsid w:val="00EC5B0D"/>
    <w:rsid w:val="00EC7F49"/>
    <w:rsid w:val="00ED281E"/>
    <w:rsid w:val="00ED49D7"/>
    <w:rsid w:val="00ED557F"/>
    <w:rsid w:val="00EE4226"/>
    <w:rsid w:val="00EE457F"/>
    <w:rsid w:val="00EE5CAB"/>
    <w:rsid w:val="00EF00ED"/>
    <w:rsid w:val="00EF022A"/>
    <w:rsid w:val="00EF7231"/>
    <w:rsid w:val="00F04331"/>
    <w:rsid w:val="00F07812"/>
    <w:rsid w:val="00F10D47"/>
    <w:rsid w:val="00F12E99"/>
    <w:rsid w:val="00F1470A"/>
    <w:rsid w:val="00F265D6"/>
    <w:rsid w:val="00F27173"/>
    <w:rsid w:val="00F31FEF"/>
    <w:rsid w:val="00F330E1"/>
    <w:rsid w:val="00F42DC0"/>
    <w:rsid w:val="00F45EF2"/>
    <w:rsid w:val="00F4792F"/>
    <w:rsid w:val="00F524CA"/>
    <w:rsid w:val="00F52E19"/>
    <w:rsid w:val="00F53223"/>
    <w:rsid w:val="00F54B5E"/>
    <w:rsid w:val="00F55DD3"/>
    <w:rsid w:val="00F5700E"/>
    <w:rsid w:val="00F607DC"/>
    <w:rsid w:val="00F64C6F"/>
    <w:rsid w:val="00F64FD3"/>
    <w:rsid w:val="00F70B1D"/>
    <w:rsid w:val="00F70D98"/>
    <w:rsid w:val="00F736DE"/>
    <w:rsid w:val="00F73A99"/>
    <w:rsid w:val="00F74646"/>
    <w:rsid w:val="00F773EC"/>
    <w:rsid w:val="00F801E0"/>
    <w:rsid w:val="00F81F4E"/>
    <w:rsid w:val="00F85476"/>
    <w:rsid w:val="00F8608C"/>
    <w:rsid w:val="00F87B83"/>
    <w:rsid w:val="00F9095C"/>
    <w:rsid w:val="00F92AB9"/>
    <w:rsid w:val="00F92BF9"/>
    <w:rsid w:val="00F93402"/>
    <w:rsid w:val="00F93FBD"/>
    <w:rsid w:val="00FA532B"/>
    <w:rsid w:val="00FA712F"/>
    <w:rsid w:val="00FA7DE6"/>
    <w:rsid w:val="00FB305A"/>
    <w:rsid w:val="00FC032F"/>
    <w:rsid w:val="00FC2D7D"/>
    <w:rsid w:val="00FC5E77"/>
    <w:rsid w:val="00FD17D7"/>
    <w:rsid w:val="00FD3DEA"/>
    <w:rsid w:val="00FD4BC8"/>
    <w:rsid w:val="00FE2EF4"/>
    <w:rsid w:val="00FE78E8"/>
    <w:rsid w:val="00FE7C92"/>
    <w:rsid w:val="00FF3208"/>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7615C360"/>
  <w15:docId w15:val="{B0F67D1F-3484-49CC-A554-A80EB511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customStyle="1" w:styleId="Grilledutableau6">
    <w:name w:val="Grille du tableau6"/>
    <w:basedOn w:val="TableNormal"/>
    <w:uiPriority w:val="59"/>
    <w:rsid w:val="00F93FBD"/>
    <w:rPr>
      <w:rFonts w:ascii="Arial" w:eastAsia="Calibri" w:hAnsi="Arial"/>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645549297">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799F-99E6-4EC4-B8FA-31854627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8112</Characters>
  <Application>Microsoft Office Word</Application>
  <DocSecurity>0</DocSecurity>
  <Lines>67</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Lucille Caillot</cp:lastModifiedBy>
  <cp:revision>3</cp:revision>
  <cp:lastPrinted>2018-01-11T14:34:00Z</cp:lastPrinted>
  <dcterms:created xsi:type="dcterms:W3CDTF">2018-01-12T16:02:00Z</dcterms:created>
  <dcterms:modified xsi:type="dcterms:W3CDTF">2018-01-15T13:21:00Z</dcterms:modified>
</cp:coreProperties>
</file>