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40D" w:rsidRDefault="00C01628" w:rsidP="0002740D">
      <w:pPr>
        <w:pStyle w:val="HChG"/>
        <w:rPr>
          <w:lang w:val="fr-CH"/>
        </w:rPr>
      </w:pPr>
      <w:bookmarkStart w:id="0" w:name="_Toc397356014"/>
      <w:bookmarkStart w:id="1" w:name="_Toc397356010"/>
      <w:r>
        <w:rPr>
          <w:lang w:val="fr-CH"/>
        </w:rPr>
        <w:tab/>
      </w:r>
      <w:r w:rsidR="0002740D" w:rsidRPr="006B1D2D">
        <w:rPr>
          <w:lang w:val="fr-CH"/>
        </w:rPr>
        <w:t>Annexe I</w:t>
      </w:r>
      <w:bookmarkEnd w:id="0"/>
    </w:p>
    <w:p w:rsidR="00850CE8" w:rsidRPr="00850CE8" w:rsidRDefault="00850CE8" w:rsidP="00850CE8">
      <w:pPr>
        <w:jc w:val="right"/>
        <w:rPr>
          <w:lang w:val="fr-CH" w:eastAsia="zh-CN"/>
        </w:rPr>
      </w:pPr>
      <w:r>
        <w:t xml:space="preserve">[Original: </w:t>
      </w:r>
      <w:r>
        <w:t>anglais et français</w:t>
      </w:r>
      <w:r>
        <w:t>]</w:t>
      </w:r>
    </w:p>
    <w:p w:rsidR="0002740D" w:rsidRPr="006B1D2D" w:rsidRDefault="0002740D" w:rsidP="0002740D">
      <w:pPr>
        <w:pStyle w:val="HChG"/>
        <w:rPr>
          <w:lang w:val="fr-CH"/>
        </w:rPr>
      </w:pPr>
      <w:r w:rsidRPr="006B1D2D">
        <w:rPr>
          <w:lang w:val="fr-CH"/>
        </w:rPr>
        <w:tab/>
      </w:r>
      <w:r w:rsidRPr="006B1D2D">
        <w:rPr>
          <w:lang w:val="fr-CH"/>
        </w:rPr>
        <w:tab/>
      </w:r>
      <w:bookmarkStart w:id="2" w:name="_Toc397356015"/>
      <w:r w:rsidRPr="006B1D2D">
        <w:rPr>
          <w:lang w:val="fr-CH"/>
        </w:rPr>
        <w:t>Projet d’amendements au Règlement annexé à l’ADN</w:t>
      </w:r>
      <w:r w:rsidRPr="006B1D2D">
        <w:rPr>
          <w:lang w:val="fr-CH"/>
        </w:rPr>
        <w:br/>
        <w:t>pour entrée en vigueur le 1</w:t>
      </w:r>
      <w:r w:rsidRPr="006B1D2D">
        <w:rPr>
          <w:vertAlign w:val="superscript"/>
          <w:lang w:val="fr-CH"/>
        </w:rPr>
        <w:t>er</w:t>
      </w:r>
      <w:r w:rsidRPr="006B1D2D">
        <w:rPr>
          <w:lang w:val="fr-CH"/>
        </w:rPr>
        <w:t xml:space="preserve"> janvier 20</w:t>
      </w:r>
      <w:bookmarkEnd w:id="2"/>
      <w:r>
        <w:rPr>
          <w:lang w:val="fr-CH"/>
        </w:rPr>
        <w:t>21</w:t>
      </w:r>
      <w:r w:rsidRPr="006B1D2D">
        <w:rPr>
          <w:lang w:val="fr-CH"/>
        </w:rPr>
        <w:t xml:space="preserve"> </w:t>
      </w:r>
    </w:p>
    <w:p w:rsidR="0002740D" w:rsidRPr="00080503" w:rsidRDefault="0002740D" w:rsidP="0002740D">
      <w:pPr>
        <w:keepNext/>
        <w:keepLines/>
        <w:tabs>
          <w:tab w:val="right" w:pos="851"/>
        </w:tabs>
        <w:spacing w:before="240" w:after="120" w:line="240" w:lineRule="exact"/>
        <w:ind w:left="1134" w:right="1134" w:hanging="1134"/>
        <w:rPr>
          <w:b/>
          <w:lang w:val="fr-CH"/>
        </w:rPr>
      </w:pPr>
      <w:bookmarkStart w:id="3" w:name="_Hlk523244416"/>
      <w:r w:rsidRPr="0002740D">
        <w:rPr>
          <w:b/>
          <w:lang w:val="fr-CH"/>
        </w:rPr>
        <w:tab/>
      </w:r>
      <w:r w:rsidRPr="0002740D">
        <w:rPr>
          <w:b/>
          <w:lang w:val="fr-CH"/>
        </w:rPr>
        <w:tab/>
      </w:r>
      <w:r w:rsidRPr="00080503">
        <w:rPr>
          <w:b/>
          <w:lang w:val="fr-CH"/>
        </w:rPr>
        <w:t>Chapitre 1.2</w:t>
      </w:r>
    </w:p>
    <w:p w:rsidR="0002740D" w:rsidRDefault="0002740D" w:rsidP="0002740D">
      <w:pPr>
        <w:pStyle w:val="SingleTxtG"/>
        <w:rPr>
          <w:rFonts w:asciiTheme="majorBidi" w:eastAsia="Calibri" w:hAnsiTheme="majorBidi" w:cstheme="majorBidi"/>
          <w:lang w:val="fr-FR"/>
        </w:rPr>
      </w:pPr>
      <w:r>
        <w:rPr>
          <w:rFonts w:asciiTheme="majorBidi" w:eastAsia="Calibri" w:hAnsiTheme="majorBidi" w:cstheme="majorBidi"/>
          <w:lang w:val="fr-FR"/>
        </w:rPr>
        <w:t>1.2.1</w:t>
      </w:r>
      <w:r>
        <w:rPr>
          <w:rFonts w:asciiTheme="majorBidi" w:eastAsia="Calibri" w:hAnsiTheme="majorBidi" w:cstheme="majorBidi"/>
          <w:lang w:val="fr-FR"/>
        </w:rPr>
        <w:tab/>
        <w:t xml:space="preserve">Modifier la définition de </w:t>
      </w:r>
      <w:r w:rsidRPr="00145EF0">
        <w:rPr>
          <w:rFonts w:asciiTheme="majorBidi" w:eastAsia="Calibri" w:hAnsiTheme="majorBidi" w:cstheme="majorBidi"/>
          <w:i/>
          <w:iCs/>
          <w:lang w:val="fr-FR"/>
        </w:rPr>
        <w:t>«</w:t>
      </w:r>
      <w:r w:rsidRPr="00145EF0">
        <w:rPr>
          <w:i/>
          <w:iCs/>
          <w:lang w:val="fr-FR"/>
        </w:rPr>
        <w:t>G</w:t>
      </w:r>
      <w:r w:rsidRPr="00080503">
        <w:rPr>
          <w:i/>
          <w:iCs/>
          <w:lang w:val="fr-CH"/>
        </w:rPr>
        <w:t>roupe d'explosion</w:t>
      </w:r>
      <w:r>
        <w:rPr>
          <w:rFonts w:asciiTheme="majorBidi" w:eastAsia="Calibri" w:hAnsiTheme="majorBidi" w:cstheme="majorBidi"/>
          <w:i/>
          <w:iCs/>
          <w:lang w:val="fr-FR"/>
        </w:rPr>
        <w:t>»</w:t>
      </w:r>
      <w:r>
        <w:rPr>
          <w:rFonts w:asciiTheme="majorBidi" w:eastAsia="Calibri" w:hAnsiTheme="majorBidi" w:cstheme="majorBidi"/>
          <w:lang w:val="fr-FR"/>
        </w:rPr>
        <w:t xml:space="preserve"> pour lire comme suit:</w:t>
      </w:r>
    </w:p>
    <w:p w:rsidR="0002740D" w:rsidRPr="00145EF0" w:rsidRDefault="0002740D" w:rsidP="0002740D">
      <w:pPr>
        <w:pStyle w:val="SingleTxtG"/>
        <w:rPr>
          <w:lang w:val="fr-FR"/>
        </w:rPr>
      </w:pPr>
      <w:r w:rsidRPr="00080503">
        <w:rPr>
          <w:lang w:val="fr-CH"/>
        </w:rPr>
        <w:t>«</w:t>
      </w:r>
      <w:r w:rsidRPr="00080503">
        <w:rPr>
          <w:i/>
          <w:lang w:val="fr-CH"/>
        </w:rPr>
        <w:t>Groupe</w:t>
      </w:r>
      <w:r w:rsidRPr="00080503">
        <w:rPr>
          <w:lang w:val="fr-CH"/>
        </w:rPr>
        <w:t>/</w:t>
      </w:r>
      <w:r w:rsidRPr="00080503">
        <w:rPr>
          <w:i/>
          <w:lang w:val="fr-CH"/>
        </w:rPr>
        <w:t>sous</w:t>
      </w:r>
      <w:r w:rsidRPr="00080503">
        <w:rPr>
          <w:lang w:val="fr-CH"/>
        </w:rPr>
        <w:t>-</w:t>
      </w:r>
      <w:r w:rsidRPr="00080503">
        <w:rPr>
          <w:i/>
          <w:lang w:val="fr-CH"/>
        </w:rPr>
        <w:t>groupe d’explosion</w:t>
      </w:r>
      <w:r w:rsidRPr="00080503">
        <w:rPr>
          <w:lang w:val="fr-CH"/>
        </w:rPr>
        <w:t>: classement des gaz et des vapeurs inflammables suivant leur interstice expérimental maximal de sécurité (largeur de l’interstice de sécurité déterminée dans des conditions spécifiées) et leur courant minimal d’inflammation, ainsi que des matériels électriques destinés à être utilisés dans les atmosphères explosives (voir EN CEI 60079-0:2012), installations, équipements et systèmes de protection autonomes. Pour les systèmes de protection autonomes, le groupe d'explosion II B est subdivisé en sous-groupes.».</w:t>
      </w:r>
    </w:p>
    <w:p w:rsidR="0002740D" w:rsidRPr="00080503" w:rsidRDefault="0002740D" w:rsidP="0002740D">
      <w:pPr>
        <w:pStyle w:val="SingleTxtG"/>
        <w:rPr>
          <w:i/>
          <w:iCs/>
          <w:lang w:val="fr-CH"/>
        </w:rPr>
      </w:pPr>
      <w:r w:rsidRPr="00080503">
        <w:rPr>
          <w:i/>
          <w:iCs/>
          <w:lang w:val="fr-CH"/>
        </w:rPr>
        <w:t>(Document de référence: ECE/TRANS/WP.15/AC.2/2018/44)</w:t>
      </w:r>
    </w:p>
    <w:p w:rsidR="0002740D" w:rsidRPr="00080503" w:rsidRDefault="0002740D" w:rsidP="0002740D">
      <w:pPr>
        <w:pStyle w:val="SingleTxtG"/>
        <w:rPr>
          <w:lang w:val="fr-CH"/>
        </w:rPr>
      </w:pPr>
      <w:bookmarkStart w:id="4" w:name="_Hlk523498928"/>
      <w:r w:rsidRPr="00080503">
        <w:rPr>
          <w:lang w:val="fr-CH"/>
        </w:rPr>
        <w:t>1.2.1</w:t>
      </w:r>
      <w:r w:rsidRPr="00080503">
        <w:rPr>
          <w:lang w:val="fr-CH"/>
        </w:rPr>
        <w:tab/>
      </w:r>
      <w:bookmarkEnd w:id="4"/>
      <w:r w:rsidRPr="00080503">
        <w:rPr>
          <w:lang w:val="fr-CH"/>
        </w:rPr>
        <w:t>Ajouter la nouvelle définition suivante dans l’ordre alphabétique:</w:t>
      </w:r>
    </w:p>
    <w:p w:rsidR="0002740D" w:rsidRPr="00494F8D" w:rsidRDefault="0002740D" w:rsidP="0002740D">
      <w:pPr>
        <w:pStyle w:val="SingleTxtG"/>
        <w:rPr>
          <w:lang w:val="fr-FR"/>
        </w:rPr>
      </w:pPr>
      <w:r w:rsidRPr="00080503">
        <w:rPr>
          <w:lang w:val="fr-CH"/>
        </w:rPr>
        <w:t>«</w:t>
      </w:r>
      <w:r w:rsidRPr="00080503">
        <w:rPr>
          <w:i/>
          <w:lang w:val="fr-CH"/>
        </w:rPr>
        <w:t>Boues d'hydrocarbures</w:t>
      </w:r>
      <w:r w:rsidRPr="00080503">
        <w:rPr>
          <w:lang w:val="fr-CH"/>
        </w:rPr>
        <w:t>: les hydrocarbures résiduaires issus de l'exploitation normale de navires de mer, par exemple les résidus issus du traitement de combustible ou d'huiles de graissage pour les machines principales ou auxiliaires, les huiles usées obtenues par séparation provenant des installations de filtrage des hydrocarbures, les résidus huileux recueillis dans des gattes et les résidus d'huiles hydrauliques et lubrifiantes.</w:t>
      </w:r>
    </w:p>
    <w:p w:rsidR="0002740D" w:rsidRDefault="0002740D" w:rsidP="0002740D">
      <w:pPr>
        <w:pStyle w:val="SingleTxtG"/>
        <w:rPr>
          <w:i/>
          <w:iCs/>
          <w:lang w:val="fr-CH"/>
        </w:rPr>
      </w:pPr>
      <w:r w:rsidRPr="00080503">
        <w:rPr>
          <w:b/>
          <w:bCs/>
          <w:i/>
          <w:iCs/>
          <w:lang w:val="fr-CH"/>
        </w:rPr>
        <w:t>NOTA:</w:t>
      </w:r>
      <w:r w:rsidRPr="00080503">
        <w:rPr>
          <w:i/>
          <w:iCs/>
          <w:lang w:val="fr-CH"/>
        </w:rPr>
        <w:tab/>
        <w:t>Dans l'ADN, la définition de MARPOL inclut aussi les résidus issus du traitement de l'eau de fond de cale à bord de navires de mer.».</w:t>
      </w:r>
    </w:p>
    <w:p w:rsidR="00637045" w:rsidRPr="00FF5459" w:rsidRDefault="00637045" w:rsidP="00637045">
      <w:pPr>
        <w:spacing w:after="120"/>
        <w:ind w:left="1134" w:right="1134"/>
        <w:jc w:val="both"/>
        <w:rPr>
          <w:lang w:val="fr-CH"/>
        </w:rPr>
      </w:pPr>
      <w:r w:rsidRPr="00FF5459">
        <w:rPr>
          <w:i/>
          <w:iCs/>
          <w:lang w:val="fr-CH"/>
        </w:rPr>
        <w:t>(Reference document: ECE/TRANS/WP.15/AC.2/2018/44</w:t>
      </w:r>
      <w:r w:rsidRPr="00FF5459">
        <w:rPr>
          <w:i/>
          <w:lang w:val="fr-CH"/>
        </w:rPr>
        <w:t>)</w:t>
      </w:r>
    </w:p>
    <w:p w:rsidR="0002740D" w:rsidRPr="00007D45" w:rsidRDefault="0002740D" w:rsidP="0002740D">
      <w:pPr>
        <w:keepNext/>
        <w:keepLines/>
        <w:tabs>
          <w:tab w:val="right" w:pos="851"/>
        </w:tabs>
        <w:spacing w:before="240" w:after="120" w:line="240" w:lineRule="exact"/>
        <w:ind w:left="1134" w:right="1134" w:hanging="1134"/>
        <w:rPr>
          <w:b/>
          <w:lang w:val="fr-CH"/>
        </w:rPr>
      </w:pPr>
      <w:r w:rsidRPr="00080503">
        <w:rPr>
          <w:b/>
          <w:lang w:val="fr-CH"/>
        </w:rPr>
        <w:tab/>
      </w:r>
      <w:r w:rsidRPr="00080503">
        <w:rPr>
          <w:b/>
          <w:lang w:val="fr-CH"/>
        </w:rPr>
        <w:tab/>
      </w:r>
      <w:r w:rsidRPr="00007D45">
        <w:rPr>
          <w:b/>
          <w:lang w:val="fr-CH"/>
        </w:rPr>
        <w:t>Chapitre 1.1</w:t>
      </w:r>
    </w:p>
    <w:p w:rsidR="0002740D" w:rsidRPr="00007D45" w:rsidRDefault="0002740D" w:rsidP="0002740D">
      <w:pPr>
        <w:pStyle w:val="SingleTxtG"/>
        <w:rPr>
          <w:lang w:val="fr-CH"/>
        </w:rPr>
      </w:pPr>
      <w:r w:rsidRPr="00007D45">
        <w:rPr>
          <w:lang w:val="fr-CH"/>
        </w:rPr>
        <w:t>1.1.3.6</w:t>
      </w:r>
      <w:r w:rsidRPr="00007D45">
        <w:rPr>
          <w:lang w:val="fr-CH"/>
        </w:rPr>
        <w:tab/>
      </w:r>
      <w:r w:rsidRPr="00007D45">
        <w:rPr>
          <w:lang w:val="fr-CH"/>
        </w:rPr>
        <w:tab/>
        <w:t>Ajouter «1.1.3.6.3 et 1.1.3.6.4</w:t>
      </w:r>
      <w:r w:rsidRPr="00007D45">
        <w:rPr>
          <w:lang w:val="fr-CH"/>
        </w:rPr>
        <w:tab/>
      </w:r>
      <w:r w:rsidRPr="00007D45">
        <w:rPr>
          <w:i/>
          <w:iCs/>
          <w:lang w:val="fr-CH"/>
        </w:rPr>
        <w:t>Reservés</w:t>
      </w:r>
      <w:r w:rsidRPr="00007D45">
        <w:rPr>
          <w:lang w:val="fr-CH"/>
        </w:rPr>
        <w:t>».</w:t>
      </w:r>
      <w:bookmarkEnd w:id="3"/>
    </w:p>
    <w:p w:rsidR="0002740D" w:rsidRPr="00007D45" w:rsidRDefault="0002740D" w:rsidP="0002740D">
      <w:pPr>
        <w:pStyle w:val="SingleTxtG"/>
        <w:rPr>
          <w:i/>
          <w:iCs/>
          <w:lang w:val="fr-CH"/>
        </w:rPr>
      </w:pPr>
      <w:r w:rsidRPr="00007D45">
        <w:rPr>
          <w:i/>
          <w:iCs/>
          <w:lang w:val="fr-CH"/>
        </w:rPr>
        <w:t>(Documents de référence: ECE/TRANS/WP.15/AC.2/2018/51 tel que modifié)</w:t>
      </w:r>
    </w:p>
    <w:p w:rsidR="0002740D" w:rsidRPr="00007D45" w:rsidRDefault="0002740D" w:rsidP="0002740D">
      <w:pPr>
        <w:pStyle w:val="SingleTxtG"/>
        <w:rPr>
          <w:lang w:val="fr-CH"/>
        </w:rPr>
      </w:pPr>
      <w:r>
        <w:rPr>
          <w:lang w:val="fr-CH"/>
        </w:rPr>
        <w:t>1.1.3.6</w:t>
      </w:r>
      <w:r>
        <w:rPr>
          <w:lang w:val="fr-CH"/>
        </w:rPr>
        <w:tab/>
      </w:r>
      <w:r w:rsidRPr="00007D45">
        <w:rPr>
          <w:lang w:val="fr-CH"/>
        </w:rPr>
        <w:t>Insérer le nouveau paragraphe 1.1.3.6.5 suivant:</w:t>
      </w:r>
    </w:p>
    <w:p w:rsidR="0002740D" w:rsidRDefault="0002740D" w:rsidP="0002740D">
      <w:pPr>
        <w:pStyle w:val="SingleTxtG"/>
        <w:rPr>
          <w:lang w:val="fr-FR"/>
        </w:rPr>
      </w:pPr>
      <w:r w:rsidRPr="00007D45">
        <w:rPr>
          <w:lang w:val="fr-CH"/>
        </w:rPr>
        <w:t>«</w:t>
      </w:r>
      <w:r>
        <w:rPr>
          <w:lang w:val="fr-FR"/>
        </w:rPr>
        <w:t>1.1.3.6.5</w:t>
      </w:r>
      <w:r>
        <w:rPr>
          <w:lang w:val="fr-FR"/>
        </w:rPr>
        <w:tab/>
        <w:t>Aux fins de la présente sous-section, les marchandises dangereuses qui sont exemptées conformément aux 1.1.3.1 a), b) et d) à f), 1.1.3.2 à 1.1.3.5, 1.1.3.7, 1.1.3.9 et 1.1.3.10 ne doivent pas être prises en compte.</w:t>
      </w:r>
      <w:r w:rsidRPr="00007D45">
        <w:rPr>
          <w:lang w:val="fr-CH"/>
        </w:rPr>
        <w:t>».</w:t>
      </w:r>
    </w:p>
    <w:p w:rsidR="0002740D" w:rsidRPr="00007D45" w:rsidRDefault="0002740D" w:rsidP="0002740D">
      <w:pPr>
        <w:pStyle w:val="SingleTxtG"/>
        <w:rPr>
          <w:i/>
          <w:iCs/>
          <w:lang w:val="fr-CH"/>
        </w:rPr>
      </w:pPr>
      <w:r w:rsidRPr="00007D45">
        <w:rPr>
          <w:i/>
          <w:iCs/>
          <w:lang w:val="fr-CH"/>
        </w:rPr>
        <w:t>(Document de référence: ECE/TRANS/WP.15/AC.2/2018/51 tel que modifié)</w:t>
      </w:r>
    </w:p>
    <w:p w:rsidR="0002740D" w:rsidRPr="00007D45" w:rsidRDefault="0002740D" w:rsidP="0002740D">
      <w:pPr>
        <w:keepNext/>
        <w:keepLines/>
        <w:tabs>
          <w:tab w:val="right" w:pos="851"/>
        </w:tabs>
        <w:spacing w:before="240" w:after="120" w:line="240" w:lineRule="exact"/>
        <w:ind w:left="1134" w:right="1134" w:hanging="1134"/>
        <w:rPr>
          <w:b/>
          <w:lang w:val="fr-CH"/>
        </w:rPr>
      </w:pPr>
      <w:r w:rsidRPr="00007D45">
        <w:rPr>
          <w:b/>
          <w:lang w:val="fr-CH"/>
        </w:rPr>
        <w:tab/>
      </w:r>
      <w:r w:rsidRPr="00007D45">
        <w:rPr>
          <w:b/>
          <w:lang w:val="fr-CH"/>
        </w:rPr>
        <w:tab/>
        <w:t>Chapitre 1.6</w:t>
      </w:r>
    </w:p>
    <w:p w:rsidR="0002740D" w:rsidRDefault="0002740D" w:rsidP="0002740D">
      <w:pPr>
        <w:pStyle w:val="SingleTxtG"/>
        <w:spacing w:before="240"/>
        <w:rPr>
          <w:rFonts w:asciiTheme="majorBidi" w:hAnsiTheme="majorBidi" w:cstheme="majorBidi"/>
          <w:lang w:val="fr-FR"/>
        </w:rPr>
      </w:pPr>
      <w:r w:rsidRPr="00007D45">
        <w:rPr>
          <w:rFonts w:asciiTheme="majorBidi" w:hAnsiTheme="majorBidi" w:cstheme="majorBidi"/>
          <w:lang w:val="fr-CH"/>
        </w:rPr>
        <w:t>1.6.7.2.2.2</w:t>
      </w:r>
      <w:r w:rsidRPr="00007D45">
        <w:rPr>
          <w:rFonts w:asciiTheme="majorBidi" w:hAnsiTheme="majorBidi" w:cstheme="majorBidi"/>
          <w:lang w:val="fr-CH"/>
        </w:rPr>
        <w:tab/>
      </w:r>
      <w:r>
        <w:rPr>
          <w:rFonts w:asciiTheme="majorBidi" w:hAnsiTheme="majorBidi" w:cstheme="majorBidi"/>
          <w:lang w:val="fr-FR"/>
        </w:rPr>
        <w:t>Ajouter l</w:t>
      </w:r>
      <w:r w:rsidR="00637045">
        <w:rPr>
          <w:rFonts w:asciiTheme="majorBidi" w:hAnsiTheme="majorBidi" w:cstheme="majorBidi"/>
          <w:lang w:val="fr-FR"/>
        </w:rPr>
        <w:t>a</w:t>
      </w:r>
      <w:r>
        <w:rPr>
          <w:rFonts w:asciiTheme="majorBidi" w:hAnsiTheme="majorBidi" w:cstheme="majorBidi"/>
          <w:lang w:val="fr-FR"/>
        </w:rPr>
        <w:t xml:space="preserve"> nouvel</w:t>
      </w:r>
      <w:r w:rsidR="00637045">
        <w:rPr>
          <w:rFonts w:asciiTheme="majorBidi" w:hAnsiTheme="majorBidi" w:cstheme="majorBidi"/>
          <w:lang w:val="fr-FR"/>
        </w:rPr>
        <w:t>le</w:t>
      </w:r>
      <w:r>
        <w:rPr>
          <w:rFonts w:asciiTheme="majorBidi" w:hAnsiTheme="majorBidi" w:cstheme="majorBidi"/>
          <w:lang w:val="fr-FR"/>
        </w:rPr>
        <w:t xml:space="preserve"> disposition transitoire suivant</w:t>
      </w:r>
      <w:r w:rsidR="00637045">
        <w:rPr>
          <w:rFonts w:asciiTheme="majorBidi" w:hAnsiTheme="majorBidi" w:cstheme="majorBidi"/>
          <w:lang w:val="fr-FR"/>
        </w:rPr>
        <w:t>e</w:t>
      </w:r>
      <w:r>
        <w:rPr>
          <w:rFonts w:asciiTheme="majorBidi" w:hAnsiTheme="majorBidi" w:cstheme="majorBidi"/>
          <w:lang w:val="fr-FR"/>
        </w:rPr>
        <w:t>:</w:t>
      </w:r>
    </w:p>
    <w:tbl>
      <w:tblPr>
        <w:tblStyle w:val="Grilledutableau6"/>
        <w:tblW w:w="8547" w:type="dxa"/>
        <w:tblInd w:w="3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
        <w:gridCol w:w="2833"/>
        <w:gridCol w:w="4828"/>
      </w:tblGrid>
      <w:tr w:rsidR="0002740D" w:rsidRPr="00FF5459" w:rsidTr="00C178A4">
        <w:trPr>
          <w:cantSplit/>
          <w:trHeight w:val="283"/>
        </w:trPr>
        <w:tc>
          <w:tcPr>
            <w:tcW w:w="886" w:type="dxa"/>
            <w:tcBorders>
              <w:top w:val="single" w:sz="4" w:space="0" w:color="auto"/>
              <w:left w:val="nil"/>
              <w:bottom w:val="single" w:sz="4" w:space="0" w:color="auto"/>
              <w:right w:val="nil"/>
            </w:tcBorders>
            <w:hideMark/>
          </w:tcPr>
          <w:p w:rsidR="0002740D" w:rsidRPr="00C25B58" w:rsidRDefault="0002740D" w:rsidP="00C50523">
            <w:pPr>
              <w:suppressAutoHyphens w:val="0"/>
              <w:spacing w:before="40" w:after="120" w:line="220" w:lineRule="exact"/>
              <w:ind w:right="113"/>
              <w:rPr>
                <w:rFonts w:asciiTheme="majorBidi" w:hAnsiTheme="majorBidi" w:cstheme="majorBidi"/>
              </w:rPr>
            </w:pPr>
            <w:r w:rsidRPr="00C25B58">
              <w:rPr>
                <w:rFonts w:asciiTheme="majorBidi" w:hAnsiTheme="majorBidi" w:cstheme="majorBidi"/>
              </w:rPr>
              <w:lastRenderedPageBreak/>
              <w:t>1.2.1</w:t>
            </w:r>
          </w:p>
        </w:tc>
        <w:tc>
          <w:tcPr>
            <w:tcW w:w="2833" w:type="dxa"/>
            <w:tcBorders>
              <w:top w:val="single" w:sz="4" w:space="0" w:color="auto"/>
              <w:left w:val="nil"/>
              <w:bottom w:val="single" w:sz="4" w:space="0" w:color="auto"/>
              <w:right w:val="nil"/>
            </w:tcBorders>
            <w:hideMark/>
          </w:tcPr>
          <w:p w:rsidR="0002740D" w:rsidRDefault="0002740D" w:rsidP="00C50523">
            <w:pPr>
              <w:suppressAutoHyphens w:val="0"/>
              <w:spacing w:before="40" w:after="120" w:line="220" w:lineRule="exact"/>
              <w:ind w:right="113"/>
              <w:rPr>
                <w:rFonts w:asciiTheme="majorBidi" w:hAnsiTheme="majorBidi" w:cstheme="majorBidi"/>
              </w:rPr>
            </w:pPr>
            <w:r>
              <w:rPr>
                <w:rFonts w:asciiTheme="majorBidi" w:hAnsiTheme="majorBidi" w:cstheme="majorBidi"/>
              </w:rPr>
              <w:t>Soupape de dépression</w:t>
            </w:r>
          </w:p>
          <w:p w:rsidR="0002740D" w:rsidRDefault="0002740D" w:rsidP="00C50523">
            <w:pPr>
              <w:suppressAutoHyphens w:val="0"/>
              <w:spacing w:before="40" w:after="120" w:line="220" w:lineRule="exact"/>
              <w:ind w:right="113"/>
              <w:rPr>
                <w:rFonts w:asciiTheme="majorBidi" w:hAnsiTheme="majorBidi" w:cstheme="majorBidi"/>
              </w:rPr>
            </w:pPr>
            <w:r>
              <w:rPr>
                <w:rFonts w:asciiTheme="majorBidi" w:hAnsiTheme="majorBidi" w:cstheme="majorBidi"/>
              </w:rPr>
              <w:t>Résistance à la déflagration</w:t>
            </w:r>
          </w:p>
          <w:p w:rsidR="0002740D" w:rsidRDefault="0002740D" w:rsidP="00C50523">
            <w:pPr>
              <w:suppressAutoHyphens w:val="0"/>
              <w:spacing w:before="40" w:after="120" w:line="220" w:lineRule="exact"/>
              <w:ind w:left="33" w:right="113"/>
              <w:rPr>
                <w:rFonts w:asciiTheme="majorBidi" w:hAnsiTheme="majorBidi" w:cstheme="majorBidi"/>
              </w:rPr>
            </w:pPr>
            <w:r>
              <w:rPr>
                <w:rFonts w:asciiTheme="majorBidi" w:hAnsiTheme="majorBidi" w:cstheme="majorBidi"/>
              </w:rPr>
              <w:t>Épreuve selon la norme ISO 16852:2016</w:t>
            </w:r>
          </w:p>
          <w:p w:rsidR="0002740D" w:rsidRDefault="0002740D" w:rsidP="00C50523">
            <w:pPr>
              <w:suppressAutoHyphens w:val="0"/>
              <w:spacing w:before="40" w:after="120" w:line="220" w:lineRule="exact"/>
              <w:ind w:left="33" w:right="113"/>
              <w:rPr>
                <w:rFonts w:asciiTheme="majorBidi" w:hAnsiTheme="majorBidi" w:cstheme="majorBidi"/>
              </w:rPr>
            </w:pPr>
            <w:r>
              <w:rPr>
                <w:rFonts w:asciiTheme="majorBidi" w:hAnsiTheme="majorBidi" w:cstheme="majorBidi"/>
              </w:rPr>
              <w:t>Preuve: "conforme aux exigences applicables"</w:t>
            </w:r>
          </w:p>
        </w:tc>
        <w:tc>
          <w:tcPr>
            <w:tcW w:w="4828" w:type="dxa"/>
            <w:tcBorders>
              <w:top w:val="single" w:sz="4" w:space="0" w:color="auto"/>
              <w:left w:val="nil"/>
              <w:bottom w:val="single" w:sz="4" w:space="0" w:color="auto"/>
              <w:right w:val="nil"/>
            </w:tcBorders>
            <w:hideMark/>
          </w:tcPr>
          <w:p w:rsidR="0002740D" w:rsidRDefault="0002740D" w:rsidP="00C50523">
            <w:pPr>
              <w:suppressAutoHyphens w:val="0"/>
              <w:spacing w:before="40" w:after="120" w:line="220" w:lineRule="exact"/>
              <w:ind w:right="113"/>
              <w:jc w:val="center"/>
              <w:rPr>
                <w:rFonts w:asciiTheme="majorBidi" w:hAnsiTheme="majorBidi" w:cstheme="majorBidi"/>
              </w:rPr>
            </w:pPr>
            <w:r>
              <w:rPr>
                <w:rFonts w:asciiTheme="majorBidi" w:hAnsiTheme="majorBidi" w:cstheme="majorBidi"/>
              </w:rPr>
              <w:t>N.R.T. à partir du 1er janvier 2019</w:t>
            </w:r>
          </w:p>
          <w:p w:rsidR="0002740D" w:rsidRDefault="0002740D" w:rsidP="00C50523">
            <w:pPr>
              <w:suppressAutoHyphens w:val="0"/>
              <w:spacing w:before="40" w:after="120" w:line="220" w:lineRule="exact"/>
              <w:ind w:right="113"/>
              <w:jc w:val="center"/>
              <w:rPr>
                <w:rFonts w:asciiTheme="majorBidi" w:hAnsiTheme="majorBidi" w:cstheme="majorBidi"/>
              </w:rPr>
            </w:pPr>
            <w:r>
              <w:rPr>
                <w:rFonts w:asciiTheme="majorBidi" w:hAnsiTheme="majorBidi" w:cstheme="majorBidi"/>
              </w:rPr>
              <w:t>Renouvellement du certificat d’agrément après le 31 décembre 2034</w:t>
            </w:r>
          </w:p>
          <w:p w:rsidR="0002740D" w:rsidRDefault="0002740D" w:rsidP="00C50523">
            <w:pPr>
              <w:suppressAutoHyphens w:val="0"/>
              <w:spacing w:before="40" w:after="120" w:line="220" w:lineRule="exact"/>
              <w:ind w:left="33" w:right="113"/>
              <w:rPr>
                <w:rFonts w:asciiTheme="majorBidi" w:hAnsiTheme="majorBidi" w:cstheme="majorBidi"/>
              </w:rPr>
            </w:pPr>
            <w:r>
              <w:rPr>
                <w:rFonts w:asciiTheme="majorBidi" w:hAnsiTheme="majorBidi" w:cstheme="majorBidi"/>
              </w:rPr>
              <w:t xml:space="preserve">La résistance à la déflagration doit être éprouvée conformément à la norme EN 12874:2001, y compris la confirmation que doit fournir le fabricant conformément à la directive 94/9/CE ou équivalent, à bord des bateaux construits ou transformés à compter du 1er janvier 2001 ou si la soupape de dépression a été remplacée à compter du 1er janvier 2001. </w:t>
            </w:r>
          </w:p>
          <w:p w:rsidR="0002740D" w:rsidRDefault="0002740D" w:rsidP="00C50523">
            <w:pPr>
              <w:suppressAutoHyphens w:val="0"/>
              <w:spacing w:before="40" w:after="120" w:line="220" w:lineRule="exact"/>
              <w:ind w:left="33" w:right="113"/>
              <w:rPr>
                <w:rFonts w:asciiTheme="majorBidi" w:hAnsiTheme="majorBidi" w:cstheme="majorBidi"/>
              </w:rPr>
            </w:pPr>
            <w:r>
              <w:rPr>
                <w:rFonts w:asciiTheme="majorBidi" w:hAnsiTheme="majorBidi" w:cstheme="majorBidi"/>
              </w:rPr>
              <w:t>Dans les autres cas, elles doivent être d'un type agréé par l'autorité compétente pour l'usage prévu.</w:t>
            </w:r>
          </w:p>
        </w:tc>
      </w:tr>
    </w:tbl>
    <w:p w:rsidR="0002740D" w:rsidRPr="00007D45" w:rsidRDefault="0002740D" w:rsidP="0002740D">
      <w:pPr>
        <w:pStyle w:val="SingleTxtG"/>
        <w:spacing w:before="120"/>
        <w:rPr>
          <w:lang w:val="fr-CH"/>
        </w:rPr>
      </w:pPr>
      <w:r w:rsidRPr="00007D45">
        <w:rPr>
          <w:i/>
          <w:lang w:val="fr-CH"/>
        </w:rPr>
        <w:t>(Document de référence: ECE/TRANS/WP.15/AC.2/2018/32)</w:t>
      </w:r>
    </w:p>
    <w:p w:rsidR="0002740D" w:rsidRPr="000928EA" w:rsidRDefault="0002740D" w:rsidP="0002740D">
      <w:pPr>
        <w:keepNext/>
        <w:keepLines/>
        <w:tabs>
          <w:tab w:val="right" w:pos="851"/>
        </w:tabs>
        <w:spacing w:before="240" w:after="120" w:line="240" w:lineRule="exact"/>
        <w:ind w:left="1134" w:right="1134" w:hanging="1134"/>
        <w:rPr>
          <w:b/>
          <w:lang w:val="fr-CH"/>
        </w:rPr>
      </w:pPr>
      <w:r w:rsidRPr="0034725A">
        <w:rPr>
          <w:b/>
          <w:lang w:val="fr-CH"/>
        </w:rPr>
        <w:tab/>
      </w:r>
      <w:r w:rsidRPr="0034725A">
        <w:rPr>
          <w:b/>
          <w:lang w:val="fr-CH"/>
        </w:rPr>
        <w:tab/>
      </w:r>
      <w:r w:rsidRPr="000928EA">
        <w:rPr>
          <w:b/>
          <w:lang w:val="fr-CH"/>
        </w:rPr>
        <w:t>Chapitre 3.2, Tableau A</w:t>
      </w:r>
    </w:p>
    <w:p w:rsidR="0002740D" w:rsidRPr="000928EA" w:rsidRDefault="0002740D" w:rsidP="0002740D">
      <w:pPr>
        <w:pStyle w:val="SingleTxtG"/>
        <w:rPr>
          <w:rFonts w:ascii="inherit" w:hAnsi="inherit" w:hint="eastAsia"/>
          <w:color w:val="212121"/>
          <w:lang w:val="fr-CH"/>
        </w:rPr>
      </w:pPr>
      <w:r>
        <w:rPr>
          <w:rFonts w:ascii="inherit" w:hAnsi="inherit"/>
          <w:color w:val="212121"/>
          <w:lang w:val="fr-FR"/>
        </w:rPr>
        <w:t xml:space="preserve">Pour le </w:t>
      </w:r>
      <w:r w:rsidRPr="000928EA">
        <w:rPr>
          <w:lang w:val="fr-CH"/>
        </w:rPr>
        <w:t>No ONU 2288 ISOHEXÈNES</w:t>
      </w:r>
      <w:r>
        <w:rPr>
          <w:rFonts w:ascii="inherit" w:hAnsi="inherit"/>
          <w:color w:val="212121"/>
          <w:lang w:val="fr-FR"/>
        </w:rPr>
        <w:t xml:space="preserve">, dans la colonne (8), insérer </w:t>
      </w:r>
      <w:r w:rsidRPr="000928EA">
        <w:rPr>
          <w:lang w:val="fr-CH"/>
        </w:rPr>
        <w:t>«</w:t>
      </w:r>
      <w:r>
        <w:rPr>
          <w:rFonts w:ascii="inherit" w:hAnsi="inherit" w:cs="Courier New"/>
          <w:color w:val="212121"/>
          <w:lang w:val="fr-FR"/>
        </w:rPr>
        <w:t>T</w:t>
      </w:r>
      <w:r w:rsidRPr="000928EA">
        <w:rPr>
          <w:lang w:val="fr-CH"/>
        </w:rPr>
        <w:t>».</w:t>
      </w:r>
    </w:p>
    <w:p w:rsidR="0002740D" w:rsidRPr="000928EA" w:rsidRDefault="0002740D" w:rsidP="0002740D">
      <w:pPr>
        <w:pStyle w:val="SingleTxtG"/>
        <w:rPr>
          <w:i/>
          <w:iCs/>
          <w:lang w:val="fr-CH"/>
        </w:rPr>
      </w:pPr>
      <w:r w:rsidRPr="000928EA">
        <w:rPr>
          <w:i/>
          <w:lang w:val="fr-CH"/>
        </w:rPr>
        <w:t>(Document de référence: ECE/TRANS/WP.15/AC.2/2018/44)</w:t>
      </w:r>
    </w:p>
    <w:p w:rsidR="0002740D" w:rsidRPr="0034725A" w:rsidRDefault="0002740D" w:rsidP="0002740D">
      <w:pPr>
        <w:keepNext/>
        <w:keepLines/>
        <w:tabs>
          <w:tab w:val="right" w:pos="851"/>
        </w:tabs>
        <w:spacing w:before="240" w:after="120" w:line="240" w:lineRule="exact"/>
        <w:ind w:left="1134" w:right="1134" w:hanging="1134"/>
        <w:rPr>
          <w:b/>
          <w:lang w:val="fr-CH"/>
        </w:rPr>
      </w:pPr>
      <w:r w:rsidRPr="00CA2062">
        <w:rPr>
          <w:b/>
          <w:lang w:val="fr-CH"/>
        </w:rPr>
        <w:tab/>
      </w:r>
      <w:r w:rsidRPr="00CA2062">
        <w:rPr>
          <w:b/>
          <w:lang w:val="fr-CH"/>
        </w:rPr>
        <w:tab/>
      </w:r>
      <w:r w:rsidRPr="0034725A">
        <w:rPr>
          <w:b/>
          <w:lang w:val="fr-CH"/>
        </w:rPr>
        <w:t>Chapitre 3.2</w:t>
      </w:r>
      <w:r>
        <w:rPr>
          <w:b/>
          <w:lang w:val="fr-CH"/>
        </w:rPr>
        <w:t>, 3.2.3</w:t>
      </w:r>
    </w:p>
    <w:p w:rsidR="0002740D" w:rsidRPr="0034725A" w:rsidRDefault="0002740D" w:rsidP="0002740D">
      <w:pPr>
        <w:pStyle w:val="SingleTxtG"/>
        <w:rPr>
          <w:lang w:val="fr-CH"/>
        </w:rPr>
      </w:pPr>
      <w:r w:rsidRPr="0034725A">
        <w:rPr>
          <w:lang w:val="fr-CH"/>
        </w:rPr>
        <w:t>3.2.3.1, 3.2.3.3 et 3.2.4.3, colonne (20)</w:t>
      </w:r>
      <w:r w:rsidRPr="0034725A">
        <w:rPr>
          <w:lang w:val="fr-CH"/>
        </w:rPr>
        <w:tab/>
        <w:t>Supprimer l’observation 29 et insérer «Supprimé».</w:t>
      </w:r>
    </w:p>
    <w:p w:rsidR="0002740D" w:rsidRPr="0034725A" w:rsidRDefault="0002740D" w:rsidP="0002740D">
      <w:pPr>
        <w:pStyle w:val="SingleTxtG"/>
        <w:rPr>
          <w:i/>
          <w:lang w:val="fr-CH"/>
        </w:rPr>
      </w:pPr>
      <w:r w:rsidRPr="0034725A">
        <w:rPr>
          <w:i/>
          <w:iCs/>
          <w:lang w:val="fr-CH"/>
        </w:rPr>
        <w:t>(Document de référence: ECE/TRANS/WP.15/AC.2/2018/44)</w:t>
      </w:r>
    </w:p>
    <w:p w:rsidR="0002740D" w:rsidRPr="00FF5459" w:rsidRDefault="0002740D" w:rsidP="0002740D">
      <w:pPr>
        <w:pStyle w:val="SingleTxtG"/>
        <w:tabs>
          <w:tab w:val="left" w:pos="1985"/>
        </w:tabs>
        <w:rPr>
          <w:lang w:val="fr-CH"/>
        </w:rPr>
      </w:pPr>
      <w:r w:rsidRPr="00FF5459">
        <w:rPr>
          <w:lang w:val="fr-CH"/>
        </w:rPr>
        <w:t>3.2.3.1</w:t>
      </w:r>
      <w:r w:rsidRPr="00FF5459">
        <w:rPr>
          <w:lang w:val="fr-CH"/>
        </w:rPr>
        <w:tab/>
        <w:t xml:space="preserve">Dans </w:t>
      </w:r>
      <w:r w:rsidR="00FF5459" w:rsidRPr="00FF5459">
        <w:rPr>
          <w:rFonts w:asciiTheme="majorBidi" w:eastAsia="Calibri" w:hAnsiTheme="majorBidi" w:cstheme="majorBidi"/>
          <w:lang w:val="fr-FR"/>
        </w:rPr>
        <w:t>«</w:t>
      </w:r>
      <w:r w:rsidR="00FF5459" w:rsidRPr="00FF5459">
        <w:rPr>
          <w:bCs/>
          <w:iCs/>
          <w:lang w:val="fr-CH"/>
        </w:rPr>
        <w:t>Explications concernant le tableau C</w:t>
      </w:r>
      <w:r w:rsidR="00FF5459">
        <w:rPr>
          <w:rFonts w:asciiTheme="majorBidi" w:eastAsia="Calibri" w:hAnsiTheme="majorBidi" w:cstheme="majorBidi"/>
          <w:lang w:val="fr-FR"/>
        </w:rPr>
        <w:t>», colonne</w:t>
      </w:r>
      <w:r w:rsidR="00FF5459" w:rsidRPr="00FF5459">
        <w:rPr>
          <w:lang w:val="fr-CH"/>
        </w:rPr>
        <w:t xml:space="preserve"> </w:t>
      </w:r>
      <w:r w:rsidRPr="00FF5459">
        <w:rPr>
          <w:lang w:val="fr-CH"/>
        </w:rPr>
        <w:t>(20), modifier la fin de l'observation 44 pour lire comme suit:</w:t>
      </w:r>
    </w:p>
    <w:p w:rsidR="0002740D" w:rsidRPr="0034725A" w:rsidRDefault="0002740D" w:rsidP="0002740D">
      <w:pPr>
        <w:pStyle w:val="SingleTxtG"/>
        <w:rPr>
          <w:lang w:val="fr-CH"/>
        </w:rPr>
      </w:pPr>
      <w:r w:rsidRPr="0034725A">
        <w:rPr>
          <w:lang w:val="fr-CH"/>
        </w:rPr>
        <w:t>«…ou une norme équivalente permettant une affectation aux sous-groupes II B3, II B2 ou II B1 du groupe d’explosion II B ou du groupe d’explosion II A.».</w:t>
      </w:r>
    </w:p>
    <w:p w:rsidR="0002740D" w:rsidRPr="0034725A" w:rsidRDefault="0002740D" w:rsidP="0002740D">
      <w:pPr>
        <w:pStyle w:val="SingleTxtG"/>
        <w:rPr>
          <w:b/>
          <w:lang w:val="fr-CH"/>
        </w:rPr>
      </w:pPr>
      <w:r w:rsidRPr="0034725A">
        <w:rPr>
          <w:i/>
          <w:iCs/>
          <w:lang w:val="fr-CH"/>
        </w:rPr>
        <w:t>(Document de référence: ECE/TRANS/WP.15/AC.2/2018/44)</w:t>
      </w:r>
    </w:p>
    <w:p w:rsidR="0002740D" w:rsidRPr="00007D45" w:rsidRDefault="0002740D" w:rsidP="0002740D">
      <w:pPr>
        <w:keepNext/>
        <w:keepLines/>
        <w:tabs>
          <w:tab w:val="right" w:pos="851"/>
        </w:tabs>
        <w:spacing w:before="240" w:after="120" w:line="240" w:lineRule="exact"/>
        <w:ind w:left="1134" w:right="1134" w:hanging="1134"/>
        <w:rPr>
          <w:b/>
          <w:lang w:val="fr-CH"/>
        </w:rPr>
      </w:pPr>
      <w:r w:rsidRPr="00007D45">
        <w:rPr>
          <w:b/>
          <w:lang w:val="fr-CH"/>
        </w:rPr>
        <w:tab/>
      </w:r>
      <w:r w:rsidRPr="00007D45">
        <w:rPr>
          <w:b/>
          <w:lang w:val="fr-CH"/>
        </w:rPr>
        <w:tab/>
        <w:t>Chapitre 3.2, Tableau C</w:t>
      </w:r>
    </w:p>
    <w:p w:rsidR="0002740D" w:rsidRDefault="0002740D" w:rsidP="0002740D">
      <w:pPr>
        <w:spacing w:after="120"/>
        <w:ind w:left="1134" w:right="1134"/>
        <w:jc w:val="both"/>
        <w:rPr>
          <w:rFonts w:asciiTheme="majorBidi" w:eastAsia="Calibri" w:hAnsiTheme="majorBidi" w:cstheme="majorBidi"/>
          <w:lang w:val="fr-FR"/>
        </w:rPr>
      </w:pPr>
      <w:r>
        <w:rPr>
          <w:rFonts w:asciiTheme="majorBidi" w:eastAsia="Calibri" w:hAnsiTheme="majorBidi" w:cstheme="majorBidi"/>
          <w:lang w:val="fr-FR"/>
        </w:rPr>
        <w:t>3.2.3.2</w:t>
      </w:r>
      <w:r>
        <w:rPr>
          <w:rFonts w:asciiTheme="majorBidi" w:eastAsia="Calibri" w:hAnsiTheme="majorBidi" w:cstheme="majorBidi"/>
          <w:lang w:val="fr-FR"/>
        </w:rPr>
        <w:tab/>
        <w:t>Pour toutes les rubriques avec «29» dans la colonne (20), supprimer «29».</w:t>
      </w:r>
    </w:p>
    <w:p w:rsidR="0002740D" w:rsidRDefault="0002740D" w:rsidP="0002740D">
      <w:pPr>
        <w:spacing w:after="120"/>
        <w:ind w:left="1134" w:right="1134"/>
        <w:jc w:val="both"/>
        <w:rPr>
          <w:rFonts w:asciiTheme="majorBidi" w:eastAsia="Calibri" w:hAnsiTheme="majorBidi" w:cstheme="majorBidi"/>
          <w:lang w:val="fr-FR"/>
        </w:rPr>
      </w:pPr>
      <w:r w:rsidRPr="0034725A">
        <w:rPr>
          <w:i/>
          <w:iCs/>
          <w:lang w:val="fr-CH"/>
        </w:rPr>
        <w:t>(Document de référence: ECE/TRANS/WP.15/AC.2/2018/44)</w:t>
      </w:r>
    </w:p>
    <w:p w:rsidR="0002740D" w:rsidRPr="00767D42" w:rsidRDefault="0002740D" w:rsidP="0002740D">
      <w:pPr>
        <w:pStyle w:val="SingleTxtG"/>
        <w:rPr>
          <w:lang w:val="fr-CH"/>
        </w:rPr>
      </w:pPr>
      <w:r w:rsidRPr="00767D42">
        <w:rPr>
          <w:lang w:val="fr-CH"/>
        </w:rPr>
        <w:t>Pour le No ONU 1010, BUTADIÈNE-1-2, STABILISÉ, modifier la colonne (2) pour lire comme suit: «BUTADIÈNES (BUTADIÈNE-1-2), STABILISÉ».</w:t>
      </w:r>
    </w:p>
    <w:p w:rsidR="0002740D" w:rsidRPr="00767D42" w:rsidRDefault="0002740D" w:rsidP="0002740D">
      <w:pPr>
        <w:pStyle w:val="SingleTxtG"/>
        <w:rPr>
          <w:i/>
          <w:lang w:val="fr-CH"/>
        </w:rPr>
      </w:pPr>
      <w:r w:rsidRPr="00767D42">
        <w:rPr>
          <w:i/>
          <w:iCs/>
          <w:lang w:val="fr-CH"/>
        </w:rPr>
        <w:t>(Document de référence: ECE/TRANS/WP.15/AC.2/2018/44)</w:t>
      </w:r>
    </w:p>
    <w:p w:rsidR="0002740D" w:rsidRPr="00767D42" w:rsidRDefault="0002740D" w:rsidP="0002740D">
      <w:pPr>
        <w:pStyle w:val="SingleTxtG"/>
        <w:rPr>
          <w:lang w:val="fr-CH"/>
        </w:rPr>
      </w:pPr>
      <w:r w:rsidRPr="00767D42">
        <w:rPr>
          <w:lang w:val="fr-CH"/>
        </w:rPr>
        <w:t>Pour le No ONU 1010, BUTADIÈNE-1-3, STABILISÉ, modifier la colonne (2) pour lire comme suit: «BUTADIÈNES (BUTADIÈNE-1-3), STABILISÉ».</w:t>
      </w:r>
    </w:p>
    <w:p w:rsidR="0002740D" w:rsidRPr="00767D42" w:rsidRDefault="0002740D" w:rsidP="0002740D">
      <w:pPr>
        <w:pStyle w:val="SingleTxtG"/>
        <w:rPr>
          <w:i/>
          <w:lang w:val="fr-CH"/>
        </w:rPr>
      </w:pPr>
      <w:r w:rsidRPr="00767D42">
        <w:rPr>
          <w:i/>
          <w:iCs/>
          <w:lang w:val="fr-CH"/>
        </w:rPr>
        <w:t>(Document de référence: ECE/TRANS/WP.15/AC.2/2018/44)</w:t>
      </w:r>
    </w:p>
    <w:p w:rsidR="0002740D" w:rsidRPr="00767D42" w:rsidRDefault="0002740D" w:rsidP="0002740D">
      <w:pPr>
        <w:pStyle w:val="SingleTxtG"/>
        <w:rPr>
          <w:lang w:val="fr-CH"/>
        </w:rPr>
      </w:pPr>
      <w:r w:rsidRPr="00767D42">
        <w:rPr>
          <w:lang w:val="fr-CH"/>
        </w:rPr>
        <w:t>Pour le No ONU 1020, modifier la colonne (2) pour lire comme suit: «</w:t>
      </w:r>
      <w:r w:rsidRPr="00767D42">
        <w:rPr>
          <w:color w:val="000000"/>
          <w:lang w:val="fr-CH" w:bidi="th-TH"/>
        </w:rPr>
        <w:t>CHLOROPENTAFLUORÉTHANE (</w:t>
      </w:r>
      <w:r>
        <w:rPr>
          <w:color w:val="000000"/>
          <w:lang w:val="fr-CH" w:bidi="th-TH"/>
        </w:rPr>
        <w:t>g</w:t>
      </w:r>
      <w:r w:rsidRPr="00767D42">
        <w:rPr>
          <w:color w:val="000000"/>
          <w:lang w:val="fr-CH" w:bidi="th-TH"/>
        </w:rPr>
        <w:t>az réfrigérant R 115)</w:t>
      </w:r>
      <w:r w:rsidRPr="00767D42">
        <w:rPr>
          <w:lang w:val="fr-CH"/>
        </w:rPr>
        <w:t>».</w:t>
      </w:r>
    </w:p>
    <w:p w:rsidR="0002740D" w:rsidRDefault="0002740D" w:rsidP="0002740D">
      <w:pPr>
        <w:pStyle w:val="SingleTxtG"/>
        <w:rPr>
          <w:i/>
          <w:iCs/>
          <w:lang w:val="fr-CH"/>
        </w:rPr>
      </w:pPr>
      <w:r w:rsidRPr="00767D42">
        <w:rPr>
          <w:i/>
          <w:iCs/>
          <w:lang w:val="fr-CH"/>
        </w:rPr>
        <w:t>(Document de référence: ECE/TRANS/WP.15/AC.2/2018/44)</w:t>
      </w:r>
    </w:p>
    <w:p w:rsidR="0002740D" w:rsidRPr="0034725A" w:rsidRDefault="0002740D" w:rsidP="0002740D">
      <w:pPr>
        <w:pStyle w:val="SingleTxtG"/>
        <w:rPr>
          <w:lang w:val="fr-CH"/>
        </w:rPr>
      </w:pPr>
      <w:r w:rsidRPr="0034725A">
        <w:rPr>
          <w:lang w:val="fr-CH"/>
        </w:rPr>
        <w:t>Pour le No ONU 1108, modifier la colonne (2) pour lire comme suit: «</w:t>
      </w:r>
      <w:r w:rsidRPr="0034725A">
        <w:rPr>
          <w:color w:val="000000"/>
          <w:lang w:val="fr-CH" w:bidi="th-TH"/>
        </w:rPr>
        <w:t>PENTÈNE-1 (n-amylene)</w:t>
      </w:r>
      <w:r w:rsidRPr="0034725A">
        <w:rPr>
          <w:lang w:val="fr-CH"/>
        </w:rPr>
        <w:t>».</w:t>
      </w:r>
    </w:p>
    <w:p w:rsidR="0002740D" w:rsidRPr="0034725A" w:rsidRDefault="0002740D" w:rsidP="0002740D">
      <w:pPr>
        <w:pStyle w:val="SingleTxtG"/>
        <w:rPr>
          <w:i/>
          <w:lang w:val="fr-CH"/>
        </w:rPr>
      </w:pPr>
      <w:r w:rsidRPr="0034725A">
        <w:rPr>
          <w:i/>
          <w:iCs/>
          <w:lang w:val="fr-CH"/>
        </w:rPr>
        <w:t>(Document de référence: ECE/TRANS/WP.15/AC.2/2018/44)</w:t>
      </w:r>
    </w:p>
    <w:p w:rsidR="0002740D" w:rsidRDefault="0002740D" w:rsidP="0002740D">
      <w:pPr>
        <w:pStyle w:val="SingleTxtG"/>
        <w:rPr>
          <w:lang w:val="fr-FR"/>
        </w:rPr>
      </w:pPr>
      <w:r>
        <w:rPr>
          <w:lang w:val="fr-FR"/>
        </w:rPr>
        <w:t xml:space="preserve">Pour le No ONU 1179, modifier la colonne (16) pour lire </w:t>
      </w:r>
      <w:r w:rsidRPr="00007D45">
        <w:rPr>
          <w:lang w:val="fr-CH"/>
        </w:rPr>
        <w:t>«II A»</w:t>
      </w:r>
      <w:r>
        <w:rPr>
          <w:lang w:val="fr-FR"/>
        </w:rPr>
        <w:t>.</w:t>
      </w:r>
    </w:p>
    <w:p w:rsidR="0002740D" w:rsidRDefault="0002740D" w:rsidP="0002740D">
      <w:pPr>
        <w:pStyle w:val="SingleTxtG"/>
        <w:rPr>
          <w:i/>
          <w:lang w:val="fr-CH"/>
        </w:rPr>
      </w:pPr>
      <w:r w:rsidRPr="00007D45">
        <w:rPr>
          <w:i/>
          <w:lang w:val="fr-CH"/>
        </w:rPr>
        <w:lastRenderedPageBreak/>
        <w:t>(Documents de référence: ECE/TRANS/WP.15/AC.2/2018/50 tel que modifié par le document informel INF.23)</w:t>
      </w:r>
    </w:p>
    <w:p w:rsidR="0002740D" w:rsidRPr="0034725A" w:rsidRDefault="0002740D" w:rsidP="0002740D">
      <w:pPr>
        <w:pStyle w:val="SingleTxtG"/>
        <w:rPr>
          <w:lang w:val="fr-CH"/>
        </w:rPr>
      </w:pPr>
      <w:r w:rsidRPr="0034725A">
        <w:rPr>
          <w:lang w:val="fr-CH"/>
        </w:rPr>
        <w:t>Pour le No ONU 1193, modifier la colonne (2) pour lire comme suit: «</w:t>
      </w:r>
      <w:r w:rsidRPr="0034725A">
        <w:rPr>
          <w:color w:val="000000"/>
          <w:lang w:val="fr-CH" w:bidi="th-TH"/>
        </w:rPr>
        <w:t>ÉTHYLMÉTHYLCÉTONE (méthyléthylcétone)</w:t>
      </w:r>
      <w:r w:rsidRPr="0034725A">
        <w:rPr>
          <w:lang w:val="fr-CH"/>
        </w:rPr>
        <w:t>».</w:t>
      </w:r>
    </w:p>
    <w:p w:rsidR="0002740D" w:rsidRPr="0034725A" w:rsidRDefault="0002740D" w:rsidP="0002740D">
      <w:pPr>
        <w:pStyle w:val="SingleTxtG"/>
        <w:rPr>
          <w:i/>
          <w:lang w:val="fr-CH"/>
        </w:rPr>
      </w:pPr>
      <w:r w:rsidRPr="0034725A">
        <w:rPr>
          <w:i/>
          <w:iCs/>
          <w:lang w:val="fr-CH"/>
        </w:rPr>
        <w:t>(Document de référence: ECE/TRANS/WP.15/AC.2/2018/44)</w:t>
      </w:r>
    </w:p>
    <w:p w:rsidR="0002740D" w:rsidRPr="00E70748" w:rsidRDefault="0002740D" w:rsidP="0002740D">
      <w:pPr>
        <w:pStyle w:val="SingleTxtG"/>
        <w:rPr>
          <w:lang w:val="fr-CH"/>
        </w:rPr>
      </w:pPr>
      <w:r w:rsidRPr="00E70748">
        <w:rPr>
          <w:lang w:val="fr-CH"/>
        </w:rPr>
        <w:t>Pour le No ONU 1212, modifier la colonne (2) pour lire comme suit: «</w:t>
      </w:r>
      <w:r w:rsidR="00E70748" w:rsidRPr="00E70748">
        <w:rPr>
          <w:color w:val="000000"/>
          <w:lang w:val="fr-CH" w:bidi="th-TH"/>
        </w:rPr>
        <w:t xml:space="preserve">ISOBUTANOL </w:t>
      </w:r>
      <w:r w:rsidR="00E70748">
        <w:rPr>
          <w:color w:val="000000"/>
          <w:lang w:val="fr-CH" w:bidi="th-TH"/>
        </w:rPr>
        <w:t>(</w:t>
      </w:r>
      <w:r w:rsidR="00E70748" w:rsidRPr="00E70748">
        <w:rPr>
          <w:color w:val="000000"/>
          <w:lang w:val="fr-CH" w:bidi="th-TH"/>
        </w:rPr>
        <w:t>alcool isobutylique</w:t>
      </w:r>
      <w:r w:rsidR="00E70748">
        <w:rPr>
          <w:color w:val="000000"/>
          <w:lang w:val="fr-CH" w:bidi="th-TH"/>
        </w:rPr>
        <w:t>)</w:t>
      </w:r>
      <w:r w:rsidRPr="00E70748">
        <w:rPr>
          <w:lang w:val="fr-CH"/>
        </w:rPr>
        <w:t>».</w:t>
      </w:r>
    </w:p>
    <w:p w:rsidR="0002740D" w:rsidRPr="0034725A" w:rsidRDefault="0002740D" w:rsidP="0002740D">
      <w:pPr>
        <w:pStyle w:val="SingleTxtG"/>
        <w:rPr>
          <w:i/>
          <w:lang w:val="fr-CH"/>
        </w:rPr>
      </w:pPr>
      <w:r w:rsidRPr="0034725A">
        <w:rPr>
          <w:i/>
          <w:iCs/>
          <w:lang w:val="fr-CH"/>
        </w:rPr>
        <w:t>(Document de référence: ECE/TRANS/WP.15/AC.2/2018/44)</w:t>
      </w:r>
    </w:p>
    <w:p w:rsidR="0002740D" w:rsidRDefault="0002740D" w:rsidP="0002740D">
      <w:pPr>
        <w:pStyle w:val="SingleTxtG"/>
        <w:rPr>
          <w:lang w:val="fr-FR"/>
        </w:rPr>
      </w:pPr>
      <w:r>
        <w:rPr>
          <w:lang w:val="fr-FR"/>
        </w:rPr>
        <w:t xml:space="preserve">Pour le No ONU 1216, modifier la colonne (16) pour lire </w:t>
      </w:r>
      <w:r w:rsidRPr="00007D45">
        <w:rPr>
          <w:lang w:val="fr-CH"/>
        </w:rPr>
        <w:t>«II B (II B1)»</w:t>
      </w:r>
      <w:r>
        <w:rPr>
          <w:lang w:val="fr-FR"/>
        </w:rPr>
        <w:t>.</w:t>
      </w:r>
    </w:p>
    <w:p w:rsidR="0002740D" w:rsidRPr="00007D45" w:rsidRDefault="0002740D" w:rsidP="0002740D">
      <w:pPr>
        <w:pStyle w:val="SingleTxtG"/>
        <w:rPr>
          <w:i/>
          <w:lang w:val="fr-CH"/>
        </w:rPr>
      </w:pPr>
      <w:r w:rsidRPr="00007D45">
        <w:rPr>
          <w:i/>
          <w:lang w:val="fr-CH"/>
        </w:rPr>
        <w:t>(Documents de référence: ECE/TRANS/WP.15/AC.2/2018/50 tel que modifié par le document informel INF.23)</w:t>
      </w:r>
    </w:p>
    <w:p w:rsidR="0002740D" w:rsidRPr="0034725A" w:rsidRDefault="0002740D" w:rsidP="0002740D">
      <w:pPr>
        <w:pStyle w:val="SingleTxtG"/>
        <w:rPr>
          <w:lang w:val="fr-CH"/>
        </w:rPr>
      </w:pPr>
      <w:r w:rsidRPr="0034725A">
        <w:rPr>
          <w:lang w:val="fr-CH"/>
        </w:rPr>
        <w:t>Pour le No ONU 1219, modifier la colonne (2) pour lire comme suit: «</w:t>
      </w:r>
      <w:r w:rsidRPr="0034725A">
        <w:rPr>
          <w:color w:val="000000"/>
          <w:lang w:val="fr-CH" w:bidi="th-TH"/>
        </w:rPr>
        <w:t>ISOPROPANOL (alcool isopropylique)</w:t>
      </w:r>
      <w:r w:rsidRPr="0034725A">
        <w:rPr>
          <w:lang w:val="fr-CH"/>
        </w:rPr>
        <w:t>».</w:t>
      </w:r>
    </w:p>
    <w:p w:rsidR="0002740D" w:rsidRPr="0034725A" w:rsidRDefault="0002740D" w:rsidP="0002740D">
      <w:pPr>
        <w:pStyle w:val="SingleTxtG"/>
        <w:rPr>
          <w:i/>
          <w:lang w:val="fr-CH"/>
        </w:rPr>
      </w:pPr>
      <w:r w:rsidRPr="0034725A">
        <w:rPr>
          <w:i/>
          <w:iCs/>
          <w:lang w:val="fr-CH"/>
        </w:rPr>
        <w:t>(Document de référence: ECE/TRANS/WP.15/AC.2/2018/44)</w:t>
      </w:r>
    </w:p>
    <w:p w:rsidR="0002740D" w:rsidRPr="000928EA" w:rsidRDefault="0002740D" w:rsidP="0002740D">
      <w:pPr>
        <w:pStyle w:val="SingleTxtG"/>
        <w:rPr>
          <w:rFonts w:ascii="inherit" w:hAnsi="inherit" w:hint="eastAsia"/>
          <w:color w:val="212121"/>
          <w:lang w:val="fr-CH"/>
        </w:rPr>
      </w:pPr>
      <w:r>
        <w:rPr>
          <w:rFonts w:ascii="inherit" w:hAnsi="inherit"/>
          <w:color w:val="212121"/>
          <w:lang w:val="fr-FR"/>
        </w:rPr>
        <w:t xml:space="preserve">Pour le No ONU 1268 (16 rubriques contenant plus de 10% de benzène), dans la colonne (20), supprimer </w:t>
      </w:r>
      <w:r w:rsidRPr="000928EA">
        <w:rPr>
          <w:lang w:val="fr-CH"/>
        </w:rPr>
        <w:t>«</w:t>
      </w:r>
      <w:r w:rsidRPr="00346263">
        <w:rPr>
          <w:rFonts w:ascii="inherit" w:hAnsi="inherit" w:cs="Courier New"/>
          <w:color w:val="212121"/>
          <w:lang w:val="fr-FR"/>
        </w:rPr>
        <w:t>27</w:t>
      </w:r>
      <w:r w:rsidRPr="000928EA">
        <w:rPr>
          <w:lang w:val="fr-CH"/>
        </w:rPr>
        <w:t>».</w:t>
      </w:r>
    </w:p>
    <w:p w:rsidR="0002740D" w:rsidRDefault="0002740D" w:rsidP="0002740D">
      <w:pPr>
        <w:pStyle w:val="SingleTxtG"/>
        <w:rPr>
          <w:i/>
          <w:lang w:val="fr-CH"/>
        </w:rPr>
      </w:pPr>
      <w:r w:rsidRPr="000928EA">
        <w:rPr>
          <w:i/>
          <w:lang w:val="fr-CH"/>
        </w:rPr>
        <w:t>(Document de référence: ECE/TRANS/WP.15/AC.2/2018/44)</w:t>
      </w:r>
    </w:p>
    <w:p w:rsidR="0002740D" w:rsidRPr="0034725A" w:rsidRDefault="0002740D" w:rsidP="0002740D">
      <w:pPr>
        <w:pStyle w:val="SingleTxtG"/>
        <w:rPr>
          <w:lang w:val="fr-CH"/>
        </w:rPr>
      </w:pPr>
      <w:r w:rsidRPr="0034725A">
        <w:rPr>
          <w:lang w:val="fr-CH"/>
        </w:rPr>
        <w:t>Pour le No ONU 1274 (toutes les rubriques), modifier la colonne (2) pour lire comme suit: «</w:t>
      </w:r>
      <w:r w:rsidRPr="008312B4">
        <w:rPr>
          <w:color w:val="000000"/>
          <w:lang w:val="pt-PT" w:bidi="th-TH"/>
        </w:rPr>
        <w:t xml:space="preserve">n-PROPANOL </w:t>
      </w:r>
      <w:r>
        <w:rPr>
          <w:color w:val="000000"/>
          <w:lang w:val="pt-PT" w:bidi="th-TH"/>
        </w:rPr>
        <w:t>(</w:t>
      </w:r>
      <w:r w:rsidRPr="008312B4">
        <w:rPr>
          <w:color w:val="000000"/>
          <w:lang w:val="pt-PT" w:bidi="th-TH"/>
        </w:rPr>
        <w:t>alcool propylique normal</w:t>
      </w:r>
      <w:r>
        <w:rPr>
          <w:color w:val="000000"/>
          <w:lang w:val="pt-PT" w:bidi="th-TH"/>
        </w:rPr>
        <w:t>)</w:t>
      </w:r>
      <w:r w:rsidRPr="0034725A">
        <w:rPr>
          <w:lang w:val="fr-CH"/>
        </w:rPr>
        <w:t>».</w:t>
      </w:r>
    </w:p>
    <w:p w:rsidR="0002740D" w:rsidRPr="0034725A" w:rsidRDefault="0002740D" w:rsidP="0002740D">
      <w:pPr>
        <w:pStyle w:val="SingleTxtG"/>
        <w:rPr>
          <w:i/>
          <w:iCs/>
          <w:lang w:val="fr-CH"/>
        </w:rPr>
      </w:pPr>
      <w:r w:rsidRPr="0034725A">
        <w:rPr>
          <w:i/>
          <w:iCs/>
          <w:lang w:val="fr-CH"/>
        </w:rPr>
        <w:t>(Document de référence: ECE/TRANS/WP.15/AC.2/2018/44)</w:t>
      </w:r>
    </w:p>
    <w:p w:rsidR="0002740D" w:rsidRPr="000928EA" w:rsidRDefault="0002740D" w:rsidP="0002740D">
      <w:pPr>
        <w:pStyle w:val="SingleTxtG"/>
        <w:rPr>
          <w:lang w:val="fr-CH"/>
        </w:rPr>
      </w:pPr>
      <w:r w:rsidRPr="000928EA">
        <w:rPr>
          <w:lang w:val="fr-CH"/>
        </w:rPr>
        <w:t>Pour le No ONU 1823, HYDROXYDE DE SODIUM modifier la colonne (2) pour lire comme suit: «HYDROXYDE DE SODIUM, SOLIDE"».</w:t>
      </w:r>
    </w:p>
    <w:p w:rsidR="0002740D" w:rsidRDefault="0002740D" w:rsidP="0002740D">
      <w:pPr>
        <w:pStyle w:val="SingleTxtG"/>
        <w:rPr>
          <w:rFonts w:ascii="inherit" w:hAnsi="inherit" w:cs="Courier New" w:hint="eastAsia"/>
          <w:color w:val="212121"/>
          <w:lang w:val="fr-FR"/>
        </w:rPr>
      </w:pPr>
      <w:r w:rsidRPr="000928EA">
        <w:rPr>
          <w:i/>
          <w:iCs/>
          <w:lang w:val="fr-CH"/>
        </w:rPr>
        <w:t>(Document de référence: ECE/TRANS/WP.15/AC.2/2018/44)</w:t>
      </w:r>
    </w:p>
    <w:p w:rsidR="0002740D" w:rsidRPr="000928EA" w:rsidRDefault="0002740D" w:rsidP="0002740D">
      <w:pPr>
        <w:pStyle w:val="SingleTxtG"/>
        <w:rPr>
          <w:i/>
          <w:lang w:val="fr-CH"/>
        </w:rPr>
      </w:pPr>
      <w:r w:rsidRPr="00346263">
        <w:rPr>
          <w:rFonts w:ascii="inherit" w:hAnsi="inherit" w:cs="Courier New"/>
          <w:color w:val="212121"/>
          <w:lang w:val="fr-FR"/>
        </w:rPr>
        <w:t xml:space="preserve">Pour les Nos ONU 1993 (6 premières </w:t>
      </w:r>
      <w:r>
        <w:rPr>
          <w:rFonts w:ascii="inherit" w:hAnsi="inherit" w:cs="Courier New"/>
          <w:color w:val="212121"/>
          <w:lang w:val="fr-FR"/>
        </w:rPr>
        <w:t>rubriques</w:t>
      </w:r>
      <w:r w:rsidRPr="00346263">
        <w:rPr>
          <w:rFonts w:ascii="inherit" w:hAnsi="inherit" w:cs="Courier New"/>
          <w:color w:val="212121"/>
          <w:lang w:val="fr-FR"/>
        </w:rPr>
        <w:t xml:space="preserve">), 3145 (toutes les </w:t>
      </w:r>
      <w:r>
        <w:rPr>
          <w:rFonts w:ascii="inherit" w:hAnsi="inherit" w:cs="Courier New"/>
          <w:color w:val="212121"/>
          <w:lang w:val="fr-FR"/>
        </w:rPr>
        <w:t>rubriques</w:t>
      </w:r>
      <w:r w:rsidRPr="00346263">
        <w:rPr>
          <w:rFonts w:ascii="inherit" w:hAnsi="inherit" w:cs="Courier New"/>
          <w:color w:val="212121"/>
          <w:lang w:val="fr-FR"/>
        </w:rPr>
        <w:t xml:space="preserve">), 3295 (6 premières </w:t>
      </w:r>
      <w:r>
        <w:rPr>
          <w:rFonts w:ascii="inherit" w:hAnsi="inherit" w:cs="Courier New"/>
          <w:color w:val="212121"/>
          <w:lang w:val="fr-FR"/>
        </w:rPr>
        <w:t>rubriques</w:t>
      </w:r>
      <w:r w:rsidRPr="00346263">
        <w:rPr>
          <w:rFonts w:ascii="inherit" w:hAnsi="inherit" w:cs="Courier New"/>
          <w:color w:val="212121"/>
          <w:lang w:val="fr-FR"/>
        </w:rPr>
        <w:t xml:space="preserve">), 9002 (toutes les </w:t>
      </w:r>
      <w:r>
        <w:rPr>
          <w:rFonts w:ascii="inherit" w:hAnsi="inherit" w:cs="Courier New"/>
          <w:color w:val="212121"/>
          <w:lang w:val="fr-FR"/>
        </w:rPr>
        <w:t>rubriques</w:t>
      </w:r>
      <w:r w:rsidRPr="00346263">
        <w:rPr>
          <w:rFonts w:ascii="inherit" w:hAnsi="inherit" w:cs="Courier New"/>
          <w:color w:val="212121"/>
          <w:lang w:val="fr-FR"/>
        </w:rPr>
        <w:t xml:space="preserve">), 9005 et 9006, dans la colonne (20), ajouter </w:t>
      </w:r>
      <w:r w:rsidRPr="000928EA">
        <w:rPr>
          <w:lang w:val="fr-CH"/>
        </w:rPr>
        <w:t>«</w:t>
      </w:r>
      <w:r w:rsidRPr="00346263">
        <w:rPr>
          <w:rFonts w:ascii="inherit" w:hAnsi="inherit" w:cs="Courier New"/>
          <w:color w:val="212121"/>
          <w:lang w:val="fr-FR"/>
        </w:rPr>
        <w:t>27</w:t>
      </w:r>
      <w:r w:rsidRPr="000928EA">
        <w:rPr>
          <w:lang w:val="fr-CH"/>
        </w:rPr>
        <w:t>».</w:t>
      </w:r>
    </w:p>
    <w:p w:rsidR="0002740D" w:rsidRPr="000928EA" w:rsidRDefault="0002740D" w:rsidP="0002740D">
      <w:pPr>
        <w:pStyle w:val="SingleTxtG"/>
        <w:rPr>
          <w:i/>
          <w:lang w:val="fr-CH"/>
        </w:rPr>
      </w:pPr>
      <w:r w:rsidRPr="000928EA">
        <w:rPr>
          <w:i/>
          <w:lang w:val="fr-CH"/>
        </w:rPr>
        <w:t>(Document de référence: ECE/TRANS/WP.15/AC.2/2018/44)</w:t>
      </w:r>
    </w:p>
    <w:p w:rsidR="0002740D" w:rsidRPr="00CA1048" w:rsidRDefault="0002740D" w:rsidP="0002740D">
      <w:pPr>
        <w:pStyle w:val="SingleTxtG"/>
        <w:rPr>
          <w:lang w:val="fr-FR"/>
        </w:rPr>
      </w:pPr>
      <w:r w:rsidRPr="00CA1048">
        <w:rPr>
          <w:lang w:val="fr-FR"/>
        </w:rPr>
        <w:t xml:space="preserve">Pour le No ONU 3256, </w:t>
      </w:r>
      <w:r w:rsidRPr="00007D45">
        <w:rPr>
          <w:lang w:val="fr-CH"/>
        </w:rPr>
        <w:t>«</w:t>
      </w:r>
      <w:r w:rsidRPr="00007D45">
        <w:rPr>
          <w:color w:val="000000"/>
          <w:lang w:val="fr-CH" w:bidi="th-TH"/>
        </w:rPr>
        <w:t>LIQUIDE TRANSPORTÉ À CHAUD, INFLAMMABLE, N.S.A., ayant un point d'éclair supérieur à 60 °C, à une température égale ou supérieure à son point d'éclair (Low QI Pitch)</w:t>
      </w:r>
      <w:r w:rsidRPr="00007D45">
        <w:rPr>
          <w:lang w:val="fr-CH"/>
        </w:rPr>
        <w:t xml:space="preserve">», </w:t>
      </w:r>
      <w:r w:rsidRPr="00CA1048">
        <w:rPr>
          <w:lang w:val="fr-FR"/>
        </w:rPr>
        <w:t xml:space="preserve">modifier la colonne (16) pour lire </w:t>
      </w:r>
      <w:r w:rsidRPr="00007D45">
        <w:rPr>
          <w:lang w:val="fr-CH"/>
        </w:rPr>
        <w:t>«II B (II B2)»</w:t>
      </w:r>
      <w:r w:rsidRPr="00CA1048">
        <w:rPr>
          <w:lang w:val="fr-FR"/>
        </w:rPr>
        <w:t>.</w:t>
      </w:r>
    </w:p>
    <w:p w:rsidR="0002740D" w:rsidRDefault="0002740D" w:rsidP="0002740D">
      <w:pPr>
        <w:pStyle w:val="SingleTxtG"/>
        <w:rPr>
          <w:i/>
          <w:lang w:val="fr-CH"/>
        </w:rPr>
      </w:pPr>
      <w:r w:rsidRPr="00007D45">
        <w:rPr>
          <w:i/>
          <w:lang w:val="fr-CH"/>
        </w:rPr>
        <w:t>(Documents de référence: ECE/TRANS/WP.15/AC.2/2018/50 tel que modifié par le document informel INF.23)</w:t>
      </w:r>
    </w:p>
    <w:p w:rsidR="0002740D" w:rsidRPr="000928EA" w:rsidRDefault="0002740D" w:rsidP="0002740D">
      <w:pPr>
        <w:pStyle w:val="SingleTxtG"/>
        <w:rPr>
          <w:rFonts w:ascii="inherit" w:hAnsi="inherit" w:hint="eastAsia"/>
          <w:color w:val="212121"/>
          <w:lang w:val="fr-CH"/>
        </w:rPr>
      </w:pPr>
      <w:r>
        <w:rPr>
          <w:rFonts w:ascii="inherit" w:hAnsi="inherit"/>
          <w:color w:val="212121"/>
          <w:lang w:val="fr-FR"/>
        </w:rPr>
        <w:t xml:space="preserve">Pour le No ONU </w:t>
      </w:r>
      <w:r w:rsidRPr="000928EA">
        <w:rPr>
          <w:lang w:val="fr-CH"/>
        </w:rPr>
        <w:t>3295 HYDROCARBURES LIQUIDES, N.S.A. CONTENANT DE L'ISOPRÈNE ET DU PENTADIÈNE, STABILISÉ</w:t>
      </w:r>
      <w:r>
        <w:rPr>
          <w:rFonts w:ascii="inherit" w:hAnsi="inherit"/>
          <w:color w:val="212121"/>
          <w:lang w:val="fr-FR"/>
        </w:rPr>
        <w:t xml:space="preserve"> (toutes les rubriques), dans la colonne (20), supprimer </w:t>
      </w:r>
      <w:r w:rsidRPr="000928EA">
        <w:rPr>
          <w:lang w:val="fr-CH"/>
        </w:rPr>
        <w:t>«</w:t>
      </w:r>
      <w:r w:rsidRPr="00346263">
        <w:rPr>
          <w:rFonts w:ascii="inherit" w:hAnsi="inherit" w:cs="Courier New"/>
          <w:color w:val="212121"/>
          <w:lang w:val="fr-FR"/>
        </w:rPr>
        <w:t>27</w:t>
      </w:r>
      <w:r w:rsidRPr="000928EA">
        <w:rPr>
          <w:lang w:val="fr-CH"/>
        </w:rPr>
        <w:t>».</w:t>
      </w:r>
    </w:p>
    <w:p w:rsidR="0002740D" w:rsidRPr="000928EA" w:rsidRDefault="0002740D" w:rsidP="0002740D">
      <w:pPr>
        <w:pStyle w:val="SingleTxtG"/>
        <w:rPr>
          <w:i/>
          <w:lang w:val="fr-CH"/>
        </w:rPr>
      </w:pPr>
      <w:r w:rsidRPr="000928EA">
        <w:rPr>
          <w:i/>
          <w:lang w:val="fr-CH"/>
        </w:rPr>
        <w:t>(Document de référence: ECE/TRANS/WP.15/AC.2/2018/44)</w:t>
      </w:r>
    </w:p>
    <w:p w:rsidR="0002740D" w:rsidRPr="000928EA" w:rsidRDefault="0002740D" w:rsidP="0002740D">
      <w:pPr>
        <w:pStyle w:val="SingleTxtG"/>
        <w:rPr>
          <w:rFonts w:ascii="inherit" w:hAnsi="inherit" w:hint="eastAsia"/>
          <w:color w:val="212121"/>
          <w:lang w:val="fr-CH"/>
        </w:rPr>
      </w:pPr>
      <w:r>
        <w:rPr>
          <w:rFonts w:ascii="inherit" w:hAnsi="inherit"/>
          <w:color w:val="212121"/>
          <w:lang w:val="fr-FR"/>
        </w:rPr>
        <w:t xml:space="preserve">Pour le No ONU </w:t>
      </w:r>
      <w:r w:rsidRPr="000928EA">
        <w:rPr>
          <w:lang w:val="fr-CH"/>
        </w:rPr>
        <w:t>3494</w:t>
      </w:r>
      <w:r>
        <w:rPr>
          <w:rFonts w:ascii="inherit" w:hAnsi="inherit"/>
          <w:color w:val="212121"/>
          <w:lang w:val="fr-FR"/>
        </w:rPr>
        <w:t xml:space="preserve"> (toutes les rubriques), dans la colonne (20), supprimer </w:t>
      </w:r>
      <w:r w:rsidRPr="000928EA">
        <w:rPr>
          <w:lang w:val="fr-CH"/>
        </w:rPr>
        <w:t>«</w:t>
      </w:r>
      <w:r w:rsidRPr="00346263">
        <w:rPr>
          <w:rFonts w:ascii="inherit" w:hAnsi="inherit" w:cs="Courier New"/>
          <w:color w:val="212121"/>
          <w:lang w:val="fr-FR"/>
        </w:rPr>
        <w:t>27</w:t>
      </w:r>
      <w:r w:rsidRPr="000928EA">
        <w:rPr>
          <w:lang w:val="fr-CH"/>
        </w:rPr>
        <w:t>».</w:t>
      </w:r>
    </w:p>
    <w:p w:rsidR="0002740D" w:rsidRPr="000928EA" w:rsidRDefault="0002740D" w:rsidP="0002740D">
      <w:pPr>
        <w:pStyle w:val="SingleTxtG"/>
        <w:rPr>
          <w:i/>
          <w:lang w:val="fr-CH"/>
        </w:rPr>
      </w:pPr>
      <w:r w:rsidRPr="000928EA">
        <w:rPr>
          <w:i/>
          <w:lang w:val="fr-CH"/>
        </w:rPr>
        <w:t>(Document de référence: ECE/TRANS/WP.15/AC.2/2018/44)</w:t>
      </w:r>
    </w:p>
    <w:p w:rsidR="0002740D" w:rsidRPr="000928EA" w:rsidRDefault="0002740D" w:rsidP="0002740D">
      <w:pPr>
        <w:pStyle w:val="SingleTxtG"/>
        <w:rPr>
          <w:rFonts w:ascii="inherit" w:hAnsi="inherit" w:hint="eastAsia"/>
          <w:color w:val="212121"/>
          <w:lang w:val="fr-CH"/>
        </w:rPr>
      </w:pPr>
      <w:r>
        <w:rPr>
          <w:rFonts w:ascii="inherit" w:hAnsi="inherit"/>
          <w:color w:val="212121"/>
          <w:lang w:val="fr-FR"/>
        </w:rPr>
        <w:t xml:space="preserve">Pour le </w:t>
      </w:r>
      <w:r w:rsidRPr="000928EA">
        <w:rPr>
          <w:lang w:val="fr-CH"/>
        </w:rPr>
        <w:t>numéro d'identification de la matière 9000</w:t>
      </w:r>
      <w:r>
        <w:rPr>
          <w:rFonts w:ascii="inherit" w:hAnsi="inherit"/>
          <w:color w:val="212121"/>
          <w:lang w:val="fr-FR"/>
        </w:rPr>
        <w:t xml:space="preserve">, dans la colonne (2), supprimer </w:t>
      </w:r>
      <w:r w:rsidRPr="000928EA">
        <w:rPr>
          <w:lang w:val="fr-CH"/>
        </w:rPr>
        <w:t>«ANHYDRE».</w:t>
      </w:r>
    </w:p>
    <w:p w:rsidR="0002740D" w:rsidRPr="000928EA" w:rsidRDefault="0002740D" w:rsidP="0002740D">
      <w:pPr>
        <w:pStyle w:val="SingleTxtG"/>
        <w:rPr>
          <w:i/>
          <w:lang w:val="fr-CH"/>
        </w:rPr>
      </w:pPr>
      <w:r w:rsidRPr="000928EA">
        <w:rPr>
          <w:i/>
          <w:lang w:val="fr-CH"/>
        </w:rPr>
        <w:t>(Document de référence: ECE/TRANS/WP.15/AC.2/2018/44)</w:t>
      </w:r>
    </w:p>
    <w:p w:rsidR="0002740D" w:rsidRPr="000928EA" w:rsidRDefault="0002740D" w:rsidP="0002740D">
      <w:pPr>
        <w:pStyle w:val="SingleTxtG"/>
        <w:rPr>
          <w:rFonts w:ascii="inherit" w:hAnsi="inherit" w:hint="eastAsia"/>
          <w:color w:val="212121"/>
          <w:lang w:val="fr-CH"/>
        </w:rPr>
      </w:pPr>
      <w:r>
        <w:rPr>
          <w:rFonts w:ascii="inherit" w:hAnsi="inherit"/>
          <w:color w:val="212121"/>
          <w:lang w:val="fr-FR"/>
        </w:rPr>
        <w:t xml:space="preserve">Pour le </w:t>
      </w:r>
      <w:r w:rsidRPr="000928EA">
        <w:rPr>
          <w:lang w:val="fr-CH"/>
        </w:rPr>
        <w:t>numéro d'identification de la matière 9003 (toutes les rubriques)</w:t>
      </w:r>
      <w:r>
        <w:rPr>
          <w:rFonts w:ascii="inherit" w:hAnsi="inherit"/>
          <w:color w:val="212121"/>
          <w:lang w:val="fr-FR"/>
        </w:rPr>
        <w:t xml:space="preserve">, dans la colonne (2), supprimer </w:t>
      </w:r>
      <w:r w:rsidRPr="000928EA">
        <w:rPr>
          <w:lang w:val="fr-CH"/>
        </w:rPr>
        <w:t>«ou MATIÈRES DONT 60 °C &lt; Pe ≤ 100 °C».</w:t>
      </w:r>
    </w:p>
    <w:p w:rsidR="0002740D" w:rsidRDefault="0002740D" w:rsidP="0002740D">
      <w:pPr>
        <w:pStyle w:val="SingleTxtG"/>
        <w:rPr>
          <w:i/>
          <w:lang w:val="fr-CH"/>
        </w:rPr>
      </w:pPr>
      <w:r w:rsidRPr="000928EA">
        <w:rPr>
          <w:i/>
          <w:lang w:val="fr-CH"/>
        </w:rPr>
        <w:t>(Document de référence: ECE/TRANS/WP.15/AC.2/2018/44)</w:t>
      </w:r>
    </w:p>
    <w:p w:rsidR="0002740D" w:rsidRDefault="0002740D" w:rsidP="0002740D">
      <w:pPr>
        <w:pStyle w:val="SingleTxtG"/>
        <w:rPr>
          <w:lang w:val="fr-FR"/>
        </w:rPr>
      </w:pPr>
      <w:r>
        <w:lastRenderedPageBreak/>
        <w:t>Ajouter la rubrique suivante:</w:t>
      </w:r>
    </w:p>
    <w:tbl>
      <w:tblPr>
        <w:tblW w:w="8190" w:type="dxa"/>
        <w:tblInd w:w="988" w:type="dxa"/>
        <w:tblLayout w:type="fixed"/>
        <w:tblCellMar>
          <w:left w:w="70" w:type="dxa"/>
          <w:right w:w="70" w:type="dxa"/>
        </w:tblCellMar>
        <w:tblLook w:val="04A0" w:firstRow="1" w:lastRow="0" w:firstColumn="1" w:lastColumn="0" w:noHBand="0" w:noVBand="1"/>
      </w:tblPr>
      <w:tblGrid>
        <w:gridCol w:w="425"/>
        <w:gridCol w:w="1701"/>
        <w:gridCol w:w="394"/>
        <w:gridCol w:w="284"/>
        <w:gridCol w:w="283"/>
        <w:gridCol w:w="567"/>
        <w:gridCol w:w="284"/>
        <w:gridCol w:w="283"/>
        <w:gridCol w:w="284"/>
        <w:gridCol w:w="283"/>
        <w:gridCol w:w="284"/>
        <w:gridCol w:w="283"/>
        <w:gridCol w:w="284"/>
        <w:gridCol w:w="283"/>
        <w:gridCol w:w="284"/>
        <w:gridCol w:w="283"/>
        <w:gridCol w:w="284"/>
        <w:gridCol w:w="283"/>
        <w:gridCol w:w="426"/>
        <w:gridCol w:w="425"/>
        <w:gridCol w:w="283"/>
      </w:tblGrid>
      <w:tr w:rsidR="00C178A4" w:rsidTr="00C178A4">
        <w:trPr>
          <w:trHeight w:val="255"/>
        </w:trPr>
        <w:tc>
          <w:tcPr>
            <w:tcW w:w="425" w:type="dxa"/>
            <w:tcBorders>
              <w:top w:val="single" w:sz="4" w:space="0" w:color="auto"/>
              <w:left w:val="single" w:sz="4" w:space="0" w:color="auto"/>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w:t>
            </w:r>
          </w:p>
        </w:tc>
        <w:tc>
          <w:tcPr>
            <w:tcW w:w="1701" w:type="dxa"/>
            <w:tcBorders>
              <w:top w:val="single" w:sz="4" w:space="0" w:color="auto"/>
              <w:left w:val="nil"/>
              <w:bottom w:val="single" w:sz="4" w:space="0" w:color="auto"/>
              <w:right w:val="single" w:sz="4" w:space="0" w:color="auto"/>
            </w:tcBorders>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(2)</w:t>
            </w:r>
          </w:p>
        </w:tc>
        <w:tc>
          <w:tcPr>
            <w:tcW w:w="394"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(3a)</w:t>
            </w:r>
          </w:p>
        </w:tc>
        <w:tc>
          <w:tcPr>
            <w:tcW w:w="284"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(3b)</w:t>
            </w:r>
          </w:p>
        </w:tc>
        <w:tc>
          <w:tcPr>
            <w:tcW w:w="283"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(4)</w:t>
            </w:r>
          </w:p>
        </w:tc>
        <w:tc>
          <w:tcPr>
            <w:tcW w:w="567"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sz w:val="16"/>
                <w:szCs w:val="16"/>
              </w:rPr>
            </w:pPr>
            <w:r>
              <w:rPr>
                <w:sz w:val="16"/>
                <w:szCs w:val="16"/>
              </w:rPr>
              <w:t>(5)</w:t>
            </w:r>
          </w:p>
        </w:tc>
        <w:tc>
          <w:tcPr>
            <w:tcW w:w="284"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(6)</w:t>
            </w:r>
          </w:p>
        </w:tc>
        <w:tc>
          <w:tcPr>
            <w:tcW w:w="283"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(7)</w:t>
            </w:r>
          </w:p>
        </w:tc>
        <w:tc>
          <w:tcPr>
            <w:tcW w:w="284"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(8)</w:t>
            </w:r>
          </w:p>
        </w:tc>
        <w:tc>
          <w:tcPr>
            <w:tcW w:w="283" w:type="dxa"/>
            <w:tcBorders>
              <w:top w:val="single" w:sz="4" w:space="0" w:color="auto"/>
              <w:left w:val="nil"/>
              <w:bottom w:val="single" w:sz="4" w:space="0" w:color="auto"/>
              <w:right w:val="single" w:sz="4" w:space="0" w:color="auto"/>
            </w:tcBorders>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(9)</w:t>
            </w:r>
          </w:p>
        </w:tc>
        <w:tc>
          <w:tcPr>
            <w:tcW w:w="284" w:type="dxa"/>
            <w:tcBorders>
              <w:top w:val="single" w:sz="4" w:space="0" w:color="auto"/>
              <w:left w:val="nil"/>
              <w:bottom w:val="single" w:sz="4" w:space="0" w:color="auto"/>
              <w:right w:val="single" w:sz="4" w:space="0" w:color="auto"/>
            </w:tcBorders>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(10)</w:t>
            </w:r>
          </w:p>
        </w:tc>
        <w:tc>
          <w:tcPr>
            <w:tcW w:w="283"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(11)</w:t>
            </w:r>
          </w:p>
        </w:tc>
        <w:tc>
          <w:tcPr>
            <w:tcW w:w="284"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(12)</w:t>
            </w:r>
          </w:p>
        </w:tc>
        <w:tc>
          <w:tcPr>
            <w:tcW w:w="283"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(13)</w:t>
            </w:r>
          </w:p>
        </w:tc>
        <w:tc>
          <w:tcPr>
            <w:tcW w:w="284"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(14)</w:t>
            </w:r>
          </w:p>
        </w:tc>
        <w:tc>
          <w:tcPr>
            <w:tcW w:w="283"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(15)</w:t>
            </w:r>
          </w:p>
        </w:tc>
        <w:tc>
          <w:tcPr>
            <w:tcW w:w="284"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(16)</w:t>
            </w:r>
          </w:p>
        </w:tc>
        <w:tc>
          <w:tcPr>
            <w:tcW w:w="283"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(17)</w:t>
            </w:r>
          </w:p>
        </w:tc>
        <w:tc>
          <w:tcPr>
            <w:tcW w:w="426"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(18)</w:t>
            </w:r>
          </w:p>
        </w:tc>
        <w:tc>
          <w:tcPr>
            <w:tcW w:w="425"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(19)</w:t>
            </w:r>
          </w:p>
        </w:tc>
        <w:tc>
          <w:tcPr>
            <w:tcW w:w="283" w:type="dxa"/>
            <w:tcBorders>
              <w:top w:val="single" w:sz="4" w:space="0" w:color="auto"/>
              <w:left w:val="nil"/>
              <w:bottom w:val="single" w:sz="4" w:space="0" w:color="auto"/>
              <w:right w:val="single" w:sz="4" w:space="0" w:color="auto"/>
            </w:tcBorders>
            <w:noWrap/>
            <w:tcMar>
              <w:left w:w="0" w:type="dxa"/>
              <w:right w:w="0" w:type="dxa"/>
            </w:tcMar>
            <w:hideMark/>
          </w:tcPr>
          <w:p w:rsidR="0002740D" w:rsidRDefault="0002740D" w:rsidP="00C50523">
            <w:pPr>
              <w:suppressAutoHyphens w:val="0"/>
              <w:spacing w:line="240" w:lineRule="auto"/>
              <w:jc w:val="center"/>
              <w:rPr>
                <w:color w:val="000000"/>
                <w:sz w:val="16"/>
                <w:szCs w:val="16"/>
              </w:rPr>
            </w:pPr>
            <w:r>
              <w:rPr>
                <w:color w:val="000000"/>
                <w:sz w:val="16"/>
                <w:szCs w:val="16"/>
              </w:rPr>
              <w:t>(20)</w:t>
            </w:r>
          </w:p>
        </w:tc>
      </w:tr>
      <w:tr w:rsidR="00C178A4" w:rsidTr="00C178A4">
        <w:trPr>
          <w:trHeight w:val="675"/>
        </w:trPr>
        <w:tc>
          <w:tcPr>
            <w:tcW w:w="425" w:type="dxa"/>
            <w:tcBorders>
              <w:top w:val="nil"/>
              <w:left w:val="single" w:sz="4" w:space="0" w:color="auto"/>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3082</w:t>
            </w:r>
          </w:p>
        </w:tc>
        <w:tc>
          <w:tcPr>
            <w:tcW w:w="1701" w:type="dxa"/>
            <w:tcBorders>
              <w:top w:val="nil"/>
              <w:left w:val="nil"/>
              <w:bottom w:val="single" w:sz="4" w:space="0" w:color="auto"/>
              <w:right w:val="single" w:sz="4" w:space="0" w:color="auto"/>
            </w:tcBorders>
            <w:tcMar>
              <w:left w:w="0" w:type="dxa"/>
              <w:right w:w="0" w:type="dxa"/>
            </w:tcMar>
            <w:hideMark/>
          </w:tcPr>
          <w:p w:rsidR="0002740D" w:rsidRPr="0034725A" w:rsidRDefault="0002740D" w:rsidP="00C178A4">
            <w:pPr>
              <w:suppressAutoHyphens w:val="0"/>
              <w:spacing w:after="240" w:line="240" w:lineRule="auto"/>
              <w:rPr>
                <w:sz w:val="16"/>
                <w:szCs w:val="16"/>
                <w:lang w:val="fr-CH"/>
              </w:rPr>
            </w:pPr>
            <w:r w:rsidRPr="0034725A">
              <w:rPr>
                <w:sz w:val="16"/>
                <w:szCs w:val="16"/>
                <w:lang w:val="fr-CH"/>
              </w:rPr>
              <w:t>MATI</w:t>
            </w:r>
            <w:r w:rsidR="00C178A4">
              <w:rPr>
                <w:sz w:val="16"/>
                <w:szCs w:val="16"/>
                <w:lang w:val="fr-CH"/>
              </w:rPr>
              <w:t>È</w:t>
            </w:r>
            <w:r w:rsidRPr="0034725A">
              <w:rPr>
                <w:sz w:val="16"/>
                <w:szCs w:val="16"/>
                <w:lang w:val="fr-CH"/>
              </w:rPr>
              <w:t>RE DANGEREUSE DU POINT DE VUE DE L’ENVIRONNEMENT, LIQUIDE, N.S.A.</w:t>
            </w:r>
            <w:r w:rsidR="00C178A4">
              <w:rPr>
                <w:sz w:val="16"/>
                <w:szCs w:val="16"/>
                <w:lang w:val="fr-CH"/>
              </w:rPr>
              <w:t xml:space="preserve"> </w:t>
            </w:r>
            <w:r w:rsidRPr="0034725A">
              <w:rPr>
                <w:sz w:val="16"/>
                <w:szCs w:val="16"/>
                <w:lang w:val="fr-CH"/>
              </w:rPr>
              <w:t>(BOUES D'HYDROCARBURES)</w:t>
            </w:r>
          </w:p>
        </w:tc>
        <w:tc>
          <w:tcPr>
            <w:tcW w:w="394"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9</w:t>
            </w:r>
          </w:p>
        </w:tc>
        <w:tc>
          <w:tcPr>
            <w:tcW w:w="284"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M6</w:t>
            </w:r>
          </w:p>
        </w:tc>
        <w:tc>
          <w:tcPr>
            <w:tcW w:w="283"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III</w:t>
            </w:r>
          </w:p>
        </w:tc>
        <w:tc>
          <w:tcPr>
            <w:tcW w:w="567" w:type="dxa"/>
            <w:tcBorders>
              <w:top w:val="nil"/>
              <w:left w:val="nil"/>
              <w:bottom w:val="single" w:sz="4" w:space="0" w:color="auto"/>
              <w:right w:val="single" w:sz="4" w:space="0" w:color="auto"/>
            </w:tcBorders>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9+</w:t>
            </w:r>
            <w:r w:rsidR="00C178A4">
              <w:rPr>
                <w:sz w:val="16"/>
                <w:szCs w:val="16"/>
              </w:rPr>
              <w:br/>
            </w:r>
            <w:r>
              <w:rPr>
                <w:sz w:val="16"/>
                <w:szCs w:val="16"/>
              </w:rPr>
              <w:t>CMR+N1</w:t>
            </w:r>
          </w:p>
        </w:tc>
        <w:tc>
          <w:tcPr>
            <w:tcW w:w="284"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N</w:t>
            </w:r>
          </w:p>
        </w:tc>
        <w:tc>
          <w:tcPr>
            <w:tcW w:w="283"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2</w:t>
            </w:r>
          </w:p>
        </w:tc>
        <w:tc>
          <w:tcPr>
            <w:tcW w:w="284"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3</w:t>
            </w:r>
          </w:p>
        </w:tc>
        <w:tc>
          <w:tcPr>
            <w:tcW w:w="283"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jc w:val="center"/>
              <w:rPr>
                <w:sz w:val="16"/>
                <w:szCs w:val="16"/>
              </w:rPr>
            </w:pPr>
          </w:p>
        </w:tc>
        <w:tc>
          <w:tcPr>
            <w:tcW w:w="284" w:type="dxa"/>
            <w:tcBorders>
              <w:top w:val="nil"/>
              <w:left w:val="nil"/>
              <w:bottom w:val="single" w:sz="4" w:space="0" w:color="auto"/>
              <w:right w:val="single" w:sz="4" w:space="0" w:color="auto"/>
            </w:tcBorders>
            <w:tcMar>
              <w:left w:w="0" w:type="dxa"/>
              <w:right w:w="0" w:type="dxa"/>
            </w:tcMar>
            <w:hideMark/>
          </w:tcPr>
          <w:p w:rsidR="0002740D" w:rsidRDefault="0002740D" w:rsidP="00C178A4">
            <w:pPr>
              <w:suppressAutoHyphens w:val="0"/>
              <w:spacing w:after="240" w:line="240" w:lineRule="auto"/>
              <w:jc w:val="center"/>
              <w:rPr>
                <w:sz w:val="16"/>
                <w:szCs w:val="16"/>
                <w:lang w:val="fr-FR"/>
              </w:rPr>
            </w:pPr>
            <w:r>
              <w:rPr>
                <w:sz w:val="16"/>
                <w:szCs w:val="16"/>
              </w:rPr>
              <w:t>10</w:t>
            </w:r>
          </w:p>
        </w:tc>
        <w:tc>
          <w:tcPr>
            <w:tcW w:w="283" w:type="dxa"/>
            <w:tcBorders>
              <w:top w:val="nil"/>
              <w:left w:val="nil"/>
              <w:bottom w:val="single" w:sz="4" w:space="0" w:color="auto"/>
              <w:right w:val="single" w:sz="4" w:space="0" w:color="auto"/>
            </w:tcBorders>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97</w:t>
            </w:r>
          </w:p>
        </w:tc>
        <w:tc>
          <w:tcPr>
            <w:tcW w:w="284" w:type="dxa"/>
            <w:tcBorders>
              <w:top w:val="nil"/>
              <w:left w:val="nil"/>
              <w:bottom w:val="single" w:sz="4" w:space="0" w:color="auto"/>
              <w:right w:val="single" w:sz="4" w:space="0" w:color="auto"/>
            </w:tcBorders>
            <w:tcMar>
              <w:left w:w="0" w:type="dxa"/>
              <w:right w:w="0" w:type="dxa"/>
            </w:tcMar>
            <w:hideMark/>
          </w:tcPr>
          <w:p w:rsidR="0002740D" w:rsidRDefault="0002740D" w:rsidP="00C178A4">
            <w:pPr>
              <w:jc w:val="center"/>
              <w:rPr>
                <w:sz w:val="16"/>
                <w:szCs w:val="16"/>
              </w:rPr>
            </w:pPr>
          </w:p>
        </w:tc>
        <w:tc>
          <w:tcPr>
            <w:tcW w:w="283"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lang w:val="fr-FR"/>
              </w:rPr>
            </w:pPr>
            <w:r>
              <w:rPr>
                <w:sz w:val="16"/>
                <w:szCs w:val="16"/>
              </w:rPr>
              <w:t>3</w:t>
            </w:r>
          </w:p>
        </w:tc>
        <w:tc>
          <w:tcPr>
            <w:tcW w:w="284"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oui</w:t>
            </w:r>
          </w:p>
        </w:tc>
        <w:tc>
          <w:tcPr>
            <w:tcW w:w="283"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jc w:val="center"/>
              <w:rPr>
                <w:sz w:val="16"/>
                <w:szCs w:val="16"/>
              </w:rPr>
            </w:pPr>
          </w:p>
        </w:tc>
        <w:tc>
          <w:tcPr>
            <w:tcW w:w="284"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line="240" w:lineRule="auto"/>
              <w:jc w:val="center"/>
              <w:rPr>
                <w:lang w:eastAsia="zh-CN"/>
              </w:rPr>
            </w:pPr>
          </w:p>
        </w:tc>
        <w:tc>
          <w:tcPr>
            <w:tcW w:w="283"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lang w:val="fr-FR"/>
              </w:rPr>
            </w:pPr>
            <w:r>
              <w:rPr>
                <w:sz w:val="16"/>
                <w:szCs w:val="16"/>
              </w:rPr>
              <w:t>non</w:t>
            </w:r>
          </w:p>
        </w:tc>
        <w:tc>
          <w:tcPr>
            <w:tcW w:w="426" w:type="dxa"/>
            <w:tcBorders>
              <w:top w:val="nil"/>
              <w:left w:val="nil"/>
              <w:bottom w:val="single" w:sz="4" w:space="0" w:color="auto"/>
              <w:right w:val="single" w:sz="4" w:space="0" w:color="auto"/>
            </w:tcBorders>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PP, EP, TOX, A</w:t>
            </w:r>
          </w:p>
        </w:tc>
        <w:tc>
          <w:tcPr>
            <w:tcW w:w="425" w:type="dxa"/>
            <w:tcBorders>
              <w:top w:val="nil"/>
              <w:left w:val="nil"/>
              <w:bottom w:val="single" w:sz="4" w:space="0" w:color="auto"/>
              <w:right w:val="single" w:sz="4" w:space="0" w:color="auto"/>
            </w:tcBorders>
            <w:noWrap/>
            <w:tcMar>
              <w:left w:w="0" w:type="dxa"/>
              <w:right w:w="0" w:type="dxa"/>
            </w:tcMar>
            <w:hideMark/>
          </w:tcPr>
          <w:p w:rsidR="0002740D" w:rsidRDefault="0002740D" w:rsidP="00C178A4">
            <w:pPr>
              <w:suppressAutoHyphens w:val="0"/>
              <w:spacing w:after="240" w:line="240" w:lineRule="auto"/>
              <w:jc w:val="center"/>
              <w:rPr>
                <w:sz w:val="16"/>
                <w:szCs w:val="16"/>
              </w:rPr>
            </w:pPr>
            <w:r>
              <w:rPr>
                <w:sz w:val="16"/>
                <w:szCs w:val="16"/>
              </w:rPr>
              <w:t>0</w:t>
            </w:r>
          </w:p>
        </w:tc>
        <w:tc>
          <w:tcPr>
            <w:tcW w:w="283" w:type="dxa"/>
            <w:tcBorders>
              <w:top w:val="nil"/>
              <w:left w:val="nil"/>
              <w:bottom w:val="single" w:sz="4" w:space="0" w:color="auto"/>
              <w:right w:val="single" w:sz="4" w:space="0" w:color="auto"/>
            </w:tcBorders>
            <w:tcMar>
              <w:left w:w="0" w:type="dxa"/>
              <w:right w:w="0" w:type="dxa"/>
            </w:tcMar>
            <w:hideMark/>
          </w:tcPr>
          <w:p w:rsidR="0002740D" w:rsidRDefault="0002740D" w:rsidP="00C178A4">
            <w:pPr>
              <w:jc w:val="center"/>
              <w:rPr>
                <w:sz w:val="16"/>
                <w:szCs w:val="16"/>
              </w:rPr>
            </w:pPr>
          </w:p>
        </w:tc>
      </w:tr>
    </w:tbl>
    <w:p w:rsidR="0002740D" w:rsidRDefault="0002740D" w:rsidP="0002740D">
      <w:pPr>
        <w:pStyle w:val="SingleTxtG"/>
        <w:spacing w:before="120"/>
        <w:rPr>
          <w:i/>
        </w:rPr>
      </w:pPr>
      <w:r>
        <w:rPr>
          <w:i/>
          <w:iCs/>
        </w:rPr>
        <w:t>(</w:t>
      </w:r>
      <w:r w:rsidR="00FE2298" w:rsidRPr="000928EA">
        <w:rPr>
          <w:i/>
          <w:lang w:val="fr-CH"/>
        </w:rPr>
        <w:t>Document de référence</w:t>
      </w:r>
      <w:r>
        <w:rPr>
          <w:i/>
          <w:iCs/>
        </w:rPr>
        <w:t>: ECE/TRANS/WP.15/AC.2/2018/44</w:t>
      </w:r>
      <w:r>
        <w:rPr>
          <w:i/>
        </w:rPr>
        <w:t>)</w:t>
      </w:r>
    </w:p>
    <w:p w:rsidR="0002740D" w:rsidRPr="00007D45" w:rsidRDefault="0002740D" w:rsidP="0002740D">
      <w:pPr>
        <w:keepNext/>
        <w:keepLines/>
        <w:tabs>
          <w:tab w:val="right" w:pos="851"/>
        </w:tabs>
        <w:spacing w:before="240" w:after="120" w:line="240" w:lineRule="exact"/>
        <w:ind w:left="1134" w:right="1134" w:hanging="1134"/>
        <w:rPr>
          <w:b/>
          <w:lang w:val="fr-CH"/>
        </w:rPr>
      </w:pPr>
      <w:r w:rsidRPr="00007D45">
        <w:rPr>
          <w:b/>
          <w:lang w:val="fr-CH"/>
        </w:rPr>
        <w:tab/>
      </w:r>
      <w:r w:rsidRPr="00007D45">
        <w:rPr>
          <w:b/>
          <w:lang w:val="fr-CH"/>
        </w:rPr>
        <w:tab/>
        <w:t xml:space="preserve">Chapitre 3.2, </w:t>
      </w:r>
      <w:r>
        <w:rPr>
          <w:b/>
          <w:lang w:val="fr-CH"/>
        </w:rPr>
        <w:t>3.2.3.3</w:t>
      </w:r>
    </w:p>
    <w:p w:rsidR="0002740D" w:rsidRPr="0034725A" w:rsidRDefault="0002740D" w:rsidP="0002740D">
      <w:pPr>
        <w:pStyle w:val="SingleTxtG"/>
        <w:rPr>
          <w:lang w:val="fr-CH"/>
        </w:rPr>
      </w:pPr>
      <w:r w:rsidRPr="0034725A">
        <w:rPr>
          <w:lang w:val="fr-CH"/>
        </w:rPr>
        <w:t>3.2.3.3 et 3.2.4.3 H, colonne (16)</w:t>
      </w:r>
      <w:r w:rsidRPr="0034725A">
        <w:rPr>
          <w:lang w:val="fr-CH"/>
        </w:rPr>
        <w:tab/>
        <w:t>Modifier pour lire comme suit:</w:t>
      </w:r>
    </w:p>
    <w:p w:rsidR="0002740D" w:rsidRDefault="0002740D" w:rsidP="0002740D">
      <w:pPr>
        <w:pStyle w:val="SingleTxtG"/>
        <w:rPr>
          <w:lang w:val="fr-FR"/>
        </w:rPr>
      </w:pPr>
      <w:r w:rsidRPr="0034725A">
        <w:rPr>
          <w:lang w:val="fr-CH"/>
        </w:rPr>
        <w:t>«Les matières inflammables sont affectées à un groupe d'explosion sur la base de leur interstice expérimental maximal.</w:t>
      </w:r>
    </w:p>
    <w:p w:rsidR="0002740D" w:rsidRPr="0034725A" w:rsidRDefault="0002740D" w:rsidP="0002740D">
      <w:pPr>
        <w:pStyle w:val="SingleTxtG"/>
        <w:rPr>
          <w:lang w:val="fr-CH"/>
        </w:rPr>
      </w:pPr>
      <w:r w:rsidRPr="0034725A">
        <w:rPr>
          <w:lang w:val="fr-CH"/>
        </w:rPr>
        <w:t>La détermination de l’interstice expérimental maximal s’effectue selon CEI 60079-20-1.</w:t>
      </w:r>
    </w:p>
    <w:p w:rsidR="0002740D" w:rsidRPr="0034725A" w:rsidRDefault="0002740D" w:rsidP="0002740D">
      <w:pPr>
        <w:pStyle w:val="SingleTxtG"/>
        <w:rPr>
          <w:lang w:val="fr-CH"/>
        </w:rPr>
      </w:pPr>
      <w:r w:rsidRPr="0034725A">
        <w:rPr>
          <w:lang w:val="fr-CH"/>
        </w:rPr>
        <w:t>On distingue les groupes d'explosion suivants :</w:t>
      </w:r>
    </w:p>
    <w:tbl>
      <w:tblPr>
        <w:tblStyle w:val="Tabellenraster1"/>
        <w:tblW w:w="0" w:type="auto"/>
        <w:jc w:val="center"/>
        <w:tblInd w:w="0" w:type="dxa"/>
        <w:tblLook w:val="04A0" w:firstRow="1" w:lastRow="0" w:firstColumn="1" w:lastColumn="0" w:noHBand="0" w:noVBand="1"/>
      </w:tblPr>
      <w:tblGrid>
        <w:gridCol w:w="2738"/>
        <w:gridCol w:w="2506"/>
      </w:tblGrid>
      <w:tr w:rsidR="0002740D" w:rsidRPr="00FF5459" w:rsidTr="00C50523">
        <w:trPr>
          <w:jc w:val="center"/>
        </w:trPr>
        <w:tc>
          <w:tcPr>
            <w:tcW w:w="2738" w:type="dxa"/>
            <w:tcBorders>
              <w:top w:val="single" w:sz="4" w:space="0" w:color="auto"/>
              <w:left w:val="single" w:sz="4" w:space="0" w:color="auto"/>
              <w:bottom w:val="single" w:sz="4" w:space="0" w:color="auto"/>
              <w:right w:val="single" w:sz="4" w:space="0" w:color="auto"/>
            </w:tcBorders>
            <w:hideMark/>
          </w:tcPr>
          <w:p w:rsidR="0002740D" w:rsidRDefault="0002740D" w:rsidP="00C50523">
            <w:pPr>
              <w:keepNext/>
              <w:keepLines/>
              <w:widowControl w:val="0"/>
              <w:autoSpaceDN w:val="0"/>
              <w:spacing w:line="240" w:lineRule="exact"/>
              <w:textAlignment w:val="baseline"/>
              <w:rPr>
                <w:rFonts w:eastAsia="DejaVu Sans"/>
              </w:rPr>
            </w:pPr>
            <w:r>
              <w:rPr>
                <w:rFonts w:eastAsia="DejaVu Sans"/>
              </w:rPr>
              <w:t>Groupe d’explosion</w:t>
            </w:r>
          </w:p>
        </w:tc>
        <w:tc>
          <w:tcPr>
            <w:tcW w:w="2506" w:type="dxa"/>
            <w:tcBorders>
              <w:top w:val="single" w:sz="4" w:space="0" w:color="auto"/>
              <w:left w:val="single" w:sz="4" w:space="0" w:color="auto"/>
              <w:bottom w:val="single" w:sz="4" w:space="0" w:color="auto"/>
              <w:right w:val="single" w:sz="4" w:space="0" w:color="auto"/>
            </w:tcBorders>
            <w:hideMark/>
          </w:tcPr>
          <w:p w:rsidR="0002740D" w:rsidRPr="0034725A" w:rsidRDefault="0002740D" w:rsidP="00C50523">
            <w:pPr>
              <w:keepNext/>
              <w:keepLines/>
              <w:widowControl w:val="0"/>
              <w:autoSpaceDN w:val="0"/>
              <w:spacing w:line="240" w:lineRule="exact"/>
              <w:textAlignment w:val="baseline"/>
              <w:rPr>
                <w:rFonts w:eastAsia="DejaVu Sans"/>
                <w:lang w:val="fr-CH"/>
              </w:rPr>
            </w:pPr>
            <w:r w:rsidRPr="0034725A">
              <w:rPr>
                <w:rFonts w:eastAsia="DejaVu Sans"/>
                <w:lang w:val="fr-CH"/>
              </w:rPr>
              <w:t>Interstice expérimental maximal en mm</w:t>
            </w:r>
          </w:p>
        </w:tc>
      </w:tr>
      <w:tr w:rsidR="0002740D" w:rsidTr="00C50523">
        <w:trPr>
          <w:jc w:val="center"/>
        </w:trPr>
        <w:tc>
          <w:tcPr>
            <w:tcW w:w="2738"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II A</w:t>
            </w:r>
          </w:p>
        </w:tc>
        <w:tc>
          <w:tcPr>
            <w:tcW w:w="2506" w:type="dxa"/>
            <w:tcBorders>
              <w:top w:val="single" w:sz="4" w:space="0" w:color="auto"/>
              <w:left w:val="single" w:sz="4" w:space="0" w:color="auto"/>
              <w:bottom w:val="single" w:sz="4" w:space="0" w:color="auto"/>
              <w:right w:val="single" w:sz="4" w:space="0" w:color="auto"/>
            </w:tcBorders>
            <w:hideMark/>
          </w:tcPr>
          <w:p w:rsidR="0002740D" w:rsidRDefault="00FE2298" w:rsidP="00C50523">
            <w:pPr>
              <w:widowControl w:val="0"/>
              <w:autoSpaceDN w:val="0"/>
              <w:spacing w:line="240" w:lineRule="exact"/>
              <w:textAlignment w:val="baseline"/>
              <w:rPr>
                <w:rFonts w:eastAsia="DejaVu Sans"/>
              </w:rPr>
            </w:pPr>
            <w:r>
              <w:rPr>
                <w:rFonts w:eastAsia="DejaVu Sans"/>
              </w:rPr>
              <w:t>&gt; 0,</w:t>
            </w:r>
            <w:r w:rsidR="0002740D">
              <w:rPr>
                <w:rFonts w:eastAsia="DejaVu Sans"/>
              </w:rPr>
              <w:t>9</w:t>
            </w:r>
          </w:p>
        </w:tc>
      </w:tr>
      <w:tr w:rsidR="0002740D" w:rsidTr="00C50523">
        <w:trPr>
          <w:jc w:val="center"/>
        </w:trPr>
        <w:tc>
          <w:tcPr>
            <w:tcW w:w="2738"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II B</w:t>
            </w:r>
          </w:p>
        </w:tc>
        <w:tc>
          <w:tcPr>
            <w:tcW w:w="2506"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sym w:font="Symbol" w:char="F0B3"/>
            </w:r>
            <w:r w:rsidR="00FE2298">
              <w:rPr>
                <w:rFonts w:eastAsia="DejaVu Sans"/>
              </w:rPr>
              <w:t xml:space="preserve"> 0,</w:t>
            </w:r>
            <w:r>
              <w:rPr>
                <w:rFonts w:eastAsia="DejaVu Sans"/>
              </w:rPr>
              <w:t xml:space="preserve">5 à </w:t>
            </w:r>
            <w:r>
              <w:rPr>
                <w:rFonts w:eastAsia="DejaVu Sans"/>
              </w:rPr>
              <w:sym w:font="Symbol" w:char="F0A3"/>
            </w:r>
            <w:r w:rsidR="00FE2298">
              <w:rPr>
                <w:rFonts w:eastAsia="DejaVu Sans"/>
              </w:rPr>
              <w:t xml:space="preserve"> 0,</w:t>
            </w:r>
            <w:r>
              <w:rPr>
                <w:rFonts w:eastAsia="DejaVu Sans"/>
              </w:rPr>
              <w:t>9</w:t>
            </w:r>
          </w:p>
        </w:tc>
      </w:tr>
      <w:tr w:rsidR="0002740D" w:rsidTr="00C50523">
        <w:trPr>
          <w:jc w:val="center"/>
        </w:trPr>
        <w:tc>
          <w:tcPr>
            <w:tcW w:w="2738"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II C</w:t>
            </w:r>
          </w:p>
        </w:tc>
        <w:tc>
          <w:tcPr>
            <w:tcW w:w="2506"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&lt; 0</w:t>
            </w:r>
            <w:r w:rsidR="00FE2298">
              <w:rPr>
                <w:rFonts w:eastAsia="DejaVu Sans"/>
              </w:rPr>
              <w:t>,</w:t>
            </w:r>
            <w:r>
              <w:rPr>
                <w:rFonts w:eastAsia="DejaVu Sans"/>
              </w:rPr>
              <w:t>5</w:t>
            </w:r>
          </w:p>
        </w:tc>
      </w:tr>
    </w:tbl>
    <w:p w:rsidR="0002740D" w:rsidRDefault="0002740D" w:rsidP="0002740D">
      <w:pPr>
        <w:pStyle w:val="SingleTxtG"/>
        <w:spacing w:before="120"/>
        <w:rPr>
          <w:lang w:val="fr-FR"/>
        </w:rPr>
      </w:pPr>
      <w:r w:rsidRPr="0034725A">
        <w:rPr>
          <w:lang w:val="fr-CH"/>
        </w:rPr>
        <w:t>En présence de systèmes de protection autonomes on distingue en plus pour le groupe d'explosion II B les sous-groupes suivants :</w:t>
      </w:r>
    </w:p>
    <w:tbl>
      <w:tblPr>
        <w:tblStyle w:val="Tabellenraster1"/>
        <w:tblW w:w="0" w:type="auto"/>
        <w:jc w:val="center"/>
        <w:tblInd w:w="0" w:type="dxa"/>
        <w:tblLook w:val="04A0" w:firstRow="1" w:lastRow="0" w:firstColumn="1" w:lastColumn="0" w:noHBand="0" w:noVBand="1"/>
      </w:tblPr>
      <w:tblGrid>
        <w:gridCol w:w="2738"/>
        <w:gridCol w:w="2506"/>
      </w:tblGrid>
      <w:tr w:rsidR="0002740D" w:rsidRPr="00FF5459" w:rsidTr="00C50523">
        <w:trPr>
          <w:jc w:val="center"/>
        </w:trPr>
        <w:tc>
          <w:tcPr>
            <w:tcW w:w="2738"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Groupe (sous-groupe) d’explosion</w:t>
            </w:r>
          </w:p>
        </w:tc>
        <w:tc>
          <w:tcPr>
            <w:tcW w:w="2506" w:type="dxa"/>
            <w:tcBorders>
              <w:top w:val="single" w:sz="4" w:space="0" w:color="auto"/>
              <w:left w:val="single" w:sz="4" w:space="0" w:color="auto"/>
              <w:bottom w:val="single" w:sz="4" w:space="0" w:color="auto"/>
              <w:right w:val="single" w:sz="4" w:space="0" w:color="auto"/>
            </w:tcBorders>
            <w:hideMark/>
          </w:tcPr>
          <w:p w:rsidR="0002740D" w:rsidRPr="0034725A" w:rsidRDefault="0002740D" w:rsidP="00C50523">
            <w:pPr>
              <w:widowControl w:val="0"/>
              <w:autoSpaceDN w:val="0"/>
              <w:spacing w:line="240" w:lineRule="exact"/>
              <w:textAlignment w:val="baseline"/>
              <w:rPr>
                <w:rFonts w:eastAsia="DejaVu Sans"/>
                <w:lang w:val="fr-CH"/>
              </w:rPr>
            </w:pPr>
            <w:r w:rsidRPr="0034725A">
              <w:rPr>
                <w:rFonts w:eastAsia="DejaVu Sans"/>
                <w:lang w:val="fr-CH"/>
              </w:rPr>
              <w:t>Interstice expérimental maximal en mm</w:t>
            </w:r>
          </w:p>
        </w:tc>
      </w:tr>
      <w:tr w:rsidR="0002740D" w:rsidTr="00C50523">
        <w:trPr>
          <w:jc w:val="center"/>
        </w:trPr>
        <w:tc>
          <w:tcPr>
            <w:tcW w:w="2738"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II B1</w:t>
            </w:r>
          </w:p>
        </w:tc>
        <w:tc>
          <w:tcPr>
            <w:tcW w:w="2506"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&gt; 0</w:t>
            </w:r>
            <w:r w:rsidR="00FE2298">
              <w:rPr>
                <w:rFonts w:eastAsia="DejaVu Sans"/>
              </w:rPr>
              <w:t>,</w:t>
            </w:r>
            <w:r>
              <w:rPr>
                <w:rFonts w:eastAsia="DejaVu Sans"/>
              </w:rPr>
              <w:t xml:space="preserve">85 à </w:t>
            </w:r>
            <w:r>
              <w:rPr>
                <w:rFonts w:eastAsia="DejaVu Sans"/>
              </w:rPr>
              <w:sym w:font="Symbol" w:char="F0A3"/>
            </w:r>
            <w:r w:rsidR="00FE2298">
              <w:rPr>
                <w:rFonts w:eastAsia="DejaVu Sans"/>
              </w:rPr>
              <w:t xml:space="preserve"> 0,</w:t>
            </w:r>
            <w:r>
              <w:rPr>
                <w:rFonts w:eastAsia="DejaVu Sans"/>
              </w:rPr>
              <w:t>9</w:t>
            </w:r>
          </w:p>
        </w:tc>
      </w:tr>
      <w:tr w:rsidR="0002740D" w:rsidTr="00C50523">
        <w:trPr>
          <w:jc w:val="center"/>
        </w:trPr>
        <w:tc>
          <w:tcPr>
            <w:tcW w:w="2738"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II B2</w:t>
            </w:r>
          </w:p>
        </w:tc>
        <w:tc>
          <w:tcPr>
            <w:tcW w:w="2506"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&gt; 0</w:t>
            </w:r>
            <w:r w:rsidR="00FE2298">
              <w:rPr>
                <w:rFonts w:eastAsia="DejaVu Sans"/>
              </w:rPr>
              <w:t>,</w:t>
            </w:r>
            <w:r>
              <w:rPr>
                <w:rFonts w:eastAsia="DejaVu Sans"/>
              </w:rPr>
              <w:t xml:space="preserve">75 à </w:t>
            </w:r>
            <w:r>
              <w:rPr>
                <w:rFonts w:eastAsia="DejaVu Sans"/>
              </w:rPr>
              <w:sym w:font="Symbol" w:char="F0A3"/>
            </w:r>
            <w:r w:rsidR="00FE2298">
              <w:rPr>
                <w:rFonts w:eastAsia="DejaVu Sans"/>
              </w:rPr>
              <w:t xml:space="preserve"> 0,</w:t>
            </w:r>
            <w:r>
              <w:rPr>
                <w:rFonts w:eastAsia="DejaVu Sans"/>
              </w:rPr>
              <w:t>85</w:t>
            </w:r>
          </w:p>
        </w:tc>
      </w:tr>
      <w:tr w:rsidR="0002740D" w:rsidTr="00C50523">
        <w:trPr>
          <w:jc w:val="center"/>
        </w:trPr>
        <w:tc>
          <w:tcPr>
            <w:tcW w:w="2738"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II B3</w:t>
            </w:r>
          </w:p>
        </w:tc>
        <w:tc>
          <w:tcPr>
            <w:tcW w:w="2506"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&gt; 0</w:t>
            </w:r>
            <w:r w:rsidR="00FE2298">
              <w:rPr>
                <w:rFonts w:eastAsia="DejaVu Sans"/>
              </w:rPr>
              <w:t>,</w:t>
            </w:r>
            <w:r>
              <w:rPr>
                <w:rFonts w:eastAsia="DejaVu Sans"/>
              </w:rPr>
              <w:t xml:space="preserve">65 à </w:t>
            </w:r>
            <w:r>
              <w:rPr>
                <w:rFonts w:eastAsia="DejaVu Sans"/>
              </w:rPr>
              <w:sym w:font="Symbol" w:char="F0A3"/>
            </w:r>
            <w:r w:rsidR="00FE2298">
              <w:rPr>
                <w:rFonts w:eastAsia="DejaVu Sans"/>
              </w:rPr>
              <w:t xml:space="preserve"> 0,</w:t>
            </w:r>
            <w:r>
              <w:rPr>
                <w:rFonts w:eastAsia="DejaVu Sans"/>
              </w:rPr>
              <w:t>75</w:t>
            </w:r>
          </w:p>
        </w:tc>
      </w:tr>
      <w:tr w:rsidR="0002740D" w:rsidTr="00C50523">
        <w:trPr>
          <w:jc w:val="center"/>
        </w:trPr>
        <w:tc>
          <w:tcPr>
            <w:tcW w:w="2738"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t>II B</w:t>
            </w:r>
          </w:p>
        </w:tc>
        <w:tc>
          <w:tcPr>
            <w:tcW w:w="2506" w:type="dxa"/>
            <w:tcBorders>
              <w:top w:val="single" w:sz="4" w:space="0" w:color="auto"/>
              <w:left w:val="single" w:sz="4" w:space="0" w:color="auto"/>
              <w:bottom w:val="single" w:sz="4" w:space="0" w:color="auto"/>
              <w:right w:val="single" w:sz="4" w:space="0" w:color="auto"/>
            </w:tcBorders>
            <w:hideMark/>
          </w:tcPr>
          <w:p w:rsidR="0002740D" w:rsidRDefault="0002740D" w:rsidP="00C50523">
            <w:pPr>
              <w:widowControl w:val="0"/>
              <w:autoSpaceDN w:val="0"/>
              <w:spacing w:line="240" w:lineRule="exact"/>
              <w:textAlignment w:val="baseline"/>
              <w:rPr>
                <w:rFonts w:eastAsia="DejaVu Sans"/>
              </w:rPr>
            </w:pPr>
            <w:r>
              <w:rPr>
                <w:rFonts w:eastAsia="DejaVu Sans"/>
              </w:rPr>
              <w:sym w:font="Symbol" w:char="F0B3"/>
            </w:r>
            <w:r w:rsidR="00FE2298">
              <w:rPr>
                <w:rFonts w:eastAsia="DejaVu Sans"/>
              </w:rPr>
              <w:t xml:space="preserve"> 0,</w:t>
            </w:r>
            <w:r>
              <w:rPr>
                <w:rFonts w:eastAsia="DejaVu Sans"/>
              </w:rPr>
              <w:t xml:space="preserve">5 à </w:t>
            </w:r>
            <w:r>
              <w:rPr>
                <w:rFonts w:eastAsia="DejaVu Sans"/>
              </w:rPr>
              <w:sym w:font="Symbol" w:char="F0A3"/>
            </w:r>
            <w:r w:rsidR="00FE2298">
              <w:rPr>
                <w:rFonts w:eastAsia="DejaVu Sans"/>
              </w:rPr>
              <w:t xml:space="preserve"> 0,</w:t>
            </w:r>
            <w:r>
              <w:rPr>
                <w:rFonts w:eastAsia="DejaVu Sans"/>
              </w:rPr>
              <w:t>65</w:t>
            </w:r>
          </w:p>
        </w:tc>
      </w:tr>
    </w:tbl>
    <w:p w:rsidR="0002740D" w:rsidRPr="0034725A" w:rsidRDefault="0002740D" w:rsidP="0002740D">
      <w:pPr>
        <w:pStyle w:val="SingleTxtG"/>
        <w:spacing w:before="120"/>
        <w:rPr>
          <w:lang w:val="fr-CH"/>
        </w:rPr>
      </w:pPr>
      <w:r w:rsidRPr="0034725A">
        <w:rPr>
          <w:lang w:val="fr-CH"/>
        </w:rPr>
        <w:t xml:space="preserve">Lorsque la protection contre les risques d'explosion est exigée et que les </w:t>
      </w:r>
      <w:r w:rsidRPr="00C80095">
        <w:rPr>
          <w:lang w:val="fr-CH"/>
        </w:rPr>
        <w:t>données y</w:t>
      </w:r>
      <w:r w:rsidRPr="0034725A">
        <w:rPr>
          <w:lang w:val="fr-CH"/>
        </w:rPr>
        <w:t xml:space="preserve"> relatives ne sont pas fournies, le groupe d'explosion II B, estimé sûr, doit être mentionné.».</w:t>
      </w:r>
    </w:p>
    <w:p w:rsidR="0002740D" w:rsidRPr="000928EA" w:rsidRDefault="0002740D" w:rsidP="0002740D">
      <w:pPr>
        <w:pStyle w:val="SingleTxtG"/>
        <w:rPr>
          <w:i/>
          <w:lang w:val="fr-CH"/>
        </w:rPr>
      </w:pPr>
      <w:r w:rsidRPr="0002740D">
        <w:rPr>
          <w:i/>
          <w:iCs/>
          <w:lang w:val="fr-CH"/>
        </w:rPr>
        <w:t>(</w:t>
      </w:r>
      <w:r w:rsidR="00FE2298" w:rsidRPr="000928EA">
        <w:rPr>
          <w:i/>
          <w:lang w:val="fr-CH"/>
        </w:rPr>
        <w:t>Document de référence</w:t>
      </w:r>
      <w:r w:rsidRPr="0002740D">
        <w:rPr>
          <w:i/>
          <w:iCs/>
          <w:lang w:val="fr-CH"/>
        </w:rPr>
        <w:t>: ECE/TRANS/WP.15/AC.2/2018/44</w:t>
      </w:r>
      <w:r w:rsidRPr="0002740D">
        <w:rPr>
          <w:i/>
          <w:lang w:val="fr-CH"/>
        </w:rPr>
        <w:t>)</w:t>
      </w:r>
    </w:p>
    <w:p w:rsidR="0002740D" w:rsidRPr="000928EA" w:rsidRDefault="0002740D" w:rsidP="0002740D">
      <w:pPr>
        <w:pStyle w:val="SingleTxtG"/>
        <w:rPr>
          <w:lang w:val="fr-CH"/>
        </w:rPr>
      </w:pPr>
      <w:r w:rsidRPr="000928EA">
        <w:rPr>
          <w:lang w:val="fr-CH"/>
        </w:rPr>
        <w:t>3.2.3.3 et 3.2.4.3, colonne (20)</w:t>
      </w:r>
      <w:r w:rsidRPr="000928EA">
        <w:rPr>
          <w:lang w:val="fr-CH"/>
        </w:rPr>
        <w:tab/>
      </w:r>
      <w:r w:rsidRPr="000928EA">
        <w:rPr>
          <w:lang w:val="fr-CH"/>
        </w:rPr>
        <w:tab/>
        <w:t>Modifier l’observation 27 pour lire comme suit:</w:t>
      </w:r>
    </w:p>
    <w:p w:rsidR="0002740D" w:rsidRPr="000928EA" w:rsidRDefault="0002740D" w:rsidP="0002740D">
      <w:pPr>
        <w:pStyle w:val="SingleTxtG"/>
        <w:rPr>
          <w:lang w:val="fr-CH"/>
        </w:rPr>
      </w:pPr>
      <w:r w:rsidRPr="000928EA">
        <w:rPr>
          <w:lang w:val="fr-CH"/>
        </w:rPr>
        <w:t>«L’observation 27 doit être mentionnée dans la colonne (20) pour les matières pour lesquelles la mention N.S.A. ou une dénomination générique est portée dans la colonne (2) et pour lesquelles les désignations officielles de transport ne sont pas déjà complétées par le nom technique de la marchandise ou par les renseignements complémentaires concernant la teneur en benzène.».</w:t>
      </w:r>
    </w:p>
    <w:p w:rsidR="0002740D" w:rsidRPr="000928EA" w:rsidRDefault="0002740D" w:rsidP="0002740D">
      <w:pPr>
        <w:pStyle w:val="SingleTxtG"/>
        <w:rPr>
          <w:i/>
          <w:lang w:val="fr-CH"/>
        </w:rPr>
      </w:pPr>
      <w:r w:rsidRPr="000928EA">
        <w:rPr>
          <w:i/>
          <w:lang w:val="fr-CH"/>
        </w:rPr>
        <w:t>(Document de référence: ECE/TRANS/WP.15/AC.2/2018/44)</w:t>
      </w:r>
    </w:p>
    <w:p w:rsidR="0002740D" w:rsidRPr="00007D45" w:rsidRDefault="0002740D" w:rsidP="0002740D">
      <w:pPr>
        <w:keepNext/>
        <w:keepLines/>
        <w:tabs>
          <w:tab w:val="right" w:pos="851"/>
        </w:tabs>
        <w:spacing w:before="240" w:after="120" w:line="240" w:lineRule="exact"/>
        <w:ind w:left="1134" w:right="1134" w:hanging="1134"/>
        <w:rPr>
          <w:b/>
          <w:lang w:val="fr-CH"/>
        </w:rPr>
      </w:pPr>
      <w:r w:rsidRPr="00007D45">
        <w:rPr>
          <w:b/>
          <w:lang w:val="fr-CH"/>
        </w:rPr>
        <w:tab/>
      </w:r>
      <w:r w:rsidRPr="00007D45">
        <w:rPr>
          <w:b/>
          <w:lang w:val="fr-CH"/>
        </w:rPr>
        <w:tab/>
        <w:t>Chapitre 5.4</w:t>
      </w:r>
    </w:p>
    <w:p w:rsidR="0002740D" w:rsidRPr="00007D45" w:rsidRDefault="0002740D" w:rsidP="0002740D">
      <w:pPr>
        <w:pStyle w:val="SingleTxtG"/>
        <w:rPr>
          <w:lang w:val="fr-CH"/>
        </w:rPr>
      </w:pPr>
      <w:r w:rsidRPr="00007D45">
        <w:rPr>
          <w:lang w:val="fr-CH"/>
        </w:rPr>
        <w:t>5.4</w:t>
      </w:r>
      <w:r w:rsidR="00C80095">
        <w:rPr>
          <w:lang w:val="fr-CH"/>
        </w:rPr>
        <w:t>.3.2</w:t>
      </w:r>
      <w:r w:rsidR="00C80095">
        <w:rPr>
          <w:lang w:val="fr-CH"/>
        </w:rPr>
        <w:tab/>
      </w:r>
      <w:r w:rsidRPr="00007D45">
        <w:rPr>
          <w:lang w:val="fr-CH"/>
        </w:rPr>
        <w:t>Modifier pour lire comme suit:</w:t>
      </w:r>
    </w:p>
    <w:p w:rsidR="0002740D" w:rsidRPr="00007D45" w:rsidRDefault="0002740D" w:rsidP="0002740D">
      <w:pPr>
        <w:pStyle w:val="SingleTxtG"/>
        <w:rPr>
          <w:lang w:val="fr-CH"/>
        </w:rPr>
      </w:pPr>
      <w:r w:rsidRPr="00007D45">
        <w:rPr>
          <w:lang w:val="fr-CH"/>
        </w:rPr>
        <w:t>«5.4.3.2</w:t>
      </w:r>
      <w:r w:rsidRPr="00007D45">
        <w:rPr>
          <w:lang w:val="fr-CH"/>
        </w:rPr>
        <w:tab/>
        <w:t xml:space="preserve">Ces consignes doivent être remises par le transporteur au conducteur avant le chargement, dans une (des) langue(s) que le conducteur et l’expert peuvent lire et comprendre. Le conducteur doit s’assurer que chaque membre de l’équipage et </w:t>
      </w:r>
      <w:r w:rsidRPr="00007D45">
        <w:rPr>
          <w:lang w:val="fr-CH"/>
        </w:rPr>
        <w:lastRenderedPageBreak/>
        <w:t>toute autre personne à bord concernée comprend les consignes et est capable de les appliquer correctement.».</w:t>
      </w:r>
    </w:p>
    <w:p w:rsidR="0002740D" w:rsidRDefault="0002740D" w:rsidP="0002740D">
      <w:pPr>
        <w:pStyle w:val="SingleTxtG"/>
        <w:rPr>
          <w:i/>
          <w:lang w:val="fr-CH"/>
        </w:rPr>
      </w:pPr>
      <w:r w:rsidRPr="00007D45">
        <w:rPr>
          <w:i/>
          <w:lang w:val="fr-CH"/>
        </w:rPr>
        <w:t>(Document de référence: ECE/TRANS/WP.15/AC.2/2018/40)</w:t>
      </w:r>
    </w:p>
    <w:p w:rsidR="0002740D" w:rsidRPr="000928EA" w:rsidRDefault="0002740D" w:rsidP="0002740D">
      <w:pPr>
        <w:keepNext/>
        <w:keepLines/>
        <w:tabs>
          <w:tab w:val="right" w:pos="851"/>
        </w:tabs>
        <w:spacing w:before="240" w:after="120" w:line="240" w:lineRule="exact"/>
        <w:ind w:left="1134" w:right="1134" w:hanging="1134"/>
        <w:rPr>
          <w:b/>
          <w:lang w:val="fr-CH"/>
        </w:rPr>
      </w:pPr>
      <w:r w:rsidRPr="0002740D">
        <w:rPr>
          <w:b/>
          <w:lang w:val="fr-CH"/>
        </w:rPr>
        <w:tab/>
      </w:r>
      <w:r w:rsidRPr="0002740D">
        <w:rPr>
          <w:b/>
          <w:lang w:val="fr-CH"/>
        </w:rPr>
        <w:tab/>
      </w:r>
      <w:r w:rsidRPr="000928EA">
        <w:rPr>
          <w:b/>
          <w:lang w:val="fr-CH"/>
        </w:rPr>
        <w:t>Chapitre 7.2</w:t>
      </w:r>
    </w:p>
    <w:p w:rsidR="0002740D" w:rsidRPr="000928EA" w:rsidRDefault="0002740D" w:rsidP="0002740D">
      <w:pPr>
        <w:pStyle w:val="SingleTxtG"/>
        <w:rPr>
          <w:i/>
          <w:lang w:val="fr-CH"/>
        </w:rPr>
      </w:pPr>
      <w:r w:rsidRPr="000928EA">
        <w:rPr>
          <w:iCs/>
          <w:lang w:val="fr-CH"/>
        </w:rPr>
        <w:t>7.2.4.25.5, deuxième tiret</w:t>
      </w:r>
      <w:r w:rsidRPr="000928EA">
        <w:rPr>
          <w:iCs/>
          <w:lang w:val="fr-CH"/>
        </w:rPr>
        <w:tab/>
        <w:t xml:space="preserve">Modifier la dernière phrase pour lire comme suit: </w:t>
      </w:r>
      <w:r w:rsidRPr="000928EA">
        <w:rPr>
          <w:lang w:val="fr-CH"/>
        </w:rPr>
        <w:t>«</w:t>
      </w:r>
      <w:r w:rsidRPr="00EC3C48">
        <w:rPr>
          <w:lang w:val="fr-FR"/>
        </w:rPr>
        <w:t>Si ces conditions ne sont pas remplies et que la conduite de retour des gaz n’est pas utilisée, les concentrations mesurées doivent être enregistrées par écrit.</w:t>
      </w:r>
      <w:r w:rsidRPr="000928EA">
        <w:rPr>
          <w:lang w:val="fr-CH"/>
        </w:rPr>
        <w:t>».</w:t>
      </w:r>
    </w:p>
    <w:p w:rsidR="0002740D" w:rsidRPr="000928EA" w:rsidRDefault="0002740D" w:rsidP="0002740D">
      <w:pPr>
        <w:pStyle w:val="SingleTxtG"/>
        <w:rPr>
          <w:i/>
          <w:lang w:val="fr-CH"/>
        </w:rPr>
      </w:pPr>
      <w:r w:rsidRPr="000928EA">
        <w:rPr>
          <w:i/>
          <w:lang w:val="fr-CH"/>
        </w:rPr>
        <w:t>(Document de référence: document informel INF.26)</w:t>
      </w:r>
    </w:p>
    <w:p w:rsidR="0002740D" w:rsidRPr="00007D45" w:rsidRDefault="0002740D" w:rsidP="0002740D">
      <w:pPr>
        <w:keepNext/>
        <w:keepLines/>
        <w:tabs>
          <w:tab w:val="right" w:pos="851"/>
        </w:tabs>
        <w:spacing w:before="240" w:after="120" w:line="240" w:lineRule="exact"/>
        <w:ind w:left="1134" w:right="1134" w:hanging="1134"/>
        <w:rPr>
          <w:b/>
          <w:lang w:val="fr-CH"/>
        </w:rPr>
      </w:pPr>
      <w:r w:rsidRPr="00007D45">
        <w:rPr>
          <w:b/>
          <w:lang w:val="fr-CH"/>
        </w:rPr>
        <w:tab/>
      </w:r>
      <w:r w:rsidRPr="00007D45">
        <w:rPr>
          <w:b/>
          <w:lang w:val="fr-CH"/>
        </w:rPr>
        <w:tab/>
        <w:t>Chapitre 9.3</w:t>
      </w:r>
    </w:p>
    <w:p w:rsidR="0002740D" w:rsidRPr="00007D45" w:rsidRDefault="0002740D" w:rsidP="0002740D">
      <w:pPr>
        <w:pStyle w:val="SingleTxtG"/>
        <w:tabs>
          <w:tab w:val="left" w:pos="2552"/>
        </w:tabs>
        <w:rPr>
          <w:lang w:val="fr-CH"/>
        </w:rPr>
      </w:pPr>
      <w:r w:rsidRPr="00007D45">
        <w:rPr>
          <w:lang w:val="fr-CH"/>
        </w:rPr>
        <w:t>9.3.2.22.4 b)</w:t>
      </w:r>
      <w:r w:rsidRPr="00007D45">
        <w:rPr>
          <w:lang w:val="fr-CH"/>
        </w:rPr>
        <w:tab/>
        <w:t>Modifier pour lire comme suit:</w:t>
      </w:r>
    </w:p>
    <w:p w:rsidR="0002740D" w:rsidRPr="00007D45" w:rsidRDefault="0002740D" w:rsidP="00FE2298">
      <w:pPr>
        <w:pStyle w:val="SingleTxtG"/>
        <w:tabs>
          <w:tab w:val="left" w:pos="1701"/>
        </w:tabs>
        <w:ind w:left="1560" w:hanging="426"/>
        <w:rPr>
          <w:rFonts w:eastAsia="Calibri"/>
          <w:lang w:val="fr-CH"/>
        </w:rPr>
      </w:pPr>
      <w:r w:rsidRPr="00007D45">
        <w:rPr>
          <w:lang w:val="fr-CH"/>
        </w:rPr>
        <w:t>«</w:t>
      </w:r>
      <w:r w:rsidRPr="00007D45">
        <w:rPr>
          <w:rFonts w:eastAsia="Calibri"/>
          <w:lang w:val="fr-CH"/>
        </w:rPr>
        <w:t>b)</w:t>
      </w:r>
      <w:r w:rsidRPr="00007D45">
        <w:rPr>
          <w:rFonts w:eastAsia="Calibri"/>
          <w:lang w:val="fr-CH"/>
        </w:rPr>
        <w:tab/>
        <w:t>Lorsque la liste des matières du bateau selon 1.16.1.2.5 doit contenir des matières pour lesquelles la protection contre les explosions est exigée selon la colonne (17) du tableau C du chapitre 3.2,</w:t>
      </w:r>
    </w:p>
    <w:p w:rsidR="0002740D" w:rsidRPr="00007D45" w:rsidRDefault="0002740D" w:rsidP="00FE2298">
      <w:pPr>
        <w:pStyle w:val="SingleTxtG"/>
        <w:tabs>
          <w:tab w:val="left" w:pos="1985"/>
        </w:tabs>
        <w:ind w:left="1985" w:hanging="425"/>
        <w:rPr>
          <w:rFonts w:eastAsia="Calibri"/>
          <w:lang w:val="fr-CH"/>
        </w:rPr>
      </w:pPr>
      <w:r w:rsidRPr="00007D45">
        <w:rPr>
          <w:rFonts w:eastAsia="Calibri"/>
          <w:lang w:val="fr-CH"/>
        </w:rPr>
        <w:t>-</w:t>
      </w:r>
      <w:r w:rsidRPr="00007D45">
        <w:rPr>
          <w:rFonts w:eastAsia="Calibri"/>
          <w:lang w:val="fr-CH"/>
        </w:rPr>
        <w:tab/>
        <w:t>la conduite d'évacuation de gaz au niveau du raccordement à chaque citerne de cargaison ainsi que la soupape de dépression doivent être équipées d'un coupe-flammes résistant à une détonation; et</w:t>
      </w:r>
    </w:p>
    <w:p w:rsidR="0002740D" w:rsidRPr="00007D45" w:rsidRDefault="0002740D" w:rsidP="00FE2298">
      <w:pPr>
        <w:pStyle w:val="SingleTxtG"/>
        <w:tabs>
          <w:tab w:val="left" w:pos="1985"/>
        </w:tabs>
        <w:ind w:left="1985" w:hanging="425"/>
        <w:rPr>
          <w:rFonts w:eastAsia="Calibri"/>
          <w:lang w:val="fr-CH"/>
        </w:rPr>
      </w:pPr>
      <w:r w:rsidRPr="00007D45">
        <w:rPr>
          <w:rFonts w:eastAsia="Calibri"/>
          <w:lang w:val="fr-CH"/>
        </w:rPr>
        <w:t>-</w:t>
      </w:r>
      <w:r w:rsidRPr="00007D45">
        <w:rPr>
          <w:rFonts w:eastAsia="Calibri"/>
          <w:lang w:val="fr-CH"/>
        </w:rPr>
        <w:tab/>
        <w:t>le dispositif de décompression en toute sécurité des citernes à cargaison doit être conçu pour résister à la déflagration et au feu continu;</w:t>
      </w:r>
      <w:r w:rsidRPr="00007D45">
        <w:rPr>
          <w:lang w:val="fr-CH"/>
        </w:rPr>
        <w:t>».</w:t>
      </w:r>
    </w:p>
    <w:p w:rsidR="0002740D" w:rsidRPr="00007D45" w:rsidRDefault="0002740D" w:rsidP="0002740D">
      <w:pPr>
        <w:pStyle w:val="SingleTxtG"/>
        <w:rPr>
          <w:i/>
          <w:lang w:val="fr-CH"/>
        </w:rPr>
      </w:pPr>
      <w:r w:rsidRPr="00007D45">
        <w:rPr>
          <w:i/>
          <w:lang w:val="fr-CH"/>
        </w:rPr>
        <w:t>(Document de référence: ECE/TRANS/WP.15/AC.2/2018/32)</w:t>
      </w:r>
    </w:p>
    <w:p w:rsidR="0002740D" w:rsidRPr="00007D45" w:rsidRDefault="0002740D" w:rsidP="0002740D">
      <w:pPr>
        <w:pStyle w:val="SingleTxtG"/>
        <w:rPr>
          <w:lang w:val="fr-CH"/>
        </w:rPr>
      </w:pPr>
      <w:r w:rsidRPr="00007D45">
        <w:rPr>
          <w:lang w:val="fr-CH"/>
        </w:rPr>
        <w:t>9.3.2.22.4 e)</w:t>
      </w:r>
      <w:r w:rsidRPr="00007D45">
        <w:rPr>
          <w:lang w:val="fr-CH"/>
        </w:rPr>
        <w:tab/>
        <w:t>Modifier le premier paragraphe pour lire comme suit:</w:t>
      </w:r>
    </w:p>
    <w:p w:rsidR="0002740D" w:rsidRPr="00FE2298" w:rsidRDefault="0002740D" w:rsidP="0002740D">
      <w:pPr>
        <w:pStyle w:val="SingleTxtG"/>
        <w:rPr>
          <w:lang w:val="fr-CH"/>
        </w:rPr>
      </w:pPr>
      <w:r w:rsidRPr="00007D45">
        <w:rPr>
          <w:lang w:val="fr-CH"/>
        </w:rPr>
        <w:t>«</w:t>
      </w:r>
      <w:r w:rsidRPr="00B03AD8">
        <w:rPr>
          <w:rFonts w:eastAsia="Calibri"/>
          <w:lang w:val="fr-FR" w:eastAsia="fr-FR"/>
        </w:rPr>
        <w:t xml:space="preserve">Les systèmes de protection autonomes </w:t>
      </w:r>
      <w:r w:rsidRPr="00FE2298">
        <w:rPr>
          <w:rFonts w:eastAsia="Calibri"/>
          <w:lang w:val="fr-FR" w:eastAsia="fr-FR"/>
        </w:rPr>
        <w:t>visés aux alinéas b) et c) doivent être sélectionnés en fonction des groupes/sous-groupes d'explosion auxquels appartiennent les matières prévues dans la liste des matières du bateau (voir colonne (16) du tableau C du chapitre 3.2). Les orifices des soupapes de dégagement à grande vitesse doivent être situés à 2,00 m au moins au-dessus du pont et à une distance de 6,00 m au moins des ouvertures de logements, de la timonerie et de locaux de service situés en dehors de la zone de cargaison. Cette hauteur peut être réduite à 1,00 m, lorsque dans un cercle de 1,00 m de rayon autour de l'orifice de dégagement il n'y a aucune installation de commande. Cette zone doit être signalisée en tant que zone de danger;</w:t>
      </w:r>
      <w:r w:rsidRPr="00FE2298">
        <w:rPr>
          <w:lang w:val="fr-CH"/>
        </w:rPr>
        <w:t>».</w:t>
      </w:r>
    </w:p>
    <w:p w:rsidR="0002740D" w:rsidRDefault="0002740D" w:rsidP="0002740D">
      <w:pPr>
        <w:pStyle w:val="SingleTxtG"/>
        <w:rPr>
          <w:i/>
          <w:lang w:val="fr-FR"/>
        </w:rPr>
      </w:pPr>
      <w:r w:rsidRPr="00007D45">
        <w:rPr>
          <w:i/>
          <w:lang w:val="fr-CH"/>
        </w:rPr>
        <w:t>(Document de référence: ECE/TRANS/WP.15/AC.2/2018/32)</w:t>
      </w:r>
    </w:p>
    <w:p w:rsidR="0002740D" w:rsidRDefault="0002740D" w:rsidP="0002740D">
      <w:pPr>
        <w:suppressAutoHyphens w:val="0"/>
        <w:spacing w:line="240" w:lineRule="auto"/>
        <w:rPr>
          <w:rFonts w:eastAsiaTheme="minorEastAsia"/>
          <w:b/>
          <w:sz w:val="28"/>
          <w:lang w:val="fr-CH" w:eastAsia="zh-CN"/>
        </w:rPr>
      </w:pPr>
      <w:r>
        <w:rPr>
          <w:lang w:val="fr-CH"/>
        </w:rPr>
        <w:br w:type="page"/>
      </w:r>
    </w:p>
    <w:p w:rsidR="00007D45" w:rsidRDefault="00007D45" w:rsidP="00007D45">
      <w:pPr>
        <w:pStyle w:val="HChG"/>
        <w:rPr>
          <w:lang w:val="fr-CH"/>
        </w:rPr>
      </w:pPr>
      <w:r w:rsidRPr="006B1D2D">
        <w:rPr>
          <w:lang w:val="fr-CH"/>
        </w:rPr>
        <w:lastRenderedPageBreak/>
        <w:t>Annexe I</w:t>
      </w:r>
      <w:bookmarkEnd w:id="1"/>
      <w:r w:rsidR="0002740D">
        <w:rPr>
          <w:lang w:val="fr-CH"/>
        </w:rPr>
        <w:t>I</w:t>
      </w:r>
    </w:p>
    <w:p w:rsidR="00EC62EF" w:rsidRPr="00EC62EF" w:rsidRDefault="00EC62EF" w:rsidP="00EC62EF">
      <w:pPr>
        <w:jc w:val="right"/>
        <w:rPr>
          <w:lang w:val="fr-CH" w:eastAsia="zh-CN"/>
        </w:rPr>
      </w:pPr>
      <w:r>
        <w:t>[Original: anglais et français]</w:t>
      </w:r>
    </w:p>
    <w:p w:rsidR="00007D45" w:rsidRPr="006B1D2D" w:rsidRDefault="00007D45" w:rsidP="00007D45">
      <w:pPr>
        <w:pStyle w:val="HChG"/>
        <w:rPr>
          <w:lang w:val="fr-CH"/>
        </w:rPr>
      </w:pPr>
      <w:r w:rsidRPr="006B1D2D">
        <w:rPr>
          <w:lang w:val="fr-CH"/>
        </w:rPr>
        <w:tab/>
      </w:r>
      <w:r w:rsidRPr="006B1D2D">
        <w:rPr>
          <w:lang w:val="fr-CH"/>
        </w:rPr>
        <w:tab/>
      </w:r>
      <w:bookmarkStart w:id="5" w:name="_Toc397356011"/>
      <w:r w:rsidRPr="006B1D2D">
        <w:rPr>
          <w:lang w:val="fr-CH"/>
        </w:rPr>
        <w:t>Projet d’amendements au Règlement annexé à l’ADN</w:t>
      </w:r>
      <w:r w:rsidRPr="006B1D2D">
        <w:rPr>
          <w:lang w:val="fr-CH"/>
        </w:rPr>
        <w:br/>
        <w:t>pour entrée en vigueur le 1</w:t>
      </w:r>
      <w:r w:rsidRPr="006B1D2D">
        <w:rPr>
          <w:vertAlign w:val="superscript"/>
          <w:lang w:val="fr-CH"/>
        </w:rPr>
        <w:t>er</w:t>
      </w:r>
      <w:r w:rsidRPr="006B1D2D">
        <w:rPr>
          <w:lang w:val="fr-CH"/>
        </w:rPr>
        <w:t xml:space="preserve"> janvier 201</w:t>
      </w:r>
      <w:bookmarkEnd w:id="5"/>
      <w:r>
        <w:rPr>
          <w:lang w:val="fr-CH"/>
        </w:rPr>
        <w:t>9</w:t>
      </w:r>
    </w:p>
    <w:p w:rsidR="00007D45" w:rsidRPr="00FE2298" w:rsidRDefault="00007D45" w:rsidP="00007D45">
      <w:pPr>
        <w:spacing w:after="120"/>
        <w:ind w:left="1134" w:right="1134"/>
        <w:jc w:val="both"/>
        <w:rPr>
          <w:iCs/>
          <w:lang w:val="fr-CH"/>
        </w:rPr>
      </w:pPr>
      <w:r w:rsidRPr="00FE2298">
        <w:rPr>
          <w:iCs/>
          <w:lang w:val="fr-CH"/>
        </w:rPr>
        <w:t>(voir ECE/ADN/45/Add.1)</w:t>
      </w:r>
    </w:p>
    <w:p w:rsidR="00C01628" w:rsidRDefault="00C01628" w:rsidP="00007D45">
      <w:pPr>
        <w:pStyle w:val="HChG"/>
        <w:rPr>
          <w:lang w:val="fr-CH"/>
        </w:rPr>
      </w:pPr>
      <w:bookmarkStart w:id="6" w:name="_Toc397356012"/>
      <w:r>
        <w:rPr>
          <w:lang w:val="fr-CH"/>
        </w:rPr>
        <w:br w:type="page"/>
      </w:r>
    </w:p>
    <w:p w:rsidR="00007D45" w:rsidRDefault="00007D45" w:rsidP="00007D45">
      <w:pPr>
        <w:pStyle w:val="HChG"/>
        <w:rPr>
          <w:lang w:val="fr-CH"/>
        </w:rPr>
      </w:pPr>
      <w:r w:rsidRPr="00007D45">
        <w:rPr>
          <w:lang w:val="fr-CH"/>
        </w:rPr>
        <w:lastRenderedPageBreak/>
        <w:t>Annexe II</w:t>
      </w:r>
      <w:bookmarkEnd w:id="6"/>
      <w:r w:rsidR="0002740D">
        <w:rPr>
          <w:lang w:val="fr-CH"/>
        </w:rPr>
        <w:t>I</w:t>
      </w:r>
    </w:p>
    <w:p w:rsidR="00EC62EF" w:rsidRPr="00EC62EF" w:rsidRDefault="00EC62EF" w:rsidP="00EC62EF">
      <w:pPr>
        <w:jc w:val="right"/>
        <w:rPr>
          <w:lang w:val="fr-CH" w:eastAsia="zh-CN"/>
        </w:rPr>
      </w:pPr>
      <w:r>
        <w:t>[Original: anglais et français]</w:t>
      </w:r>
    </w:p>
    <w:p w:rsidR="00007D45" w:rsidRPr="006B1D2D" w:rsidRDefault="00007D45" w:rsidP="00007D45">
      <w:pPr>
        <w:pStyle w:val="HChG"/>
        <w:rPr>
          <w:lang w:val="fr-CH"/>
        </w:rPr>
      </w:pPr>
      <w:r w:rsidRPr="00007D45">
        <w:rPr>
          <w:lang w:val="fr-CH"/>
        </w:rPr>
        <w:tab/>
      </w:r>
      <w:r w:rsidRPr="00007D45">
        <w:rPr>
          <w:lang w:val="fr-CH"/>
        </w:rPr>
        <w:tab/>
      </w:r>
      <w:bookmarkStart w:id="7" w:name="_Toc397356013"/>
      <w:r w:rsidRPr="006B1D2D">
        <w:rPr>
          <w:lang w:val="fr-CH"/>
        </w:rPr>
        <w:t>Projet de rectificatif aux amendements au Règlement annexé à l’ADN pour entrée en vigueur le 1</w:t>
      </w:r>
      <w:r w:rsidRPr="006B1D2D">
        <w:rPr>
          <w:vertAlign w:val="superscript"/>
          <w:lang w:val="fr-CH"/>
        </w:rPr>
        <w:t>er</w:t>
      </w:r>
      <w:r w:rsidR="00FE2298">
        <w:rPr>
          <w:lang w:val="fr-CH"/>
        </w:rPr>
        <w:t xml:space="preserve"> </w:t>
      </w:r>
      <w:r w:rsidRPr="006B1D2D">
        <w:rPr>
          <w:lang w:val="fr-CH"/>
        </w:rPr>
        <w:t>janvier</w:t>
      </w:r>
      <w:r w:rsidR="00FE2298">
        <w:rPr>
          <w:lang w:val="fr-CH"/>
        </w:rPr>
        <w:t xml:space="preserve"> </w:t>
      </w:r>
      <w:r w:rsidRPr="006B1D2D">
        <w:rPr>
          <w:lang w:val="fr-CH"/>
        </w:rPr>
        <w:t>201</w:t>
      </w:r>
      <w:bookmarkEnd w:id="7"/>
      <w:r>
        <w:rPr>
          <w:lang w:val="fr-CH"/>
        </w:rPr>
        <w:t>9</w:t>
      </w:r>
      <w:r w:rsidRPr="006B1D2D">
        <w:rPr>
          <w:lang w:val="fr-CH"/>
        </w:rPr>
        <w:t xml:space="preserve"> </w:t>
      </w:r>
    </w:p>
    <w:p w:rsidR="00007D45" w:rsidRPr="00FE2298" w:rsidRDefault="00007D45" w:rsidP="00007D45">
      <w:pPr>
        <w:spacing w:after="120"/>
        <w:ind w:left="1134" w:right="1134"/>
        <w:jc w:val="both"/>
        <w:rPr>
          <w:iCs/>
          <w:lang w:val="fr-CH"/>
        </w:rPr>
      </w:pPr>
      <w:r w:rsidRPr="00FE2298">
        <w:rPr>
          <w:iCs/>
          <w:lang w:val="fr-CH"/>
        </w:rPr>
        <w:t>(voir ECE/ADN/45/Corr.1)</w:t>
      </w:r>
    </w:p>
    <w:p w:rsidR="00007D45" w:rsidRDefault="00007D45" w:rsidP="0002740D">
      <w:pPr>
        <w:pStyle w:val="HChG"/>
        <w:rPr>
          <w:b w:val="0"/>
          <w:lang w:val="fr-CH"/>
        </w:rPr>
      </w:pPr>
      <w:r w:rsidRPr="006B1D2D">
        <w:rPr>
          <w:lang w:val="fr-FR"/>
        </w:rPr>
        <w:br w:type="page"/>
      </w:r>
    </w:p>
    <w:p w:rsidR="0002740D" w:rsidRDefault="00C01628" w:rsidP="0002740D">
      <w:pPr>
        <w:pStyle w:val="HChG"/>
        <w:rPr>
          <w:lang w:val="fr-CH"/>
        </w:rPr>
      </w:pPr>
      <w:r>
        <w:rPr>
          <w:lang w:val="fr-CH"/>
        </w:rPr>
        <w:lastRenderedPageBreak/>
        <w:tab/>
      </w:r>
      <w:r w:rsidR="0002740D" w:rsidRPr="006B1D2D">
        <w:rPr>
          <w:lang w:val="fr-CH"/>
        </w:rPr>
        <w:t xml:space="preserve">Annexe </w:t>
      </w:r>
      <w:r w:rsidR="0002740D">
        <w:rPr>
          <w:lang w:val="fr-CH"/>
        </w:rPr>
        <w:t>IV</w:t>
      </w:r>
    </w:p>
    <w:p w:rsidR="00EC62EF" w:rsidRPr="00EC62EF" w:rsidRDefault="00EC62EF" w:rsidP="00EC62EF">
      <w:pPr>
        <w:jc w:val="right"/>
        <w:rPr>
          <w:lang w:val="fr-CH" w:eastAsia="zh-CN"/>
        </w:rPr>
      </w:pPr>
      <w:r>
        <w:t>[Original: anglais et français]</w:t>
      </w:r>
    </w:p>
    <w:p w:rsidR="0002740D" w:rsidRPr="00007D45" w:rsidRDefault="0002740D" w:rsidP="0002740D">
      <w:pPr>
        <w:pStyle w:val="HChG"/>
        <w:rPr>
          <w:b w:val="0"/>
          <w:sz w:val="22"/>
          <w:szCs w:val="22"/>
          <w:lang w:val="fr-CH"/>
        </w:rPr>
      </w:pPr>
      <w:r>
        <w:rPr>
          <w:lang w:val="fr-FR"/>
        </w:rPr>
        <w:tab/>
      </w:r>
      <w:r>
        <w:rPr>
          <w:lang w:val="fr-FR"/>
        </w:rPr>
        <w:tab/>
        <w:t xml:space="preserve">Propositions de corrections au Règlement annexé à l’ADN </w:t>
      </w:r>
      <w:r w:rsidRPr="00007D45">
        <w:rPr>
          <w:b w:val="0"/>
          <w:sz w:val="22"/>
          <w:szCs w:val="22"/>
          <w:lang w:val="fr-CH"/>
        </w:rPr>
        <w:t>(sous réserve d’acceptation par les Parties contractantes)</w:t>
      </w:r>
    </w:p>
    <w:p w:rsidR="0002740D" w:rsidRPr="00007D45" w:rsidRDefault="0002740D" w:rsidP="0002740D">
      <w:pPr>
        <w:pStyle w:val="H23G"/>
        <w:rPr>
          <w:lang w:val="fr-CH"/>
        </w:rPr>
      </w:pPr>
      <w:r w:rsidRPr="00007D45">
        <w:rPr>
          <w:lang w:val="fr-CH"/>
        </w:rPr>
        <w:tab/>
        <w:t>1.</w:t>
      </w:r>
      <w:r w:rsidRPr="00007D45">
        <w:rPr>
          <w:lang w:val="fr-CH"/>
        </w:rPr>
        <w:tab/>
        <w:t>Chapitre 1.8, 1.8.5.3 a)</w:t>
      </w:r>
    </w:p>
    <w:p w:rsidR="0002740D" w:rsidRPr="00007D45" w:rsidRDefault="0002740D" w:rsidP="0002740D">
      <w:pPr>
        <w:pStyle w:val="SingleTxtG"/>
        <w:rPr>
          <w:lang w:val="fr-CH"/>
        </w:rPr>
      </w:pPr>
      <w:r>
        <w:rPr>
          <w:i/>
          <w:iCs/>
          <w:lang w:val="fr-FR"/>
        </w:rPr>
        <w:t xml:space="preserve">Substituer </w:t>
      </w:r>
      <w:r>
        <w:rPr>
          <w:lang w:val="fr-FR"/>
        </w:rPr>
        <w:t>au texte existant:</w:t>
      </w:r>
    </w:p>
    <w:p w:rsidR="0002740D" w:rsidRPr="00007D45" w:rsidRDefault="0002740D" w:rsidP="0002740D">
      <w:pPr>
        <w:pStyle w:val="SingleTxtG"/>
        <w:rPr>
          <w:lang w:val="fr-CH"/>
        </w:rPr>
      </w:pPr>
      <w:r w:rsidRPr="00007D45">
        <w:rPr>
          <w:lang w:val="fr-CH"/>
        </w:rPr>
        <w:t>a)</w:t>
      </w:r>
      <w:r w:rsidRPr="00007D45">
        <w:rPr>
          <w:lang w:val="fr-CH"/>
        </w:rPr>
        <w:tab/>
        <w:t>Des classes 1 ou 2 ou du groupe d’emballage I ou d’autres matières qui ne sont pas affectées à un groupe d’emballage, dans des quantités égales ou supérieures à 50 kg ou 50 litres;</w:t>
      </w:r>
    </w:p>
    <w:p w:rsidR="0002740D" w:rsidRPr="00007D45" w:rsidRDefault="0002740D" w:rsidP="0002740D">
      <w:pPr>
        <w:pStyle w:val="SingleTxtG"/>
        <w:rPr>
          <w:lang w:val="fr-CH"/>
        </w:rPr>
      </w:pPr>
      <w:r w:rsidRPr="00007D45">
        <w:rPr>
          <w:i/>
          <w:lang w:val="fr-CH"/>
        </w:rPr>
        <w:t>(Document de référence: document informel INF.15)</w:t>
      </w:r>
    </w:p>
    <w:p w:rsidR="0002740D" w:rsidRPr="00007D45" w:rsidRDefault="0002740D" w:rsidP="0002740D">
      <w:pPr>
        <w:pStyle w:val="H23G"/>
        <w:rPr>
          <w:lang w:val="fr-CH"/>
        </w:rPr>
      </w:pPr>
      <w:bookmarkStart w:id="8" w:name="_Hlk523159597"/>
      <w:r w:rsidRPr="00007D45">
        <w:rPr>
          <w:lang w:val="fr-CH"/>
        </w:rPr>
        <w:tab/>
        <w:t>2.</w:t>
      </w:r>
      <w:r w:rsidRPr="00007D45">
        <w:rPr>
          <w:lang w:val="fr-CH"/>
        </w:rPr>
        <w:tab/>
        <w:t>Chapitre 3.2, Tableau C, No ONU 1203, colonne (2), toutes les rubriques</w:t>
      </w:r>
    </w:p>
    <w:p w:rsidR="0002740D" w:rsidRPr="00007D45" w:rsidRDefault="0002740D" w:rsidP="0002740D">
      <w:pPr>
        <w:pStyle w:val="SingleTxtG"/>
        <w:rPr>
          <w:lang w:val="fr-CH"/>
        </w:rPr>
      </w:pPr>
      <w:r w:rsidRPr="00007D45">
        <w:rPr>
          <w:i/>
          <w:iCs/>
          <w:lang w:val="fr-CH"/>
        </w:rPr>
        <w:t>A la place de</w:t>
      </w:r>
      <w:r w:rsidRPr="00007D45">
        <w:rPr>
          <w:lang w:val="fr-CH"/>
        </w:rPr>
        <w:t xml:space="preserve"> ESSENCE POUR MOTEURS D’AUTOMOBILES </w:t>
      </w:r>
      <w:r w:rsidRPr="00007D45">
        <w:rPr>
          <w:i/>
          <w:iCs/>
          <w:lang w:val="fr-CH"/>
        </w:rPr>
        <w:t>lire</w:t>
      </w:r>
      <w:r w:rsidRPr="00007D45">
        <w:rPr>
          <w:lang w:val="fr-CH"/>
        </w:rPr>
        <w:t xml:space="preserve"> ESSENCE</w:t>
      </w:r>
    </w:p>
    <w:p w:rsidR="0002740D" w:rsidRPr="00007D45" w:rsidRDefault="0002740D" w:rsidP="0002740D">
      <w:pPr>
        <w:pStyle w:val="SingleTxtG"/>
        <w:rPr>
          <w:lang w:val="fr-CH"/>
        </w:rPr>
      </w:pPr>
      <w:r>
        <w:rPr>
          <w:i/>
          <w:lang w:val="fr-FR"/>
        </w:rPr>
        <w:t>(Document de référence: ECE/TRANS/WP.15/AC.2/2018/41)</w:t>
      </w:r>
      <w:bookmarkEnd w:id="8"/>
    </w:p>
    <w:p w:rsidR="0002740D" w:rsidRPr="00007D45" w:rsidRDefault="0002740D" w:rsidP="0002740D">
      <w:pPr>
        <w:pStyle w:val="H23G"/>
        <w:rPr>
          <w:lang w:val="fr-CH"/>
        </w:rPr>
      </w:pPr>
      <w:r w:rsidRPr="00007D45">
        <w:rPr>
          <w:lang w:val="fr-CH"/>
        </w:rPr>
        <w:tab/>
        <w:t>3.</w:t>
      </w:r>
      <w:r w:rsidRPr="00007D45">
        <w:rPr>
          <w:lang w:val="fr-CH"/>
        </w:rPr>
        <w:tab/>
        <w:t>Chapitre 5.4, 5.4.1.1.3</w:t>
      </w:r>
    </w:p>
    <w:p w:rsidR="0002740D" w:rsidRPr="00007D45" w:rsidRDefault="0002740D" w:rsidP="0002740D">
      <w:pPr>
        <w:pStyle w:val="SingleTxtG"/>
        <w:rPr>
          <w:lang w:val="fr-CH"/>
        </w:rPr>
      </w:pPr>
      <w:r w:rsidRPr="00007D45">
        <w:rPr>
          <w:i/>
          <w:iCs/>
          <w:lang w:val="fr-CH"/>
        </w:rPr>
        <w:t>A la place de</w:t>
      </w:r>
      <w:r w:rsidRPr="00007D45">
        <w:rPr>
          <w:lang w:val="fr-CH"/>
        </w:rPr>
        <w:t xml:space="preserve"> </w:t>
      </w:r>
    </w:p>
    <w:p w:rsidR="0002740D" w:rsidRPr="00007D45" w:rsidRDefault="0002740D" w:rsidP="0002740D">
      <w:pPr>
        <w:pStyle w:val="SingleTxtG"/>
        <w:rPr>
          <w:lang w:val="fr-CH"/>
        </w:rPr>
      </w:pPr>
      <w:r w:rsidRPr="00007D45">
        <w:rPr>
          <w:lang w:val="fr-CH"/>
        </w:rPr>
        <w:t>"DÉCHETS CONFORMES AU 2.1.3.5.5" (par exemple "No ONU 3264, LIQUIDE INORGANIQUE, CORROSIF, ACIDE, N.S.A., 8, II, (E), DÉCHETS CONFORMES AU 2.1.3.5.5")</w:t>
      </w:r>
    </w:p>
    <w:p w:rsidR="0002740D" w:rsidRPr="00007D45" w:rsidRDefault="0002740D" w:rsidP="0002740D">
      <w:pPr>
        <w:pStyle w:val="SingleTxtG"/>
        <w:rPr>
          <w:lang w:val="fr-CH"/>
        </w:rPr>
      </w:pPr>
      <w:r w:rsidRPr="00007D45">
        <w:rPr>
          <w:i/>
          <w:iCs/>
          <w:lang w:val="fr-CH"/>
        </w:rPr>
        <w:t>lire</w:t>
      </w:r>
      <w:r w:rsidRPr="00007D45">
        <w:rPr>
          <w:lang w:val="fr-CH"/>
        </w:rPr>
        <w:t xml:space="preserve"> </w:t>
      </w:r>
    </w:p>
    <w:p w:rsidR="0002740D" w:rsidRPr="00007D45" w:rsidRDefault="0002740D" w:rsidP="0002740D">
      <w:pPr>
        <w:pStyle w:val="SingleTxtG"/>
        <w:rPr>
          <w:lang w:val="fr-CH"/>
        </w:rPr>
      </w:pPr>
      <w:r w:rsidRPr="00007D45">
        <w:rPr>
          <w:lang w:val="fr-CH"/>
        </w:rPr>
        <w:t>"DÉCHETS CONFORMES AU 2.1.3.5.5" (par exemple "UN 3264, LIQUIDE INORGANIQUE, CORROSIF, ACIDE, N.S.A., 8, II, (E), DÉCHETS CONFORMES AU 2.1.3.5.5")</w:t>
      </w:r>
    </w:p>
    <w:p w:rsidR="0002740D" w:rsidRPr="00007D45" w:rsidRDefault="0002740D" w:rsidP="0002740D">
      <w:pPr>
        <w:pStyle w:val="SingleTxtG"/>
        <w:rPr>
          <w:lang w:val="fr-CH"/>
        </w:rPr>
      </w:pPr>
      <w:r w:rsidRPr="00007D45">
        <w:rPr>
          <w:i/>
          <w:lang w:val="fr-CH"/>
        </w:rPr>
        <w:t>(Document de référence: document informel INF.13)</w:t>
      </w:r>
    </w:p>
    <w:p w:rsidR="0002740D" w:rsidRPr="00007D45" w:rsidRDefault="0002740D" w:rsidP="0002740D">
      <w:pPr>
        <w:pStyle w:val="H23G"/>
        <w:rPr>
          <w:lang w:val="fr-CH"/>
        </w:rPr>
      </w:pPr>
      <w:r w:rsidRPr="00007D45">
        <w:rPr>
          <w:lang w:val="fr-CH"/>
        </w:rPr>
        <w:tab/>
        <w:t>4.</w:t>
      </w:r>
      <w:r w:rsidRPr="00007D45">
        <w:rPr>
          <w:lang w:val="fr-CH"/>
        </w:rPr>
        <w:tab/>
        <w:t>Chapitre 5.4, 5.4.2, titre</w:t>
      </w:r>
    </w:p>
    <w:p w:rsidR="0002740D" w:rsidRDefault="0002740D" w:rsidP="0002740D">
      <w:pPr>
        <w:pStyle w:val="SingleTxtG"/>
        <w:rPr>
          <w:highlight w:val="yellow"/>
          <w:lang w:val="fr-FR"/>
        </w:rPr>
      </w:pPr>
      <w:r>
        <w:rPr>
          <w:i/>
          <w:iCs/>
          <w:lang w:val="fr-FR"/>
        </w:rPr>
        <w:t xml:space="preserve">A la place de </w:t>
      </w:r>
      <w:r w:rsidRPr="00007D45">
        <w:rPr>
          <w:lang w:val="fr-CH"/>
        </w:rPr>
        <w:t>Certificat d’empotage du conteneur, du véhicule ou du wagon</w:t>
      </w:r>
      <w:r>
        <w:rPr>
          <w:lang w:val="fr-FR"/>
        </w:rPr>
        <w:t xml:space="preserve"> </w:t>
      </w:r>
      <w:r>
        <w:rPr>
          <w:i/>
          <w:iCs/>
          <w:lang w:val="fr-FR"/>
        </w:rPr>
        <w:t>lire</w:t>
      </w:r>
      <w:r>
        <w:rPr>
          <w:lang w:val="fr-FR"/>
        </w:rPr>
        <w:t xml:space="preserve"> </w:t>
      </w:r>
      <w:r w:rsidRPr="00007D45">
        <w:rPr>
          <w:lang w:val="fr-CH"/>
        </w:rPr>
        <w:t>Certificat d’empotage du conteneur ou du véhicule</w:t>
      </w:r>
    </w:p>
    <w:p w:rsidR="0002740D" w:rsidRDefault="0002740D" w:rsidP="0002740D">
      <w:pPr>
        <w:pStyle w:val="SingleTxtG"/>
        <w:rPr>
          <w:i/>
          <w:lang w:val="fr-FR"/>
        </w:rPr>
      </w:pPr>
      <w:r>
        <w:rPr>
          <w:i/>
          <w:lang w:val="fr-FR"/>
        </w:rPr>
        <w:t>(Document de référence: ECE/TRANS/WP.15/AC.2/2018/28)</w:t>
      </w:r>
    </w:p>
    <w:p w:rsidR="0002740D" w:rsidRPr="00007D45" w:rsidRDefault="0002740D" w:rsidP="0002740D">
      <w:pPr>
        <w:pStyle w:val="H23G"/>
        <w:rPr>
          <w:lang w:val="fr-CH"/>
        </w:rPr>
      </w:pPr>
      <w:r w:rsidRPr="00007D45">
        <w:rPr>
          <w:lang w:val="fr-CH"/>
        </w:rPr>
        <w:tab/>
        <w:t>5.</w:t>
      </w:r>
      <w:r w:rsidRPr="00007D45">
        <w:rPr>
          <w:lang w:val="fr-CH"/>
        </w:rPr>
        <w:tab/>
        <w:t>Chapitre 8.1, 8.1.2.1 b)</w:t>
      </w:r>
    </w:p>
    <w:p w:rsidR="0002740D" w:rsidRPr="00007D45" w:rsidRDefault="0002740D" w:rsidP="0002740D">
      <w:pPr>
        <w:pStyle w:val="SingleTxtG"/>
        <w:rPr>
          <w:lang w:val="fr-CH"/>
        </w:rPr>
      </w:pPr>
      <w:r w:rsidRPr="00007D45">
        <w:rPr>
          <w:i/>
          <w:iCs/>
          <w:lang w:val="fr-CH"/>
        </w:rPr>
        <w:t>A la place de</w:t>
      </w:r>
      <w:r w:rsidRPr="00007D45">
        <w:rPr>
          <w:lang w:val="fr-CH"/>
        </w:rPr>
        <w:t xml:space="preserve"> certificat d’empotage du grand conteneur, du véhicule ou du wagon (voir 5.4.2) </w:t>
      </w:r>
      <w:r w:rsidRPr="00007D45">
        <w:rPr>
          <w:i/>
          <w:iCs/>
          <w:lang w:val="fr-CH"/>
        </w:rPr>
        <w:t>lire</w:t>
      </w:r>
      <w:r w:rsidRPr="00007D45">
        <w:rPr>
          <w:lang w:val="fr-CH"/>
        </w:rPr>
        <w:t xml:space="preserve"> certificat d’empotage du conteneur ou du véhicule (voir 5.4.2)</w:t>
      </w:r>
    </w:p>
    <w:p w:rsidR="0002740D" w:rsidRPr="00007D45" w:rsidRDefault="0002740D" w:rsidP="0002740D">
      <w:pPr>
        <w:pStyle w:val="SingleTxtG"/>
        <w:rPr>
          <w:lang w:val="fr-CH"/>
        </w:rPr>
      </w:pPr>
      <w:r>
        <w:rPr>
          <w:i/>
          <w:lang w:val="fr-FR"/>
        </w:rPr>
        <w:t>(Document de référence: ECE/TRANS/WP.15/AC.2/2018/28)</w:t>
      </w:r>
    </w:p>
    <w:p w:rsidR="0002740D" w:rsidRDefault="0002740D">
      <w:pPr>
        <w:suppressAutoHyphens w:val="0"/>
        <w:spacing w:line="240" w:lineRule="auto"/>
        <w:rPr>
          <w:rFonts w:eastAsiaTheme="minorEastAsia"/>
          <w:b/>
          <w:sz w:val="28"/>
          <w:lang w:val="fr-CH" w:eastAsia="zh-CN"/>
        </w:rPr>
      </w:pPr>
      <w:r>
        <w:rPr>
          <w:lang w:val="fr-CH"/>
        </w:rPr>
        <w:br w:type="page"/>
      </w:r>
    </w:p>
    <w:p w:rsidR="00007D45" w:rsidRDefault="00C01628" w:rsidP="00007D45">
      <w:pPr>
        <w:pStyle w:val="HChG"/>
        <w:rPr>
          <w:lang w:val="fr-CH"/>
        </w:rPr>
      </w:pPr>
      <w:r>
        <w:rPr>
          <w:lang w:val="fr-CH"/>
        </w:rPr>
        <w:lastRenderedPageBreak/>
        <w:tab/>
      </w:r>
      <w:r w:rsidR="00007D45" w:rsidRPr="006B1D2D">
        <w:rPr>
          <w:lang w:val="fr-CH"/>
        </w:rPr>
        <w:t>A</w:t>
      </w:r>
      <w:r w:rsidR="0002740D">
        <w:rPr>
          <w:lang w:val="fr-CH"/>
        </w:rPr>
        <w:t xml:space="preserve">nnexe </w:t>
      </w:r>
      <w:r w:rsidR="00007D45">
        <w:rPr>
          <w:lang w:val="fr-CH"/>
        </w:rPr>
        <w:t>V</w:t>
      </w:r>
    </w:p>
    <w:p w:rsidR="00EC62EF" w:rsidRPr="00EC62EF" w:rsidRDefault="00EC62EF" w:rsidP="00EC62EF">
      <w:pPr>
        <w:jc w:val="right"/>
        <w:rPr>
          <w:lang w:val="fr-CH" w:eastAsia="zh-CN"/>
        </w:rPr>
      </w:pPr>
      <w:r>
        <w:t>[Original: anglais et français]</w:t>
      </w:r>
      <w:bookmarkStart w:id="9" w:name="_GoBack"/>
      <w:bookmarkEnd w:id="9"/>
    </w:p>
    <w:p w:rsidR="00007D45" w:rsidRDefault="00007D45" w:rsidP="00007D45">
      <w:pPr>
        <w:pStyle w:val="HChG"/>
        <w:rPr>
          <w:sz w:val="22"/>
          <w:szCs w:val="22"/>
          <w:lang w:val="fr-FR"/>
        </w:rPr>
      </w:pPr>
      <w:r w:rsidRPr="00007D45">
        <w:rPr>
          <w:lang w:val="fr-CH"/>
        </w:rPr>
        <w:tab/>
      </w:r>
      <w:r>
        <w:rPr>
          <w:lang w:val="fr-FR"/>
        </w:rPr>
        <w:tab/>
        <w:t xml:space="preserve">Corrections au document ECE/TRANS/258 (publication ADN 2017) </w:t>
      </w:r>
      <w:r>
        <w:rPr>
          <w:b w:val="0"/>
          <w:sz w:val="22"/>
          <w:szCs w:val="22"/>
          <w:lang w:val="fr-FR"/>
        </w:rPr>
        <w:t>(ne nécessitant pas l’acceptation par les Parties contractantes)</w:t>
      </w:r>
    </w:p>
    <w:p w:rsidR="00007D45" w:rsidRDefault="00007D45" w:rsidP="00007D45">
      <w:pPr>
        <w:pStyle w:val="H23G"/>
        <w:rPr>
          <w:lang w:val="fr-FR"/>
        </w:rPr>
      </w:pPr>
      <w:r>
        <w:rPr>
          <w:lang w:val="fr-FR"/>
        </w:rPr>
        <w:tab/>
      </w:r>
      <w:r>
        <w:rPr>
          <w:lang w:val="fr-FR"/>
        </w:rPr>
        <w:tab/>
        <w:t>Table des matières</w:t>
      </w:r>
    </w:p>
    <w:p w:rsidR="00007D45" w:rsidRDefault="00007D45" w:rsidP="00007D45">
      <w:pPr>
        <w:pStyle w:val="SingleTxtG"/>
        <w:rPr>
          <w:highlight w:val="yellow"/>
          <w:lang w:val="fr-FR"/>
        </w:rPr>
      </w:pPr>
      <w:r>
        <w:rPr>
          <w:i/>
          <w:iCs/>
          <w:lang w:val="fr-FR"/>
        </w:rPr>
        <w:t xml:space="preserve">A la place de </w:t>
      </w:r>
      <w:r w:rsidRPr="00007D45">
        <w:rPr>
          <w:lang w:val="fr-CH"/>
        </w:rPr>
        <w:t>5.4.2 Certificat d’empotage du grand conteneur, du véhicule ou du wagon</w:t>
      </w:r>
      <w:r>
        <w:rPr>
          <w:lang w:val="fr-FR"/>
        </w:rPr>
        <w:t xml:space="preserve"> </w:t>
      </w:r>
      <w:r>
        <w:rPr>
          <w:i/>
          <w:iCs/>
          <w:lang w:val="fr-FR"/>
        </w:rPr>
        <w:t>lire</w:t>
      </w:r>
      <w:r>
        <w:rPr>
          <w:lang w:val="fr-FR"/>
        </w:rPr>
        <w:t xml:space="preserve"> </w:t>
      </w:r>
      <w:r w:rsidRPr="00007D45">
        <w:rPr>
          <w:lang w:val="fr-CH"/>
        </w:rPr>
        <w:t>5.4.2 Certificat d’empotage du conteneur ou du véhicule</w:t>
      </w:r>
    </w:p>
    <w:p w:rsidR="00007D45" w:rsidRDefault="00007D45" w:rsidP="00007D45">
      <w:pPr>
        <w:pStyle w:val="SingleTxtG"/>
        <w:rPr>
          <w:i/>
          <w:lang w:val="fr-FR"/>
        </w:rPr>
      </w:pPr>
      <w:r>
        <w:rPr>
          <w:i/>
          <w:lang w:val="fr-FR"/>
        </w:rPr>
        <w:t>(Document de référence: ECE/TRANS/WP.15/AC.2/2018/28)</w:t>
      </w:r>
    </w:p>
    <w:p w:rsidR="00007D45" w:rsidRPr="00007D45" w:rsidRDefault="00007D45" w:rsidP="00007D45">
      <w:pPr>
        <w:keepNext/>
        <w:keepLines/>
        <w:tabs>
          <w:tab w:val="right" w:pos="851"/>
        </w:tabs>
        <w:spacing w:before="240" w:after="120" w:line="240" w:lineRule="exact"/>
        <w:ind w:left="1134" w:right="1134" w:hanging="1134"/>
        <w:rPr>
          <w:b/>
          <w:lang w:val="fr-CH"/>
        </w:rPr>
      </w:pPr>
      <w:r>
        <w:rPr>
          <w:b/>
          <w:lang w:val="fr-FR"/>
        </w:rPr>
        <w:tab/>
      </w:r>
      <w:r>
        <w:rPr>
          <w:b/>
          <w:lang w:val="fr-FR"/>
        </w:rPr>
        <w:tab/>
      </w:r>
      <w:r w:rsidRPr="00007D45">
        <w:rPr>
          <w:b/>
          <w:lang w:val="fr-CH"/>
        </w:rPr>
        <w:t xml:space="preserve">Chapitre 9.1, </w:t>
      </w:r>
      <w:r w:rsidRPr="00007D45">
        <w:rPr>
          <w:b/>
          <w:bCs/>
          <w:lang w:val="fr-CH"/>
        </w:rPr>
        <w:t>9.1.0.41.3 and 9.2.0.41.3</w:t>
      </w:r>
    </w:p>
    <w:p w:rsidR="00007D45" w:rsidRPr="00007D45" w:rsidRDefault="00007D45" w:rsidP="00007D45">
      <w:pPr>
        <w:pStyle w:val="SingleTxtG"/>
        <w:rPr>
          <w:lang w:val="fr-CH"/>
        </w:rPr>
      </w:pPr>
      <w:r w:rsidRPr="00007D45">
        <w:rPr>
          <w:lang w:val="fr-CH"/>
        </w:rPr>
        <w:t xml:space="preserve">Sans objet en </w:t>
      </w:r>
      <w:r>
        <w:rPr>
          <w:lang w:val="fr-FR"/>
        </w:rPr>
        <w:t>français.</w:t>
      </w:r>
    </w:p>
    <w:p w:rsidR="00007D45" w:rsidRPr="00007D45" w:rsidRDefault="00007D45" w:rsidP="00007D45">
      <w:pPr>
        <w:pStyle w:val="SingleTxtG"/>
        <w:rPr>
          <w:lang w:val="fr-CH"/>
        </w:rPr>
      </w:pPr>
      <w:r w:rsidRPr="00007D45">
        <w:rPr>
          <w:i/>
          <w:lang w:val="fr-CH"/>
        </w:rPr>
        <w:t>(Document de référence: ECE/TRANS/WP.15/AC.2/2018/26)</w:t>
      </w:r>
    </w:p>
    <w:p w:rsidR="00007D45" w:rsidRPr="00007D45" w:rsidRDefault="00007D45" w:rsidP="00007D45">
      <w:pPr>
        <w:spacing w:before="240"/>
        <w:ind w:left="1134" w:right="1134"/>
        <w:jc w:val="center"/>
        <w:rPr>
          <w:i/>
          <w:iCs/>
          <w:u w:val="single"/>
          <w:lang w:val="fr-CH"/>
        </w:rPr>
      </w:pPr>
      <w:bookmarkStart w:id="10" w:name="_Hlk523831864"/>
      <w:r w:rsidRPr="00007D45">
        <w:rPr>
          <w:i/>
          <w:iCs/>
          <w:u w:val="single"/>
          <w:lang w:val="fr-CH"/>
        </w:rPr>
        <w:tab/>
      </w:r>
      <w:r w:rsidRPr="00007D45">
        <w:rPr>
          <w:i/>
          <w:iCs/>
          <w:u w:val="single"/>
          <w:lang w:val="fr-CH"/>
        </w:rPr>
        <w:tab/>
      </w:r>
      <w:r w:rsidRPr="00007D45">
        <w:rPr>
          <w:i/>
          <w:iCs/>
          <w:u w:val="single"/>
          <w:lang w:val="fr-CH"/>
        </w:rPr>
        <w:tab/>
      </w:r>
    </w:p>
    <w:bookmarkEnd w:id="10"/>
    <w:p w:rsidR="00DD396E" w:rsidRPr="00007D45" w:rsidRDefault="00DD396E">
      <w:pPr>
        <w:rPr>
          <w:lang w:val="fr-CH"/>
        </w:rPr>
      </w:pPr>
    </w:p>
    <w:sectPr w:rsidR="00DD396E" w:rsidRPr="00007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40D" w:rsidRDefault="0002740D" w:rsidP="0002740D">
      <w:pPr>
        <w:spacing w:line="240" w:lineRule="auto"/>
      </w:pPr>
      <w:r>
        <w:separator/>
      </w:r>
    </w:p>
  </w:endnote>
  <w:endnote w:type="continuationSeparator" w:id="0">
    <w:p w:rsidR="0002740D" w:rsidRDefault="0002740D" w:rsidP="00027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DejaVu Sans">
    <w:altName w:val="Arial"/>
    <w:charset w:val="00"/>
    <w:family w:val="swiss"/>
    <w:pitch w:val="variable"/>
    <w:sig w:usb0="E7002EFF" w:usb1="D200FDFF" w:usb2="0A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40D" w:rsidRDefault="0002740D" w:rsidP="0002740D">
      <w:pPr>
        <w:spacing w:line="240" w:lineRule="auto"/>
      </w:pPr>
      <w:r>
        <w:separator/>
      </w:r>
    </w:p>
  </w:footnote>
  <w:footnote w:type="continuationSeparator" w:id="0">
    <w:p w:rsidR="0002740D" w:rsidRDefault="0002740D" w:rsidP="000274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2"/>
    <w:rsid w:val="00007D45"/>
    <w:rsid w:val="0002740D"/>
    <w:rsid w:val="00080503"/>
    <w:rsid w:val="000928EA"/>
    <w:rsid w:val="000C0332"/>
    <w:rsid w:val="002034CE"/>
    <w:rsid w:val="00336835"/>
    <w:rsid w:val="0034725A"/>
    <w:rsid w:val="003C10B9"/>
    <w:rsid w:val="004A3920"/>
    <w:rsid w:val="004B5A77"/>
    <w:rsid w:val="0056675C"/>
    <w:rsid w:val="005A2740"/>
    <w:rsid w:val="00637045"/>
    <w:rsid w:val="00767D42"/>
    <w:rsid w:val="007F22B2"/>
    <w:rsid w:val="007F517A"/>
    <w:rsid w:val="00850CE8"/>
    <w:rsid w:val="0087727F"/>
    <w:rsid w:val="00930F93"/>
    <w:rsid w:val="009D77B2"/>
    <w:rsid w:val="00B51D7A"/>
    <w:rsid w:val="00BD5FAF"/>
    <w:rsid w:val="00C01628"/>
    <w:rsid w:val="00C178A4"/>
    <w:rsid w:val="00C65283"/>
    <w:rsid w:val="00C80095"/>
    <w:rsid w:val="00CA2062"/>
    <w:rsid w:val="00DD396E"/>
    <w:rsid w:val="00DF08D9"/>
    <w:rsid w:val="00E70748"/>
    <w:rsid w:val="00EC62EF"/>
    <w:rsid w:val="00FE2298"/>
    <w:rsid w:val="00FF54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15541F"/>
  <w15:chartTrackingRefBased/>
  <w15:docId w15:val="{92D155DB-2D45-4EFA-ACF9-4015656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D45"/>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rPr>
      <w:rFonts w:eastAsiaTheme="minorEastAsia"/>
      <w:lang w:eastAsia="zh-CN"/>
    </w:rPr>
  </w:style>
  <w:style w:type="paragraph" w:styleId="Heading3">
    <w:name w:val="heading 3"/>
    <w:basedOn w:val="Normal"/>
    <w:next w:val="Normal"/>
    <w:link w:val="Heading3Char"/>
    <w:qFormat/>
    <w:rsid w:val="00C65283"/>
    <w:pPr>
      <w:spacing w:line="240" w:lineRule="auto"/>
      <w:outlineLvl w:val="2"/>
    </w:pPr>
    <w:rPr>
      <w:rFonts w:eastAsiaTheme="minorEastAsia"/>
      <w:lang w:eastAsia="zh-CN"/>
    </w:rPr>
  </w:style>
  <w:style w:type="paragraph" w:styleId="Heading4">
    <w:name w:val="heading 4"/>
    <w:basedOn w:val="Normal"/>
    <w:next w:val="Normal"/>
    <w:link w:val="Heading4Char"/>
    <w:qFormat/>
    <w:rsid w:val="00C65283"/>
    <w:pPr>
      <w:spacing w:line="240" w:lineRule="auto"/>
      <w:outlineLvl w:val="3"/>
    </w:pPr>
    <w:rPr>
      <w:rFonts w:eastAsiaTheme="minorEastAsia"/>
      <w:lang w:eastAsia="zh-CN"/>
    </w:rPr>
  </w:style>
  <w:style w:type="paragraph" w:styleId="Heading5">
    <w:name w:val="heading 5"/>
    <w:basedOn w:val="Normal"/>
    <w:next w:val="Normal"/>
    <w:link w:val="Heading5Char"/>
    <w:qFormat/>
    <w:rsid w:val="00C65283"/>
    <w:pPr>
      <w:spacing w:line="240" w:lineRule="auto"/>
      <w:outlineLvl w:val="4"/>
    </w:pPr>
    <w:rPr>
      <w:rFonts w:eastAsiaTheme="minorEastAsia"/>
      <w:lang w:eastAsia="zh-CN"/>
    </w:rPr>
  </w:style>
  <w:style w:type="paragraph" w:styleId="Heading6">
    <w:name w:val="heading 6"/>
    <w:basedOn w:val="Normal"/>
    <w:next w:val="Normal"/>
    <w:link w:val="Heading6Char"/>
    <w:qFormat/>
    <w:rsid w:val="00C65283"/>
    <w:pPr>
      <w:spacing w:line="240" w:lineRule="auto"/>
      <w:outlineLvl w:val="5"/>
    </w:pPr>
    <w:rPr>
      <w:rFonts w:eastAsiaTheme="minorEastAsia"/>
      <w:lang w:eastAsia="zh-CN"/>
    </w:rPr>
  </w:style>
  <w:style w:type="paragraph" w:styleId="Heading7">
    <w:name w:val="heading 7"/>
    <w:basedOn w:val="Normal"/>
    <w:next w:val="Normal"/>
    <w:link w:val="Heading7Char"/>
    <w:qFormat/>
    <w:rsid w:val="00C65283"/>
    <w:pPr>
      <w:spacing w:line="240" w:lineRule="auto"/>
      <w:outlineLvl w:val="6"/>
    </w:pPr>
    <w:rPr>
      <w:rFonts w:eastAsiaTheme="minorEastAsia"/>
      <w:lang w:eastAsia="zh-CN"/>
    </w:rPr>
  </w:style>
  <w:style w:type="paragraph" w:styleId="Heading8">
    <w:name w:val="heading 8"/>
    <w:basedOn w:val="Normal"/>
    <w:next w:val="Normal"/>
    <w:link w:val="Heading8Char"/>
    <w:qFormat/>
    <w:rsid w:val="00C65283"/>
    <w:pPr>
      <w:spacing w:line="240" w:lineRule="auto"/>
      <w:outlineLvl w:val="7"/>
    </w:pPr>
    <w:rPr>
      <w:rFonts w:eastAsiaTheme="minorEastAsia"/>
      <w:lang w:eastAsia="zh-CN"/>
    </w:rPr>
  </w:style>
  <w:style w:type="paragraph" w:styleId="Heading9">
    <w:name w:val="heading 9"/>
    <w:basedOn w:val="Normal"/>
    <w:next w:val="Normal"/>
    <w:link w:val="Heading9Char"/>
    <w:qFormat/>
    <w:rsid w:val="00C65283"/>
    <w:pPr>
      <w:spacing w:line="240" w:lineRule="auto"/>
      <w:outlineLvl w:val="8"/>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rFonts w:eastAsiaTheme="minorEastAsia"/>
      <w:b/>
      <w:sz w:val="34"/>
      <w:lang w:eastAsia="zh-CN"/>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rFonts w:eastAsiaTheme="minorEastAsia"/>
      <w:b/>
      <w:sz w:val="28"/>
      <w:lang w:eastAsia="zh-CN"/>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rFonts w:eastAsiaTheme="minorEastAsia"/>
      <w:b/>
      <w:sz w:val="24"/>
      <w:lang w:eastAsia="zh-CN"/>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rFonts w:eastAsiaTheme="minorEastAsia"/>
      <w:b/>
      <w:lang w:eastAsia="zh-CN"/>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rFonts w:eastAsiaTheme="minorEastAsia"/>
      <w:i/>
      <w:lang w:eastAsia="zh-CN"/>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rPr>
      <w:rFonts w:eastAsiaTheme="minorEastAsia"/>
      <w:lang w:eastAsia="zh-CN"/>
    </w:rPr>
  </w:style>
  <w:style w:type="paragraph" w:customStyle="1" w:styleId="SingleTxtG">
    <w:name w:val="_ Single Txt_G"/>
    <w:basedOn w:val="Normal"/>
    <w:link w:val="SingleTxtGChar"/>
    <w:qFormat/>
    <w:rsid w:val="00930F93"/>
    <w:pPr>
      <w:spacing w:after="120"/>
      <w:ind w:left="1134" w:right="1134"/>
      <w:jc w:val="both"/>
    </w:pPr>
    <w:rPr>
      <w:rFonts w:eastAsiaTheme="minorEastAsia"/>
      <w:lang w:eastAsia="zh-CN"/>
    </w:rPr>
  </w:style>
  <w:style w:type="paragraph" w:customStyle="1" w:styleId="SLG">
    <w:name w:val="__S_L_G"/>
    <w:basedOn w:val="Normal"/>
    <w:next w:val="Normal"/>
    <w:rsid w:val="00930F93"/>
    <w:pPr>
      <w:keepNext/>
      <w:keepLines/>
      <w:spacing w:before="240" w:after="240" w:line="580" w:lineRule="exact"/>
      <w:ind w:left="1134" w:right="1134"/>
    </w:pPr>
    <w:rPr>
      <w:rFonts w:eastAsiaTheme="minorEastAsia"/>
      <w:b/>
      <w:sz w:val="56"/>
      <w:lang w:eastAsia="zh-CN"/>
    </w:rPr>
  </w:style>
  <w:style w:type="paragraph" w:customStyle="1" w:styleId="SMG">
    <w:name w:val="__S_M_G"/>
    <w:basedOn w:val="Normal"/>
    <w:next w:val="Normal"/>
    <w:rsid w:val="00930F93"/>
    <w:pPr>
      <w:keepNext/>
      <w:keepLines/>
      <w:spacing w:before="240" w:after="240" w:line="420" w:lineRule="exact"/>
      <w:ind w:left="1134" w:right="1134"/>
    </w:pPr>
    <w:rPr>
      <w:rFonts w:eastAsiaTheme="minorEastAsia"/>
      <w:b/>
      <w:sz w:val="40"/>
      <w:lang w:eastAsia="zh-CN"/>
    </w:rPr>
  </w:style>
  <w:style w:type="paragraph" w:customStyle="1" w:styleId="SSG">
    <w:name w:val="__S_S_G"/>
    <w:basedOn w:val="Normal"/>
    <w:next w:val="Normal"/>
    <w:rsid w:val="00930F93"/>
    <w:pPr>
      <w:keepNext/>
      <w:keepLines/>
      <w:spacing w:before="240" w:after="240" w:line="300" w:lineRule="exact"/>
      <w:ind w:left="1134" w:right="1134"/>
    </w:pPr>
    <w:rPr>
      <w:rFonts w:eastAsiaTheme="minorEastAsia"/>
      <w:b/>
      <w:sz w:val="28"/>
      <w:lang w:eastAsia="zh-CN"/>
    </w:rPr>
  </w:style>
  <w:style w:type="paragraph" w:customStyle="1" w:styleId="XLargeG">
    <w:name w:val="__XLarge_G"/>
    <w:basedOn w:val="Normal"/>
    <w:next w:val="Normal"/>
    <w:rsid w:val="00930F93"/>
    <w:pPr>
      <w:keepNext/>
      <w:keepLines/>
      <w:spacing w:before="240" w:after="240" w:line="420" w:lineRule="exact"/>
      <w:ind w:left="1134" w:right="1134"/>
    </w:pPr>
    <w:rPr>
      <w:rFonts w:eastAsiaTheme="minorEastAsia"/>
      <w:b/>
      <w:sz w:val="40"/>
      <w:lang w:eastAsia="zh-CN"/>
    </w:rPr>
  </w:style>
  <w:style w:type="paragraph" w:customStyle="1" w:styleId="Bullet1G">
    <w:name w:val="_Bullet 1_G"/>
    <w:basedOn w:val="Normal"/>
    <w:rsid w:val="00930F93"/>
    <w:pPr>
      <w:numPr>
        <w:numId w:val="1"/>
      </w:numPr>
      <w:spacing w:after="120"/>
      <w:ind w:right="1134"/>
      <w:jc w:val="both"/>
    </w:pPr>
    <w:rPr>
      <w:rFonts w:eastAsiaTheme="minorEastAsia"/>
      <w:lang w:eastAsia="zh-CN"/>
    </w:rPr>
  </w:style>
  <w:style w:type="paragraph" w:customStyle="1" w:styleId="Bullet2G">
    <w:name w:val="_Bullet 2_G"/>
    <w:basedOn w:val="Normal"/>
    <w:rsid w:val="00930F93"/>
    <w:pPr>
      <w:numPr>
        <w:numId w:val="2"/>
      </w:numPr>
      <w:spacing w:after="120"/>
      <w:ind w:right="1134"/>
      <w:jc w:val="both"/>
    </w:pPr>
    <w:rPr>
      <w:rFonts w:eastAsiaTheme="minorEastAsia"/>
      <w:lang w:eastAsia="zh-CN"/>
    </w:r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rFonts w:eastAsiaTheme="minorEastAsia"/>
      <w:sz w:val="16"/>
      <w:lang w:eastAsia="zh-CN"/>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rFonts w:eastAsiaTheme="minorEastAsia"/>
      <w:b/>
      <w:sz w:val="18"/>
      <w:lang w:eastAsia="zh-CN"/>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HChGChar">
    <w:name w:val="_ H _Ch_G Char"/>
    <w:link w:val="HChG"/>
    <w:rsid w:val="00007D45"/>
    <w:rPr>
      <w:b/>
      <w:sz w:val="28"/>
    </w:rPr>
  </w:style>
  <w:style w:type="character" w:customStyle="1" w:styleId="SingleTxtGChar">
    <w:name w:val="_ Single Txt_G Char"/>
    <w:link w:val="SingleTxtG"/>
    <w:qFormat/>
    <w:rsid w:val="00007D45"/>
  </w:style>
  <w:style w:type="character" w:customStyle="1" w:styleId="H23GChar">
    <w:name w:val="_ H_2/3_G Char"/>
    <w:link w:val="H23G"/>
    <w:locked/>
    <w:rsid w:val="00007D45"/>
    <w:rPr>
      <w:b/>
    </w:rPr>
  </w:style>
  <w:style w:type="table" w:customStyle="1" w:styleId="Grilledutableau6">
    <w:name w:val="Grille du tableau6"/>
    <w:basedOn w:val="TableNormal"/>
    <w:uiPriority w:val="59"/>
    <w:rsid w:val="00007D45"/>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34725A"/>
    <w:pPr>
      <w:spacing w:line="260" w:lineRule="atLeast"/>
    </w:pPr>
    <w:rPr>
      <w:rFonts w:eastAsia="Times New Roman"/>
      <w:lang w:val="en-US"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9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5CDC-9138-4966-9D8B-552F489A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ECE-TRANS-258-corr.1</dc:creator>
  <cp:keywords/>
  <dc:description/>
  <cp:lastModifiedBy>Secretariat</cp:lastModifiedBy>
  <cp:revision>24</cp:revision>
  <cp:lastPrinted>2018-09-05T08:44:00Z</cp:lastPrinted>
  <dcterms:created xsi:type="dcterms:W3CDTF">2018-09-04T08:51:00Z</dcterms:created>
  <dcterms:modified xsi:type="dcterms:W3CDTF">2018-09-17T13:08:00Z</dcterms:modified>
</cp:coreProperties>
</file>