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E62E9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E62E95" w:rsidP="00E62E95">
            <w:pPr>
              <w:jc w:val="right"/>
            </w:pPr>
            <w:r w:rsidRPr="00E62E95">
              <w:rPr>
                <w:sz w:val="40"/>
              </w:rPr>
              <w:t>ECE</w:t>
            </w:r>
            <w:r>
              <w:t>/TRANS/WP.15/AC.2/2018/9</w:t>
            </w:r>
          </w:p>
        </w:tc>
      </w:tr>
      <w:tr w:rsidR="002D5AAC" w:rsidRPr="00843BAA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E62E95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E62E95" w:rsidRDefault="00E62E95" w:rsidP="00E62E9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20 October 2017</w:t>
            </w:r>
          </w:p>
          <w:p w:rsidR="00E62E95" w:rsidRDefault="00E62E95" w:rsidP="00E62E9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E62E95" w:rsidRPr="008D53B6" w:rsidRDefault="00E62E95" w:rsidP="00E62E9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E62E95" w:rsidRPr="00683FDF" w:rsidRDefault="00E62E95" w:rsidP="00E62E95">
      <w:pPr>
        <w:spacing w:before="120"/>
        <w:rPr>
          <w:sz w:val="28"/>
          <w:szCs w:val="28"/>
        </w:rPr>
      </w:pPr>
      <w:r w:rsidRPr="00683FDF">
        <w:rPr>
          <w:sz w:val="28"/>
          <w:szCs w:val="28"/>
        </w:rPr>
        <w:t>Комитет по внутреннему транспорту</w:t>
      </w:r>
    </w:p>
    <w:p w:rsidR="00E62E95" w:rsidRPr="00683FDF" w:rsidRDefault="00E62E95" w:rsidP="00E62E95">
      <w:pPr>
        <w:spacing w:before="120"/>
        <w:rPr>
          <w:b/>
          <w:sz w:val="24"/>
          <w:szCs w:val="24"/>
        </w:rPr>
      </w:pPr>
      <w:r w:rsidRPr="00683FDF">
        <w:rPr>
          <w:b/>
          <w:bCs/>
          <w:sz w:val="24"/>
          <w:szCs w:val="24"/>
        </w:rPr>
        <w:t>Рабочая группа по перевозкам опасных грузов</w:t>
      </w:r>
    </w:p>
    <w:p w:rsidR="00E62E95" w:rsidRPr="0035488A" w:rsidRDefault="00E62E95" w:rsidP="00E62E95">
      <w:pPr>
        <w:spacing w:before="120"/>
        <w:rPr>
          <w:b/>
          <w:bCs/>
        </w:rPr>
      </w:pPr>
      <w:r>
        <w:rPr>
          <w:b/>
          <w:bCs/>
        </w:rPr>
        <w:t>Совместное совещание экспертов по Правилам,</w:t>
      </w:r>
      <w:r>
        <w:rPr>
          <w:b/>
          <w:bCs/>
        </w:rPr>
        <w:br/>
        <w:t xml:space="preserve">прилагаемым к Европейскому соглашению </w:t>
      </w:r>
      <w:r>
        <w:rPr>
          <w:b/>
          <w:bCs/>
        </w:rPr>
        <w:br/>
        <w:t>о международной перевозке опасных грузов</w:t>
      </w:r>
      <w:r>
        <w:rPr>
          <w:b/>
          <w:bCs/>
        </w:rPr>
        <w:br/>
        <w:t>по внутренним водным путям (ВОПОГ)</w:t>
      </w:r>
      <w:r>
        <w:rPr>
          <w:b/>
          <w:bCs/>
        </w:rPr>
        <w:br/>
        <w:t>(Комитет по вопросам безопасности ВОПОГ)</w:t>
      </w:r>
    </w:p>
    <w:p w:rsidR="00E62E95" w:rsidRPr="0035488A" w:rsidRDefault="00E62E95" w:rsidP="00E62E95">
      <w:pPr>
        <w:spacing w:before="120"/>
        <w:rPr>
          <w:b/>
        </w:rPr>
      </w:pPr>
      <w:r>
        <w:rPr>
          <w:b/>
          <w:bCs/>
        </w:rPr>
        <w:t>Тридцать вторая сессия</w:t>
      </w:r>
    </w:p>
    <w:p w:rsidR="00E62E95" w:rsidRPr="0035488A" w:rsidRDefault="00E62E95" w:rsidP="00E62E95">
      <w:r>
        <w:t>Женева, 22–26 января 2018 года</w:t>
      </w:r>
    </w:p>
    <w:p w:rsidR="00E62E95" w:rsidRPr="0035488A" w:rsidRDefault="00E62E95" w:rsidP="00E62E95">
      <w:r>
        <w:t>Пункт 5 b) предварительной повестки дня</w:t>
      </w:r>
    </w:p>
    <w:p w:rsidR="00E62E95" w:rsidRPr="0035488A" w:rsidRDefault="00E62E95" w:rsidP="00E62E95">
      <w:r>
        <w:rPr>
          <w:b/>
          <w:bCs/>
        </w:rPr>
        <w:t xml:space="preserve">Предложения о внесении поправок в Правила, </w:t>
      </w:r>
      <w:r w:rsidRPr="00E62E95">
        <w:rPr>
          <w:b/>
          <w:bCs/>
        </w:rPr>
        <w:br/>
      </w:r>
      <w:r>
        <w:rPr>
          <w:b/>
          <w:bCs/>
        </w:rPr>
        <w:t>прилагаемые к ВОПОГ:</w:t>
      </w:r>
      <w:r w:rsidR="00834576">
        <w:rPr>
          <w:b/>
          <w:bCs/>
        </w:rPr>
        <w:t xml:space="preserve"> </w:t>
      </w:r>
      <w:r>
        <w:rPr>
          <w:b/>
          <w:bCs/>
        </w:rPr>
        <w:t>другие предложения</w:t>
      </w:r>
    </w:p>
    <w:p w:rsidR="00E62E95" w:rsidRPr="00E62E95" w:rsidRDefault="00E62E95" w:rsidP="00E62E95">
      <w:pPr>
        <w:pStyle w:val="HChGR"/>
      </w:pPr>
      <w:r w:rsidRPr="00834576">
        <w:tab/>
      </w:r>
      <w:r w:rsidRPr="00834576">
        <w:tab/>
      </w:r>
      <w:r w:rsidRPr="00E62E95">
        <w:t>Подсоединение судовой электросети к береговой электросети</w:t>
      </w:r>
    </w:p>
    <w:p w:rsidR="00E62E95" w:rsidRPr="00E62E95" w:rsidRDefault="00E62E95" w:rsidP="00E62E95">
      <w:pPr>
        <w:pStyle w:val="H1GR"/>
        <w:rPr>
          <w:vertAlign w:val="superscript"/>
          <w:lang w:val="en-GB"/>
        </w:rPr>
      </w:pPr>
      <w:r w:rsidRPr="00E62E95">
        <w:tab/>
      </w:r>
      <w:r w:rsidRPr="00E62E95">
        <w:tab/>
        <w:t>Передано правительством Германии</w:t>
      </w:r>
      <w:r w:rsidRPr="00E62E95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Pr="00E62E95">
        <w:rPr>
          <w:b w:val="0"/>
          <w:sz w:val="20"/>
          <w:vertAlign w:val="superscript"/>
        </w:rPr>
        <w:t>,</w:t>
      </w:r>
      <w:r>
        <w:rPr>
          <w:vertAlign w:val="superscript"/>
          <w:lang w:val="en-US"/>
        </w:rPr>
        <w:t xml:space="preserve"> </w:t>
      </w:r>
      <w:r w:rsidRPr="00E62E95">
        <w:rPr>
          <w:rStyle w:val="FootnoteReference"/>
          <w:b w:val="0"/>
          <w:sz w:val="20"/>
          <w:vertAlign w:val="baseline"/>
          <w:lang w:val="en-US"/>
        </w:rPr>
        <w:footnoteReference w:customMarkFollows="1" w:id="2"/>
        <w:t>**</w:t>
      </w:r>
    </w:p>
    <w:tbl>
      <w:tblPr>
        <w:tblStyle w:val="TableGrid"/>
        <w:tblW w:w="0" w:type="auto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637"/>
      </w:tblGrid>
      <w:tr w:rsidR="00E62E95" w:rsidRPr="00E62E95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:rsidR="00E62E95" w:rsidRPr="00E62E95" w:rsidRDefault="00E62E95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E62E95">
              <w:rPr>
                <w:rFonts w:cs="Times New Roman"/>
              </w:rPr>
              <w:tab/>
            </w:r>
            <w:r w:rsidRPr="00E62E95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E62E95" w:rsidRPr="00E62E95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E62E95" w:rsidRPr="00E62E95" w:rsidRDefault="00E62E95" w:rsidP="00834576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left" w:pos="3686"/>
              </w:tabs>
              <w:ind w:left="3686" w:hanging="2552"/>
            </w:pPr>
            <w:r w:rsidRPr="00E62E95">
              <w:rPr>
                <w:b/>
              </w:rPr>
              <w:t>Существо предложения</w:t>
            </w:r>
            <w:r w:rsidRPr="00E62E95">
              <w:t>:</w:t>
            </w:r>
            <w:r w:rsidRPr="00E62E95">
              <w:tab/>
              <w:t>В ходе своей тридцать первой сессии Комитет по вопросам безопасности ВОПОГ рассмотрел на основе неофициального документа INF.14 (ЦКСР), приложение 1, ряд предложенных неофициальной рабочей групп</w:t>
            </w:r>
            <w:r w:rsidR="00834576">
              <w:t>ой</w:t>
            </w:r>
            <w:r w:rsidRPr="00E62E95">
              <w:t xml:space="preserve"> по защите против взрывов поправок, призванных обеспечить возможность безопасного подсоединения судовой электросети к береговой электросети. Эти поправки были одобрены, но для принятия официального решения необходимо, чтобы соответствующий документ имелся на всех рабочих языках.</w:t>
            </w:r>
          </w:p>
        </w:tc>
      </w:tr>
      <w:tr w:rsidR="00E62E95" w:rsidRPr="00E62E95" w:rsidTr="00E62E9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</w:tcPr>
          <w:p w:rsidR="00E62E95" w:rsidRPr="00E62E95" w:rsidRDefault="00E62E95" w:rsidP="00834576">
            <w:pPr>
              <w:pStyle w:val="SingleTxtGR"/>
              <w:keepNext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left" w:pos="3686"/>
              </w:tabs>
              <w:ind w:left="3686" w:hanging="2552"/>
            </w:pPr>
            <w:r w:rsidRPr="00E62E95">
              <w:rPr>
                <w:b/>
              </w:rPr>
              <w:lastRenderedPageBreak/>
              <w:t>Предлагаемое решение</w:t>
            </w:r>
            <w:r w:rsidRPr="00E62E95">
              <w:t xml:space="preserve">: </w:t>
            </w:r>
            <w:r w:rsidRPr="00E62E95">
              <w:tab/>
              <w:t>Принятие официального решения относительно приводимых ниже поправок, предложенных в неофициальном документе INF.14, который был представлен на тридцать первой сессии Комитета по вопросам безопасности ВОПОГ.</w:t>
            </w:r>
          </w:p>
        </w:tc>
      </w:tr>
      <w:tr w:rsidR="00E62E95" w:rsidRPr="00E62E95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:rsidR="00E62E95" w:rsidRPr="0035488A" w:rsidRDefault="00E62E95" w:rsidP="00E62E95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left" w:pos="3686"/>
              </w:tabs>
              <w:ind w:left="3686" w:hanging="2552"/>
            </w:pPr>
            <w:r w:rsidRPr="00E62E95">
              <w:rPr>
                <w:b/>
              </w:rPr>
              <w:t>Справочные документы</w:t>
            </w:r>
            <w:r>
              <w:t>:</w:t>
            </w:r>
            <w:r w:rsidRPr="00E62E95">
              <w:t xml:space="preserve"> </w:t>
            </w:r>
            <w:r w:rsidRPr="00E62E95">
              <w:tab/>
            </w:r>
            <w:r>
              <w:t>Неофициальный документ тридцать первой сессии</w:t>
            </w:r>
            <w:r w:rsidR="00915D54">
              <w:rPr>
                <w:lang w:val="en-US"/>
              </w:rPr>
              <w:t> </w:t>
            </w:r>
            <w:r w:rsidR="00915D54">
              <w:t xml:space="preserve">– </w:t>
            </w:r>
            <w:r>
              <w:t>INF.15, приложение 1</w:t>
            </w:r>
          </w:p>
          <w:p w:rsidR="00E62E95" w:rsidRPr="00E62E95" w:rsidRDefault="00915D54" w:rsidP="00915D54">
            <w:pPr>
              <w:pStyle w:val="SingleTxtGR"/>
              <w:tabs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left" w:pos="3686"/>
              </w:tabs>
              <w:spacing w:after="240"/>
              <w:ind w:left="3686" w:hanging="2552"/>
            </w:pPr>
            <w:r w:rsidRPr="00834576">
              <w:tab/>
            </w:r>
            <w:r w:rsidR="00E62E95">
              <w:t>ECE/TRANS/WP.15/AC.2/64 – доклад о работе тридцать первой сессии</w:t>
            </w:r>
          </w:p>
        </w:tc>
      </w:tr>
    </w:tbl>
    <w:p w:rsidR="00E62E95" w:rsidRPr="00E62E95" w:rsidRDefault="00915D54" w:rsidP="00915D54">
      <w:pPr>
        <w:pStyle w:val="HChGR"/>
      </w:pPr>
      <w:r w:rsidRPr="00834576">
        <w:tab/>
      </w:r>
      <w:r w:rsidR="00E62E95" w:rsidRPr="00E62E95">
        <w:t>I.</w:t>
      </w:r>
      <w:r w:rsidR="00E62E95" w:rsidRPr="00E62E95">
        <w:tab/>
        <w:t>Предложения</w:t>
      </w:r>
    </w:p>
    <w:p w:rsidR="00E62E95" w:rsidRPr="00E62E95" w:rsidRDefault="00E62E95" w:rsidP="00E62E95">
      <w:pPr>
        <w:pStyle w:val="SingleTxtGR"/>
      </w:pPr>
      <w:r w:rsidRPr="00E62E95">
        <w:t xml:space="preserve">1. </w:t>
      </w:r>
      <w:r w:rsidRPr="00E62E95">
        <w:tab/>
        <w:t>Предложения о поправках в основном касаются положений ВОПОГ, применяемых с 1 января 2017 года. Предложения о поправках, повторяющие предложения о поправках, содержащиеся в документе ECE/TRANS/WP.15/</w:t>
      </w:r>
      <w:r w:rsidR="00915D54" w:rsidRPr="00915D54">
        <w:t xml:space="preserve"> </w:t>
      </w:r>
      <w:r w:rsidRPr="00E62E95">
        <w:t>AC.2/2017/21, помечены соответствующим образом.</w:t>
      </w:r>
    </w:p>
    <w:p w:rsidR="00E62E95" w:rsidRPr="00E62E95" w:rsidRDefault="00E62E95" w:rsidP="00E62E95">
      <w:pPr>
        <w:pStyle w:val="SingleTxtGR"/>
      </w:pPr>
      <w:r w:rsidRPr="00E62E95">
        <w:t>2.</w:t>
      </w:r>
      <w:r w:rsidRPr="00E62E95">
        <w:tab/>
        <w:t>Пункт 7.1.3.51.2 ВОПОГ изменить следующим образом:</w:t>
      </w:r>
    </w:p>
    <w:p w:rsidR="00E62E95" w:rsidRPr="00E62E95" w:rsidRDefault="00915D54" w:rsidP="00915D54">
      <w:pPr>
        <w:pStyle w:val="SingleTxtGR"/>
        <w:ind w:left="1701" w:hanging="567"/>
      </w:pPr>
      <w:r w:rsidRPr="00834576">
        <w:tab/>
      </w:r>
      <w:r w:rsidR="00E62E95" w:rsidRPr="00E62E95">
        <w:t>«В защищенной зоне запрещается использовать переносные электрические кабели. Это требование не применяется к электрическим кабелям, указанным в пункте 9.1.0.53.5.</w:t>
      </w:r>
    </w:p>
    <w:p w:rsidR="00E62E95" w:rsidRPr="00E62E95" w:rsidRDefault="00915D54" w:rsidP="00915D54">
      <w:pPr>
        <w:pStyle w:val="SingleTxtGR"/>
        <w:ind w:left="1701" w:hanging="567"/>
      </w:pPr>
      <w:r w:rsidRPr="00834576">
        <w:tab/>
      </w:r>
      <w:r w:rsidR="00E62E95" w:rsidRPr="00E62E95">
        <w:t>Переносные электрические кабели должны подвергаться осмотру перед каждым использованием. Они должны быть проложены таким образом, чтобы исключалась вероятность их повреждения. Соединители должны располагаться за пределами защищенной зоны.</w:t>
      </w:r>
    </w:p>
    <w:p w:rsidR="00E62E95" w:rsidRPr="00E62E95" w:rsidRDefault="00915D54" w:rsidP="00915D54">
      <w:pPr>
        <w:pStyle w:val="SingleTxtGR"/>
        <w:ind w:left="1701" w:hanging="567"/>
      </w:pPr>
      <w:r w:rsidRPr="00834576">
        <w:tab/>
      </w:r>
      <w:r w:rsidR="00E62E95" w:rsidRPr="00E62E95">
        <w:t>Использование электрических кабелей для подсоединения судовой электросети к береговой электросети не допускается</w:t>
      </w:r>
    </w:p>
    <w:p w:rsidR="00E62E95" w:rsidRPr="00E62E95" w:rsidRDefault="00E62E95" w:rsidP="00915D54">
      <w:pPr>
        <w:pStyle w:val="Bullet1GR"/>
      </w:pPr>
      <w:r w:rsidRPr="00E62E95">
        <w:t>во время погрузки или выгрузки веществ, для которых требуется защита против взрывов согласно колонке 17 таблицы С подраздела 3.2.3.2,</w:t>
      </w:r>
    </w:p>
    <w:p w:rsidR="00E62E95" w:rsidRPr="00E62E95" w:rsidRDefault="00E62E95" w:rsidP="00E62E95">
      <w:pPr>
        <w:pStyle w:val="SingleTxtGR"/>
      </w:pPr>
      <w:r w:rsidRPr="00E62E95">
        <w:tab/>
        <w:t>или</w:t>
      </w:r>
    </w:p>
    <w:p w:rsidR="00E62E95" w:rsidRPr="00E62E95" w:rsidRDefault="00E62E95" w:rsidP="00915D54">
      <w:pPr>
        <w:pStyle w:val="Bullet1GR"/>
      </w:pPr>
      <w:r w:rsidRPr="00E62E95">
        <w:t>когда судно находится в непосредственной близости от назначенной береговой зоны или в ее пределах».</w:t>
      </w:r>
    </w:p>
    <w:p w:rsidR="00E62E95" w:rsidRPr="00E62E95" w:rsidRDefault="00E62E95" w:rsidP="00E62E95">
      <w:pPr>
        <w:pStyle w:val="SingleTxtGR"/>
      </w:pPr>
      <w:r w:rsidRPr="00E62E95">
        <w:t>3.</w:t>
      </w:r>
      <w:r w:rsidRPr="00E62E95">
        <w:tab/>
        <w:t>Последнее предложение пункта 7.1.3.51.3 ВОПОГ изменить следующим образом:</w:t>
      </w:r>
    </w:p>
    <w:p w:rsidR="00E62E95" w:rsidRPr="00E62E95" w:rsidRDefault="00915D54" w:rsidP="00915D54">
      <w:pPr>
        <w:pStyle w:val="SingleTxtGR"/>
        <w:ind w:left="1701" w:hanging="567"/>
      </w:pPr>
      <w:r w:rsidRPr="00834576">
        <w:tab/>
      </w:r>
      <w:r w:rsidR="00E62E95" w:rsidRPr="00E62E95">
        <w:t>«Подключение и отключение должны быть возможны только в том случае, если штепсельные розетки обесточены».</w:t>
      </w:r>
    </w:p>
    <w:p w:rsidR="00E62E95" w:rsidRPr="00E62E95" w:rsidRDefault="00E62E95" w:rsidP="00E62E95">
      <w:pPr>
        <w:pStyle w:val="SingleTxtGR"/>
      </w:pPr>
      <w:r w:rsidRPr="00E62E95">
        <w:t>4.</w:t>
      </w:r>
      <w:r w:rsidRPr="00E62E95">
        <w:tab/>
        <w:t xml:space="preserve">В подразделе 7.1.5.3 ВОПОГ добавить после </w:t>
      </w:r>
      <w:r w:rsidR="00915D54">
        <w:t>«</w:t>
      </w:r>
      <w:r w:rsidRPr="00E62E95">
        <w:t>но</w:t>
      </w:r>
      <w:r w:rsidR="00915D54">
        <w:t>»</w:t>
      </w:r>
      <w:r w:rsidRPr="00E62E95">
        <w:t>:</w:t>
      </w:r>
    </w:p>
    <w:p w:rsidR="00E62E95" w:rsidRPr="00E62E95" w:rsidRDefault="00915D54" w:rsidP="00915D54">
      <w:pPr>
        <w:pStyle w:val="SingleTxtGR"/>
        <w:ind w:left="1701" w:hanging="567"/>
      </w:pPr>
      <w:r w:rsidRPr="00915D54">
        <w:tab/>
      </w:r>
      <w:r>
        <w:t>«</w:t>
      </w:r>
      <w:r w:rsidR="00E62E95" w:rsidRPr="00E62E95">
        <w:t>так, чтобы электрические кабели не были пережаты или согнуты и не подвергались деформации растяжения, и</w:t>
      </w:r>
      <w:r>
        <w:t>»</w:t>
      </w:r>
      <w:r w:rsidR="00E62E95" w:rsidRPr="00E62E95">
        <w:t>.</w:t>
      </w:r>
    </w:p>
    <w:p w:rsidR="00E62E95" w:rsidRPr="00E62E95" w:rsidRDefault="00E62E95" w:rsidP="00E62E95">
      <w:pPr>
        <w:pStyle w:val="SingleTxtGR"/>
      </w:pPr>
      <w:r w:rsidRPr="00E62E95">
        <w:t>5.</w:t>
      </w:r>
      <w:r w:rsidRPr="00E62E95">
        <w:tab/>
        <w:t>Пункт 7.2.3.51.2 ВОПОГ изменить следующим образом:</w:t>
      </w:r>
    </w:p>
    <w:p w:rsidR="00E62E95" w:rsidRPr="00E62E95" w:rsidRDefault="00915D54" w:rsidP="00915D54">
      <w:pPr>
        <w:pStyle w:val="SingleTxtGR"/>
        <w:ind w:left="1701" w:hanging="567"/>
      </w:pPr>
      <w:r>
        <w:tab/>
        <w:t>«</w:t>
      </w:r>
      <w:r w:rsidR="00E62E95" w:rsidRPr="00E62E95">
        <w:t>Во взрывоопасной зоне запрещается использовать переносные электрические кабели. Это требование не применяется к переносным электрическим кабелям, указанным в пунктах 9.3.1.56.3, 9.3.2.56.3 и 9.3.3.56.3.</w:t>
      </w:r>
    </w:p>
    <w:p w:rsidR="00E62E95" w:rsidRPr="00E62E95" w:rsidRDefault="00915D54" w:rsidP="00915D54">
      <w:pPr>
        <w:pStyle w:val="SingleTxtGR"/>
        <w:ind w:left="1701" w:hanging="567"/>
      </w:pPr>
      <w:r>
        <w:tab/>
      </w:r>
      <w:r w:rsidR="00E62E95" w:rsidRPr="00E62E95">
        <w:t>Переносные электрические кабели должны подвергаться осмотру перед каждым использованием. Они должны быть проложены таким образом, чтобы исключалась вероятность их повреждения. Соединители должны располагаться за пределами взрывоопасной зоны.</w:t>
      </w:r>
    </w:p>
    <w:p w:rsidR="00E62E95" w:rsidRPr="00E62E95" w:rsidRDefault="00915D54" w:rsidP="00915D54">
      <w:pPr>
        <w:pStyle w:val="SingleTxtGR"/>
        <w:ind w:left="1701" w:hanging="567"/>
      </w:pPr>
      <w:r>
        <w:tab/>
      </w:r>
      <w:r w:rsidR="00E62E95" w:rsidRPr="00E62E95">
        <w:t>Использование электрических кабелей для подсоединения судовой электросети к береговой электросети не допускается</w:t>
      </w:r>
    </w:p>
    <w:p w:rsidR="00E62E95" w:rsidRPr="00E62E95" w:rsidRDefault="00E62E95" w:rsidP="00915D54">
      <w:pPr>
        <w:pStyle w:val="Bullet1GR"/>
      </w:pPr>
      <w:r w:rsidRPr="00E62E95">
        <w:lastRenderedPageBreak/>
        <w:t>во время погрузки или выгрузки веществ, для которых требуется защита против взрывов согласно колонке 17 таблицы С подраздела 3.2.3.2,</w:t>
      </w:r>
    </w:p>
    <w:p w:rsidR="00E62E95" w:rsidRPr="00E62E95" w:rsidRDefault="00E62E95" w:rsidP="00E62E95">
      <w:pPr>
        <w:pStyle w:val="SingleTxtGR"/>
      </w:pPr>
      <w:r w:rsidRPr="00E62E95">
        <w:tab/>
        <w:t>или</w:t>
      </w:r>
    </w:p>
    <w:p w:rsidR="00E62E95" w:rsidRPr="00E62E95" w:rsidRDefault="00E62E95" w:rsidP="00915D54">
      <w:pPr>
        <w:pStyle w:val="Bullet1GR"/>
      </w:pPr>
      <w:r w:rsidRPr="00E62E95">
        <w:t>когда судно находится в непосредственной близости от назначенной береговой зоны или в ее пределах».</w:t>
      </w:r>
    </w:p>
    <w:p w:rsidR="00E62E95" w:rsidRPr="00E62E95" w:rsidRDefault="00E62E95" w:rsidP="00E62E95">
      <w:pPr>
        <w:pStyle w:val="SingleTxtGR"/>
      </w:pPr>
      <w:r w:rsidRPr="00E62E95">
        <w:t>6.</w:t>
      </w:r>
      <w:r w:rsidRPr="00E62E95">
        <w:tab/>
        <w:t>В подразделе 7.2.5.3 ВОПОГ добавить после слов «гибкие трубопроводы»:</w:t>
      </w:r>
    </w:p>
    <w:p w:rsidR="00E62E95" w:rsidRPr="00E62E95" w:rsidRDefault="00E62E95" w:rsidP="00E62E95">
      <w:pPr>
        <w:pStyle w:val="SingleTxtGR"/>
      </w:pPr>
      <w:r w:rsidRPr="00E62E95">
        <w:tab/>
        <w:t>«не были пережаты или согнуты,».</w:t>
      </w:r>
    </w:p>
    <w:p w:rsidR="00E62E95" w:rsidRPr="00E62E95" w:rsidRDefault="00E62E95" w:rsidP="00E62E95">
      <w:pPr>
        <w:pStyle w:val="SingleTxtGR"/>
      </w:pPr>
      <w:r w:rsidRPr="00E62E95">
        <w:t>7.</w:t>
      </w:r>
      <w:r w:rsidRPr="00E62E95">
        <w:tab/>
        <w:t>Последнее предложение пункта 7.2.3.51.3 ВОПОГ</w:t>
      </w:r>
      <w:r w:rsidR="00834576">
        <w:t>:</w:t>
      </w:r>
    </w:p>
    <w:p w:rsidR="00E62E95" w:rsidRPr="00E62E95" w:rsidRDefault="00E62E95" w:rsidP="00E62E95">
      <w:pPr>
        <w:pStyle w:val="SingleTxtGR"/>
        <w:rPr>
          <w:u w:val="single"/>
        </w:rPr>
      </w:pPr>
      <w:r w:rsidRPr="00E62E95">
        <w:t xml:space="preserve">Заменить слова </w:t>
      </w:r>
      <w:r w:rsidR="00915D54">
        <w:t>«</w:t>
      </w:r>
      <w:r w:rsidRPr="00E62E95">
        <w:t>Подсоединение или отсоединение</w:t>
      </w:r>
      <w:r w:rsidR="00915D54">
        <w:t>»</w:t>
      </w:r>
      <w:r w:rsidRPr="00E62E95">
        <w:t xml:space="preserve"> словами </w:t>
      </w:r>
      <w:r w:rsidR="00915D54">
        <w:t>«</w:t>
      </w:r>
      <w:r w:rsidRPr="00E62E95">
        <w:t>Подключение и отключение</w:t>
      </w:r>
      <w:r w:rsidR="00915D54">
        <w:t>»</w:t>
      </w:r>
      <w:r w:rsidRPr="00E62E95">
        <w:t>.</w:t>
      </w:r>
    </w:p>
    <w:p w:rsidR="00E62E95" w:rsidRPr="00E62E95" w:rsidRDefault="00E62E95" w:rsidP="00E62E95">
      <w:pPr>
        <w:pStyle w:val="SingleTxtGR"/>
      </w:pPr>
      <w:r w:rsidRPr="00E62E95">
        <w:t>8.</w:t>
      </w:r>
      <w:r w:rsidRPr="00E62E95">
        <w:tab/>
        <w:t>Изменить редакцию пункта 9.1.0.53.4</w:t>
      </w:r>
      <w:r w:rsidR="00834576">
        <w:t xml:space="preserve"> ВОПОГ</w:t>
      </w:r>
      <w:r w:rsidRPr="00E62E95">
        <w:t>, предложенную в документе ECE/TRANS/WP.15/AC.2/2017/21, следующим образом:</w:t>
      </w:r>
    </w:p>
    <w:p w:rsidR="00E62E95" w:rsidRPr="00E62E95" w:rsidRDefault="00915D54" w:rsidP="00915D54">
      <w:pPr>
        <w:pStyle w:val="SingleTxtGR"/>
        <w:ind w:left="1701" w:hanging="567"/>
      </w:pPr>
      <w:r>
        <w:tab/>
      </w:r>
      <w:r w:rsidR="00E62E95" w:rsidRPr="00E62E95">
        <w:t>«В защищенной зоне не разрешается использовать переносные электрические кабели, кроме как для искробезопасных электрических цепей или для подсоединения</w:t>
      </w:r>
    </w:p>
    <w:p w:rsidR="00E62E95" w:rsidRPr="00E62E95" w:rsidRDefault="00E62E95" w:rsidP="00915D54">
      <w:pPr>
        <w:pStyle w:val="Bullet1GR"/>
      </w:pPr>
      <w:r w:rsidRPr="00E62E95">
        <w:t>сигнальных огней и ламп для освещения сходного трапа, если точка соединения (например, штепсельная розетка) установлена стационарно на судне в непосредственной близости от сигнальной мачты или сходного трапа;</w:t>
      </w:r>
    </w:p>
    <w:p w:rsidR="00E62E95" w:rsidRPr="00E62E95" w:rsidRDefault="00E62E95" w:rsidP="00915D54">
      <w:pPr>
        <w:pStyle w:val="Bullet1GR"/>
      </w:pPr>
      <w:r w:rsidRPr="00E62E95">
        <w:t>контейнеров;</w:t>
      </w:r>
    </w:p>
    <w:p w:rsidR="00E62E95" w:rsidRPr="00E62E95" w:rsidRDefault="00E62E95" w:rsidP="00915D54">
      <w:pPr>
        <w:pStyle w:val="Bullet1GR"/>
      </w:pPr>
      <w:r w:rsidRPr="00E62E95">
        <w:t>рам люковых закрытий с электрическим приводом</w:t>
      </w:r>
      <w:r w:rsidR="00BD5FAB" w:rsidRPr="00BD5FAB">
        <w:t>;</w:t>
      </w:r>
    </w:p>
    <w:p w:rsidR="00E62E95" w:rsidRPr="00E62E95" w:rsidRDefault="00E62E95" w:rsidP="00915D54">
      <w:pPr>
        <w:pStyle w:val="Bullet1GR"/>
      </w:pPr>
      <w:r w:rsidRPr="00E62E95">
        <w:t>погружных насосов;</w:t>
      </w:r>
    </w:p>
    <w:p w:rsidR="00E62E95" w:rsidRPr="00E62E95" w:rsidRDefault="00E62E95" w:rsidP="00915D54">
      <w:pPr>
        <w:pStyle w:val="Bullet1GR"/>
      </w:pPr>
      <w:r w:rsidRPr="00E62E95">
        <w:t>трюмных вентиляторов;</w:t>
      </w:r>
    </w:p>
    <w:p w:rsidR="00E62E95" w:rsidRPr="00E62E95" w:rsidRDefault="00E62E95" w:rsidP="00915D54">
      <w:pPr>
        <w:pStyle w:val="Bullet1GR"/>
      </w:pPr>
      <w:r w:rsidRPr="00E62E95">
        <w:t>судовой электросети к береговой электросети; если</w:t>
      </w:r>
    </w:p>
    <w:p w:rsidR="00E62E95" w:rsidRPr="00E62E95" w:rsidRDefault="00E62E95" w:rsidP="00915D54">
      <w:pPr>
        <w:pStyle w:val="SingleTxtGR"/>
        <w:ind w:left="1701" w:hanging="567"/>
      </w:pPr>
      <w:r w:rsidRPr="00E62E95">
        <w:tab/>
      </w:r>
      <w:r w:rsidR="00915D54">
        <w:tab/>
      </w:r>
      <w:r w:rsidRPr="00E62E95">
        <w:t>a)</w:t>
      </w:r>
      <w:r w:rsidRPr="00E62E95">
        <w:tab/>
        <w:t>эти электрические кабели и блок питания на борту судна соответствуют одному из действующих стандартов (например, EN 15869-03: 2010),</w:t>
      </w:r>
    </w:p>
    <w:p w:rsidR="00E62E95" w:rsidRPr="00E62E95" w:rsidRDefault="00E62E95" w:rsidP="00915D54">
      <w:pPr>
        <w:pStyle w:val="SingleTxtGR"/>
        <w:ind w:left="1701" w:hanging="567"/>
      </w:pPr>
      <w:r w:rsidRPr="00E62E95">
        <w:tab/>
      </w:r>
      <w:r w:rsidR="00915D54">
        <w:tab/>
      </w:r>
      <w:r w:rsidRPr="00E62E95">
        <w:t>b)</w:t>
      </w:r>
      <w:r w:rsidRPr="00E62E95">
        <w:tab/>
        <w:t>блок питания и соединители расположены за пределами защищенной зоны.</w:t>
      </w:r>
    </w:p>
    <w:p w:rsidR="00E62E95" w:rsidRPr="00E62E95" w:rsidRDefault="00915D54" w:rsidP="00915D54">
      <w:pPr>
        <w:pStyle w:val="SingleTxtGR"/>
        <w:ind w:left="1701" w:hanging="567"/>
      </w:pPr>
      <w:r>
        <w:tab/>
      </w:r>
      <w:r w:rsidR="00E62E95" w:rsidRPr="00E62E95">
        <w:t xml:space="preserve">Подключение и отключение розеток/соединителей должны быть возможны только в </w:t>
      </w:r>
      <w:r w:rsidR="00834576">
        <w:t>том случае, если они обесточены</w:t>
      </w:r>
      <w:r w:rsidR="00E62E95" w:rsidRPr="00E62E95">
        <w:t>».</w:t>
      </w:r>
    </w:p>
    <w:p w:rsidR="00E62E95" w:rsidRPr="00E62E95" w:rsidRDefault="00E62E95" w:rsidP="00E62E95">
      <w:pPr>
        <w:pStyle w:val="SingleTxtGR"/>
      </w:pPr>
      <w:r w:rsidRPr="00E62E95">
        <w:t>9.</w:t>
      </w:r>
      <w:r w:rsidRPr="00E62E95">
        <w:tab/>
        <w:t>Внести в редакцию пункта 9.1.0.53.5, предложенную в документе ECE/TRANS/WP.15/AC.2/2017/21, следующие изменения:</w:t>
      </w:r>
    </w:p>
    <w:p w:rsidR="00E62E95" w:rsidRPr="00E62E95" w:rsidRDefault="00E62E95" w:rsidP="00E62E95">
      <w:pPr>
        <w:pStyle w:val="SingleTxtGR"/>
      </w:pPr>
      <w:r w:rsidRPr="00E62E95">
        <w:t>После «IEC 60245-4:2011» добавить следующую сноску: «идентичному стандарту EN 50525-2-21:2011».</w:t>
      </w:r>
    </w:p>
    <w:p w:rsidR="00E62E95" w:rsidRPr="00E62E95" w:rsidRDefault="00E62E95" w:rsidP="00E62E95">
      <w:pPr>
        <w:pStyle w:val="SingleTxtGR"/>
      </w:pPr>
      <w:r w:rsidRPr="00E62E95">
        <w:t>Исключить последнее предложение.</w:t>
      </w:r>
    </w:p>
    <w:p w:rsidR="00E62E95" w:rsidRPr="00E62E95" w:rsidRDefault="00E62E95" w:rsidP="00E62E95">
      <w:pPr>
        <w:pStyle w:val="SingleTxtGR"/>
      </w:pPr>
      <w:r w:rsidRPr="00E62E95">
        <w:t>10.</w:t>
      </w:r>
      <w:r w:rsidRPr="00E62E95">
        <w:tab/>
        <w:t xml:space="preserve">Пункты 9.3.x.56.3 </w:t>
      </w:r>
      <w:r w:rsidR="00834576">
        <w:t xml:space="preserve">ВОПОГ </w:t>
      </w:r>
      <w:r w:rsidRPr="00E62E95">
        <w:t>изменить следующим образом:</w:t>
      </w:r>
    </w:p>
    <w:p w:rsidR="00E62E95" w:rsidRPr="00E62E95" w:rsidRDefault="00915D54" w:rsidP="00915D54">
      <w:pPr>
        <w:pStyle w:val="SingleTxtGR"/>
        <w:ind w:left="1701" w:hanging="567"/>
      </w:pPr>
      <w:r>
        <w:tab/>
      </w:r>
      <w:r w:rsidR="00E62E95" w:rsidRPr="00E62E95">
        <w:t>«Во взрывоопасной зоне запрещается использовать переносные кабели, кроме как для искробезопасных электрических цепей и для подсоединения</w:t>
      </w:r>
    </w:p>
    <w:p w:rsidR="00E62E95" w:rsidRPr="00E62E95" w:rsidRDefault="00E62E95" w:rsidP="00915D54">
      <w:pPr>
        <w:pStyle w:val="Bullet1GR"/>
      </w:pPr>
      <w:r w:rsidRPr="00E62E95">
        <w:t>сигнальных огней и ламп для освещения сходного трапа, если точка соединения (например, штепсельная розетка) установлена стационарно на судне в непосредственной близости от сигнальной мачты или сходного трапа;</w:t>
      </w:r>
    </w:p>
    <w:p w:rsidR="00E62E95" w:rsidRPr="00E62E95" w:rsidRDefault="00E62E95" w:rsidP="00915D54">
      <w:pPr>
        <w:pStyle w:val="Bullet1GR"/>
      </w:pPr>
      <w:r w:rsidRPr="00E62E95">
        <w:t>судовой электросети к береговой электросети; если</w:t>
      </w:r>
    </w:p>
    <w:p w:rsidR="00E62E95" w:rsidRPr="00E62E95" w:rsidRDefault="00E62E95" w:rsidP="00915D54">
      <w:pPr>
        <w:pStyle w:val="SingleTxtGR"/>
        <w:ind w:left="1701" w:hanging="567"/>
      </w:pPr>
      <w:r w:rsidRPr="00E62E95">
        <w:lastRenderedPageBreak/>
        <w:tab/>
      </w:r>
      <w:r w:rsidR="00915D54">
        <w:tab/>
      </w:r>
      <w:r w:rsidR="00915D54" w:rsidRPr="00E62E95">
        <w:t>a)</w:t>
      </w:r>
      <w:r w:rsidR="00915D54" w:rsidRPr="00E62E95">
        <w:tab/>
        <w:t>эти электрические кабели и блок питания на борту судна соответствуют одному из действующих стандартов (например, EN 15869-03: 2010);</w:t>
      </w:r>
    </w:p>
    <w:p w:rsidR="00E62E95" w:rsidRPr="00E62E95" w:rsidRDefault="00E62E95" w:rsidP="00915D54">
      <w:pPr>
        <w:pStyle w:val="SingleTxtGR"/>
        <w:ind w:left="1701" w:hanging="567"/>
      </w:pPr>
      <w:r w:rsidRPr="00E62E95">
        <w:tab/>
      </w:r>
      <w:r w:rsidR="00915D54">
        <w:tab/>
      </w:r>
      <w:r w:rsidRPr="00E62E95">
        <w:t>b)</w:t>
      </w:r>
      <w:r w:rsidRPr="00E62E95">
        <w:tab/>
        <w:t>блок питания и соединители расположены за пределами взрывоопасной зоны.</w:t>
      </w:r>
    </w:p>
    <w:p w:rsidR="00E62E95" w:rsidRPr="00E62E95" w:rsidRDefault="00915D54" w:rsidP="00915D54">
      <w:pPr>
        <w:pStyle w:val="SingleTxtGR"/>
        <w:ind w:left="1701" w:hanging="567"/>
      </w:pPr>
      <w:r>
        <w:tab/>
      </w:r>
      <w:r w:rsidR="00E62E95" w:rsidRPr="00E62E95">
        <w:t>Подключение и отключение розеток/соединителей должны быть возможны только в том случае, если они обесточены».</w:t>
      </w:r>
    </w:p>
    <w:p w:rsidR="00E62E95" w:rsidRPr="00E62E95" w:rsidRDefault="00E62E95" w:rsidP="00E62E95">
      <w:pPr>
        <w:pStyle w:val="SingleTxtGR"/>
      </w:pPr>
      <w:r w:rsidRPr="00E62E95">
        <w:t>11.</w:t>
      </w:r>
      <w:r w:rsidRPr="00E62E95">
        <w:tab/>
        <w:t>Внести в редакцию пунктов 9.3.x.53.5, предложенную в приложении 3 неофициального документа INF.14, представленного на тридцать первой сессии, следующие изменения:</w:t>
      </w:r>
    </w:p>
    <w:p w:rsidR="00E62E95" w:rsidRPr="00E62E95" w:rsidRDefault="00E62E95" w:rsidP="00E62E95">
      <w:pPr>
        <w:pStyle w:val="SingleTxtGR"/>
      </w:pPr>
      <w:r w:rsidRPr="00E62E95">
        <w:t xml:space="preserve">После «IEC 60245-4:2011» добавить следующую сноску: </w:t>
      </w:r>
      <w:r w:rsidR="00915D54">
        <w:t>«</w:t>
      </w:r>
      <w:r w:rsidRPr="00E62E95">
        <w:t>идентичному стандарту EN 50525-2-21:2011».</w:t>
      </w:r>
    </w:p>
    <w:p w:rsidR="00E62E95" w:rsidRPr="00E62E95" w:rsidRDefault="00E62E95" w:rsidP="00E62E95">
      <w:pPr>
        <w:pStyle w:val="SingleTxtGR"/>
        <w:rPr>
          <w:lang w:val="en-GB"/>
        </w:rPr>
      </w:pPr>
      <w:r w:rsidRPr="00E62E95">
        <w:t>Исключить последнее предложение.</w:t>
      </w:r>
    </w:p>
    <w:p w:rsidR="00E62E95" w:rsidRPr="00915D54" w:rsidRDefault="00915D54" w:rsidP="00915D54">
      <w:pPr>
        <w:pStyle w:val="SingleTxtGR"/>
        <w:spacing w:before="240" w:after="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E62E95" w:rsidRPr="00915D54" w:rsidSect="00E62E9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981" w:rsidRPr="00A312BC" w:rsidRDefault="00C53981" w:rsidP="00A312BC"/>
  </w:endnote>
  <w:endnote w:type="continuationSeparator" w:id="0">
    <w:p w:rsidR="00C53981" w:rsidRPr="00A312BC" w:rsidRDefault="00C5398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E95" w:rsidRPr="00E62E95" w:rsidRDefault="00E62E95">
    <w:pPr>
      <w:pStyle w:val="Footer"/>
    </w:pPr>
    <w:r w:rsidRPr="00E62E95">
      <w:rPr>
        <w:b/>
        <w:sz w:val="18"/>
      </w:rPr>
      <w:fldChar w:fldCharType="begin"/>
    </w:r>
    <w:r w:rsidRPr="00E62E95">
      <w:rPr>
        <w:b/>
        <w:sz w:val="18"/>
      </w:rPr>
      <w:instrText xml:space="preserve"> PAGE  \* MERGEFORMAT </w:instrText>
    </w:r>
    <w:r w:rsidRPr="00E62E95">
      <w:rPr>
        <w:b/>
        <w:sz w:val="18"/>
      </w:rPr>
      <w:fldChar w:fldCharType="separate"/>
    </w:r>
    <w:r w:rsidR="0054687B">
      <w:rPr>
        <w:b/>
        <w:noProof/>
        <w:sz w:val="18"/>
      </w:rPr>
      <w:t>2</w:t>
    </w:r>
    <w:r w:rsidRPr="00E62E95">
      <w:rPr>
        <w:b/>
        <w:sz w:val="18"/>
      </w:rPr>
      <w:fldChar w:fldCharType="end"/>
    </w:r>
    <w:r>
      <w:rPr>
        <w:b/>
        <w:sz w:val="18"/>
      </w:rPr>
      <w:tab/>
    </w:r>
    <w:r>
      <w:t>GE.17-18579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E95" w:rsidRPr="00E62E95" w:rsidRDefault="00E62E95" w:rsidP="00E62E95">
    <w:pPr>
      <w:pStyle w:val="Footer"/>
      <w:tabs>
        <w:tab w:val="clear" w:pos="9639"/>
        <w:tab w:val="right" w:pos="9638"/>
      </w:tabs>
      <w:rPr>
        <w:b/>
        <w:sz w:val="18"/>
      </w:rPr>
    </w:pPr>
    <w:r>
      <w:t>GE.17-18579</w:t>
    </w:r>
    <w:r>
      <w:tab/>
    </w:r>
    <w:r w:rsidRPr="00E62E95">
      <w:rPr>
        <w:b/>
        <w:sz w:val="18"/>
      </w:rPr>
      <w:fldChar w:fldCharType="begin"/>
    </w:r>
    <w:r w:rsidRPr="00E62E95">
      <w:rPr>
        <w:b/>
        <w:sz w:val="18"/>
      </w:rPr>
      <w:instrText xml:space="preserve"> PAGE  \* MERGEFORMAT </w:instrText>
    </w:r>
    <w:r w:rsidRPr="00E62E95">
      <w:rPr>
        <w:b/>
        <w:sz w:val="18"/>
      </w:rPr>
      <w:fldChar w:fldCharType="separate"/>
    </w:r>
    <w:r w:rsidR="0054687B">
      <w:rPr>
        <w:b/>
        <w:noProof/>
        <w:sz w:val="18"/>
      </w:rPr>
      <w:t>3</w:t>
    </w:r>
    <w:r w:rsidRPr="00E62E9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E62E95" w:rsidRDefault="00E62E95" w:rsidP="00E62E95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3D1CADE6" wp14:editId="104835C9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17-18579  (R)</w:t>
    </w:r>
    <w:r w:rsidR="00834576">
      <w:t xml:space="preserve">   061117  061117</w:t>
    </w:r>
    <w:r>
      <w:br/>
    </w:r>
    <w:r w:rsidRPr="00E62E95">
      <w:rPr>
        <w:rFonts w:ascii="C39T30Lfz" w:hAnsi="C39T30Lfz"/>
        <w:spacing w:val="0"/>
        <w:w w:val="100"/>
        <w:sz w:val="56"/>
      </w:rPr>
      <w:t></w:t>
    </w:r>
    <w:r w:rsidRPr="00E62E95">
      <w:rPr>
        <w:rFonts w:ascii="C39T30Lfz" w:hAnsi="C39T30Lfz"/>
        <w:spacing w:val="0"/>
        <w:w w:val="100"/>
        <w:sz w:val="56"/>
      </w:rPr>
      <w:t></w:t>
    </w:r>
    <w:r w:rsidRPr="00E62E95">
      <w:rPr>
        <w:rFonts w:ascii="C39T30Lfz" w:hAnsi="C39T30Lfz"/>
        <w:spacing w:val="0"/>
        <w:w w:val="100"/>
        <w:sz w:val="56"/>
      </w:rPr>
      <w:t></w:t>
    </w:r>
    <w:r w:rsidRPr="00E62E95">
      <w:rPr>
        <w:rFonts w:ascii="C39T30Lfz" w:hAnsi="C39T30Lfz"/>
        <w:spacing w:val="0"/>
        <w:w w:val="100"/>
        <w:sz w:val="56"/>
      </w:rPr>
      <w:t></w:t>
    </w:r>
    <w:r w:rsidRPr="00E62E95">
      <w:rPr>
        <w:rFonts w:ascii="C39T30Lfz" w:hAnsi="C39T30Lfz"/>
        <w:spacing w:val="0"/>
        <w:w w:val="100"/>
        <w:sz w:val="56"/>
      </w:rPr>
      <w:t></w:t>
    </w:r>
    <w:r w:rsidRPr="00E62E95">
      <w:rPr>
        <w:rFonts w:ascii="C39T30Lfz" w:hAnsi="C39T30Lfz"/>
        <w:spacing w:val="0"/>
        <w:w w:val="100"/>
        <w:sz w:val="56"/>
      </w:rPr>
      <w:t></w:t>
    </w:r>
    <w:r w:rsidRPr="00E62E95">
      <w:rPr>
        <w:rFonts w:ascii="C39T30Lfz" w:hAnsi="C39T30Lfz"/>
        <w:spacing w:val="0"/>
        <w:w w:val="100"/>
        <w:sz w:val="56"/>
      </w:rPr>
      <w:t></w:t>
    </w:r>
    <w:r w:rsidRPr="00E62E95">
      <w:rPr>
        <w:rFonts w:ascii="C39T30Lfz" w:hAnsi="C39T30Lfz"/>
        <w:spacing w:val="0"/>
        <w:w w:val="100"/>
        <w:sz w:val="56"/>
      </w:rPr>
      <w:t></w:t>
    </w:r>
    <w:r w:rsidRPr="00E62E95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7564" cy="637564"/>
          <wp:effectExtent l="0" t="0" r="0" b="0"/>
          <wp:wrapNone/>
          <wp:docPr id="1" name="Рисунок 1" descr="https://undocs.org/m2/QRCode.ashx?DS=ECE/TRANS/WP.15/AC.2/2018/9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2018/9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64" cy="637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981" w:rsidRPr="001075E9" w:rsidRDefault="00C5398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53981" w:rsidRDefault="00C5398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E62E95" w:rsidRPr="00E62E95" w:rsidRDefault="00E62E95">
      <w:pPr>
        <w:pStyle w:val="FootnoteText"/>
        <w:rPr>
          <w:sz w:val="20"/>
          <w:lang w:val="ru-RU"/>
        </w:rPr>
      </w:pPr>
      <w:r>
        <w:tab/>
      </w:r>
      <w:r w:rsidRPr="00E62E95">
        <w:rPr>
          <w:rStyle w:val="FootnoteReference"/>
          <w:sz w:val="20"/>
          <w:vertAlign w:val="baseline"/>
          <w:lang w:val="ru-RU"/>
        </w:rPr>
        <w:t>*</w:t>
      </w:r>
      <w:r w:rsidRPr="00E62E95">
        <w:rPr>
          <w:rStyle w:val="FootnoteReference"/>
          <w:vertAlign w:val="baseline"/>
          <w:lang w:val="ru-RU"/>
        </w:rPr>
        <w:tab/>
      </w:r>
      <w:r>
        <w:rPr>
          <w:lang w:val="ru-RU"/>
        </w:rPr>
        <w:t>Распространено на немецком языке Центральной комиссией судоходства по Рейну под условным обозначением CCNR-ZKR/ADN/WP.15/AC.2/2018/9.</w:t>
      </w:r>
    </w:p>
  </w:footnote>
  <w:footnote w:id="2">
    <w:p w:rsidR="00E62E95" w:rsidRPr="00E62E95" w:rsidRDefault="00E62E95">
      <w:pPr>
        <w:pStyle w:val="FootnoteText"/>
        <w:rPr>
          <w:sz w:val="20"/>
          <w:lang w:val="ru-RU"/>
        </w:rPr>
      </w:pPr>
      <w:r w:rsidRPr="00834576">
        <w:rPr>
          <w:lang w:val="ru-RU"/>
        </w:rPr>
        <w:tab/>
      </w:r>
      <w:r w:rsidRPr="00E62E95">
        <w:rPr>
          <w:rStyle w:val="FootnoteReference"/>
          <w:sz w:val="20"/>
          <w:vertAlign w:val="baseline"/>
          <w:lang w:val="ru-RU"/>
        </w:rPr>
        <w:t>**</w:t>
      </w:r>
      <w:r w:rsidRPr="00E62E95">
        <w:rPr>
          <w:rStyle w:val="FootnoteReference"/>
          <w:vertAlign w:val="baseline"/>
          <w:lang w:val="ru-RU"/>
        </w:rPr>
        <w:tab/>
      </w:r>
      <w:r>
        <w:rPr>
          <w:lang w:val="ru-RU"/>
        </w:rPr>
        <w:t xml:space="preserve">В соответствии с программой работы Комитета по внутреннему транспорту </w:t>
      </w:r>
      <w:r w:rsidRPr="00E62E95">
        <w:rPr>
          <w:lang w:val="ru-RU"/>
        </w:rPr>
        <w:br/>
      </w:r>
      <w:r>
        <w:rPr>
          <w:lang w:val="ru-RU"/>
        </w:rPr>
        <w:t>на 2017–2018 годы (ECE/TRANS/WP.15/237, приложение V (9.3)).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E95" w:rsidRPr="00E62E95" w:rsidRDefault="0054687B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ECE/TRANS/WP.15/AC.2/2018/9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E95" w:rsidRPr="00E62E95" w:rsidRDefault="0054687B" w:rsidP="00E62E95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ECE/TRANS/WP.15/AC.2/2018/9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81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1B5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4A3F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398D"/>
    <w:rsid w:val="00454AF2"/>
    <w:rsid w:val="00454E07"/>
    <w:rsid w:val="00472C5C"/>
    <w:rsid w:val="004E05B7"/>
    <w:rsid w:val="0050108D"/>
    <w:rsid w:val="00513081"/>
    <w:rsid w:val="00517901"/>
    <w:rsid w:val="00526683"/>
    <w:rsid w:val="00535029"/>
    <w:rsid w:val="0054687B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02F90"/>
    <w:rsid w:val="00712895"/>
    <w:rsid w:val="00734ACB"/>
    <w:rsid w:val="00757357"/>
    <w:rsid w:val="00792497"/>
    <w:rsid w:val="00806737"/>
    <w:rsid w:val="00825F8D"/>
    <w:rsid w:val="00834576"/>
    <w:rsid w:val="00834B71"/>
    <w:rsid w:val="00843BAA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15D54"/>
    <w:rsid w:val="00947FEA"/>
    <w:rsid w:val="00951972"/>
    <w:rsid w:val="009608F3"/>
    <w:rsid w:val="009A24AC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D5FAB"/>
    <w:rsid w:val="00BE1CC7"/>
    <w:rsid w:val="00C106D6"/>
    <w:rsid w:val="00C119AE"/>
    <w:rsid w:val="00C53981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62E95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734D57F-B51E-4563-BFE3-EA64DBED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customStyle="1" w:styleId="SingleTxtG">
    <w:name w:val="_ Single Txt_G"/>
    <w:basedOn w:val="Normal"/>
    <w:rsid w:val="00E62E95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961</Words>
  <Characters>5480</Characters>
  <Application>Microsoft Office Word</Application>
  <DocSecurity>0</DocSecurity>
  <Lines>45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ECE/TRANS/WP.15/AC.2/2018/9</vt:lpstr>
      <vt:lpstr>ECE/TRANS/WP.15/AC.2/2018/9</vt:lpstr>
      <vt:lpstr>A/</vt:lpstr>
    </vt:vector>
  </TitlesOfParts>
  <Company>DCM</Company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ECE/TRANS/WP.15/AC.2/2018/9</dc:title>
  <dc:creator>Anna Blagodatskikh</dc:creator>
  <cp:lastModifiedBy>Marie-Claude Collet</cp:lastModifiedBy>
  <cp:revision>3</cp:revision>
  <cp:lastPrinted>2017-11-06T12:43:00Z</cp:lastPrinted>
  <dcterms:created xsi:type="dcterms:W3CDTF">2017-11-06T12:43:00Z</dcterms:created>
  <dcterms:modified xsi:type="dcterms:W3CDTF">2017-11-06T12:44:00Z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