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D63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D63E2" w:rsidP="004D63E2">
            <w:pPr>
              <w:jc w:val="right"/>
            </w:pPr>
            <w:r w:rsidRPr="004D63E2">
              <w:rPr>
                <w:sz w:val="40"/>
              </w:rPr>
              <w:t>ECE</w:t>
            </w:r>
            <w:r>
              <w:t>/TRANS/WP.15/AC.2/2018/7</w:t>
            </w:r>
          </w:p>
        </w:tc>
      </w:tr>
      <w:tr w:rsidR="002D5AAC" w:rsidRPr="00AD01C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D63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D63E2" w:rsidRDefault="004D63E2" w:rsidP="004D6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October 2017</w:t>
            </w:r>
          </w:p>
          <w:p w:rsidR="004D63E2" w:rsidRDefault="004D63E2" w:rsidP="004D6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D63E2" w:rsidRPr="008D53B6" w:rsidRDefault="004D63E2" w:rsidP="004D6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63E2" w:rsidRPr="004D63E2" w:rsidRDefault="004D63E2" w:rsidP="004D63E2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D63E2">
        <w:rPr>
          <w:sz w:val="28"/>
          <w:szCs w:val="28"/>
        </w:rPr>
        <w:t>Комитет по внутреннему транспорту</w:t>
      </w:r>
    </w:p>
    <w:p w:rsidR="004D63E2" w:rsidRPr="004D63E2" w:rsidRDefault="004D63E2" w:rsidP="004D63E2">
      <w:pPr>
        <w:pStyle w:val="SingleTxtGR"/>
        <w:ind w:left="0"/>
        <w:jc w:val="left"/>
        <w:rPr>
          <w:b/>
          <w:sz w:val="24"/>
          <w:szCs w:val="24"/>
        </w:rPr>
      </w:pPr>
      <w:r w:rsidRPr="004D63E2">
        <w:rPr>
          <w:b/>
          <w:bCs/>
          <w:sz w:val="24"/>
          <w:szCs w:val="24"/>
        </w:rPr>
        <w:t>Рабочая группа по перевозкам опасных грузов</w:t>
      </w:r>
    </w:p>
    <w:p w:rsidR="004D63E2" w:rsidRPr="004D63E2" w:rsidRDefault="004D63E2" w:rsidP="004D63E2">
      <w:pPr>
        <w:pStyle w:val="SingleTxtGR"/>
        <w:spacing w:after="0"/>
        <w:ind w:left="0"/>
        <w:jc w:val="left"/>
        <w:rPr>
          <w:b/>
        </w:rPr>
      </w:pPr>
      <w:r w:rsidRPr="004D63E2">
        <w:rPr>
          <w:b/>
          <w:bCs/>
        </w:rPr>
        <w:t>Совместное совещание экспертов по Правилам,</w:t>
      </w:r>
      <w:r w:rsidRPr="004D63E2">
        <w:rPr>
          <w:b/>
          <w:bCs/>
        </w:rPr>
        <w:br/>
        <w:t>прилагаемым к Европейскому соглашению</w:t>
      </w:r>
      <w:r w:rsidRPr="004D63E2">
        <w:rPr>
          <w:b/>
          <w:bCs/>
        </w:rPr>
        <w:br/>
        <w:t>о международной перевозке опасных грузов</w:t>
      </w:r>
      <w:r w:rsidRPr="004D63E2">
        <w:rPr>
          <w:b/>
          <w:bCs/>
        </w:rPr>
        <w:br/>
        <w:t>по внутренним водным путям (ВОПОГ)</w:t>
      </w:r>
      <w:r w:rsidRPr="004D63E2">
        <w:rPr>
          <w:b/>
          <w:bCs/>
        </w:rPr>
        <w:br/>
        <w:t>(Комитет по вопросам безопасности ВОПОГ)</w:t>
      </w:r>
    </w:p>
    <w:p w:rsidR="004D63E2" w:rsidRPr="004D63E2" w:rsidRDefault="004D63E2" w:rsidP="004D63E2">
      <w:pPr>
        <w:pStyle w:val="SingleTxtGR"/>
        <w:spacing w:before="120" w:after="0"/>
        <w:ind w:left="0"/>
        <w:jc w:val="left"/>
        <w:rPr>
          <w:b/>
        </w:rPr>
      </w:pPr>
      <w:r w:rsidRPr="004D63E2">
        <w:rPr>
          <w:b/>
          <w:bCs/>
        </w:rPr>
        <w:t>Тридцать вторая сессия</w:t>
      </w:r>
    </w:p>
    <w:p w:rsidR="004D63E2" w:rsidRPr="004D63E2" w:rsidRDefault="004D63E2" w:rsidP="004D63E2">
      <w:pPr>
        <w:pStyle w:val="SingleTxtGR"/>
        <w:spacing w:after="0"/>
        <w:ind w:left="0"/>
        <w:jc w:val="left"/>
      </w:pPr>
      <w:r w:rsidRPr="004D63E2">
        <w:t>Женева, 22–26 января 2018 года</w:t>
      </w:r>
    </w:p>
    <w:p w:rsidR="004D63E2" w:rsidRPr="004D63E2" w:rsidRDefault="004D63E2" w:rsidP="004D63E2">
      <w:pPr>
        <w:pStyle w:val="SingleTxtGR"/>
        <w:spacing w:after="0"/>
        <w:ind w:left="0"/>
        <w:jc w:val="left"/>
      </w:pPr>
      <w:r w:rsidRPr="004D63E2">
        <w:t>Пункт 4 b) предварительной повестки дня</w:t>
      </w:r>
    </w:p>
    <w:p w:rsidR="004D63E2" w:rsidRPr="004D63E2" w:rsidRDefault="004D63E2" w:rsidP="004D63E2">
      <w:pPr>
        <w:pStyle w:val="SingleTxtGR"/>
        <w:spacing w:after="0"/>
        <w:ind w:left="0"/>
        <w:jc w:val="left"/>
        <w:rPr>
          <w:b/>
        </w:rPr>
      </w:pPr>
      <w:r w:rsidRPr="004D63E2">
        <w:rPr>
          <w:b/>
          <w:bCs/>
        </w:rPr>
        <w:t xml:space="preserve">Применение Европейского соглашения </w:t>
      </w:r>
      <w:r w:rsidR="002909BE">
        <w:rPr>
          <w:b/>
          <w:bCs/>
        </w:rPr>
        <w:br/>
      </w:r>
      <w:r w:rsidRPr="004D63E2">
        <w:rPr>
          <w:b/>
          <w:bCs/>
        </w:rPr>
        <w:t xml:space="preserve">о международной перевозке опасных грузов </w:t>
      </w:r>
      <w:r w:rsidR="002909BE">
        <w:rPr>
          <w:b/>
          <w:bCs/>
        </w:rPr>
        <w:br/>
      </w:r>
      <w:r w:rsidRPr="004D63E2">
        <w:rPr>
          <w:b/>
          <w:bCs/>
        </w:rPr>
        <w:t xml:space="preserve">по внутренним водным путям (ВОПОГ): </w:t>
      </w:r>
      <w:r w:rsidR="002909BE">
        <w:rPr>
          <w:b/>
          <w:bCs/>
        </w:rPr>
        <w:br/>
      </w:r>
      <w:r w:rsidRPr="004D63E2">
        <w:rPr>
          <w:b/>
          <w:bCs/>
        </w:rPr>
        <w:t xml:space="preserve">специальные разрешения, отступления </w:t>
      </w:r>
      <w:r w:rsidR="002909BE">
        <w:rPr>
          <w:b/>
          <w:bCs/>
        </w:rPr>
        <w:br/>
      </w:r>
      <w:r w:rsidRPr="004D63E2">
        <w:rPr>
          <w:b/>
          <w:bCs/>
        </w:rPr>
        <w:t>и эквивалентные аналоги</w:t>
      </w:r>
    </w:p>
    <w:p w:rsidR="004D63E2" w:rsidRPr="004D63E2" w:rsidRDefault="004D63E2" w:rsidP="004D63E2">
      <w:pPr>
        <w:pStyle w:val="HChGR"/>
      </w:pPr>
      <w:r w:rsidRPr="004D63E2">
        <w:tab/>
      </w:r>
      <w:r w:rsidRPr="004D63E2">
        <w:tab/>
        <w:t>Раздел 1.16.0 ВОПОГ – Собственник и оператор</w:t>
      </w:r>
    </w:p>
    <w:p w:rsidR="004D63E2" w:rsidRPr="004D63E2" w:rsidRDefault="004D63E2" w:rsidP="004D63E2">
      <w:pPr>
        <w:pStyle w:val="H1GR"/>
        <w:rPr>
          <w:vertAlign w:val="superscript"/>
        </w:rPr>
      </w:pPr>
      <w:r w:rsidRPr="004D63E2">
        <w:tab/>
      </w:r>
      <w:r w:rsidRPr="004D63E2">
        <w:tab/>
        <w:t>Передано правительством Германии</w:t>
      </w:r>
      <w:r w:rsidRPr="004D63E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D01CC">
        <w:rPr>
          <w:b w:val="0"/>
          <w:sz w:val="20"/>
        </w:rPr>
        <w:t xml:space="preserve"> </w:t>
      </w:r>
      <w:r w:rsidRPr="00AD01C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4D63E2" w:rsidRPr="004D63E2" w:rsidRDefault="004D63E2" w:rsidP="004D63E2">
      <w:pPr>
        <w:pStyle w:val="HChGR"/>
      </w:pPr>
      <w:r w:rsidRPr="004D63E2">
        <w:tab/>
        <w:t>I.</w:t>
      </w:r>
      <w:r w:rsidRPr="004D63E2">
        <w:tab/>
        <w:t>Затрагиваемое положение:</w:t>
      </w:r>
    </w:p>
    <w:p w:rsidR="004D63E2" w:rsidRPr="004D63E2" w:rsidRDefault="004D63E2" w:rsidP="004D63E2">
      <w:pPr>
        <w:pStyle w:val="SingleTxtGR"/>
      </w:pPr>
      <w:r w:rsidRPr="00AD01CC">
        <w:rPr>
          <w:bCs/>
        </w:rPr>
        <w:t>«</w:t>
      </w:r>
      <w:r w:rsidRPr="004D63E2">
        <w:rPr>
          <w:b/>
          <w:bCs/>
        </w:rPr>
        <w:t>1.16.0</w:t>
      </w:r>
      <w:r w:rsidRPr="004D63E2">
        <w:tab/>
        <w:t>Для целей настоящей главы "собственник" означает "собственник или его назначенный представитель либо, если судно зафрахтовано оператором, оператор или его назначенный представитель".».</w:t>
      </w:r>
    </w:p>
    <w:p w:rsidR="004D63E2" w:rsidRPr="004D63E2" w:rsidRDefault="004D63E2" w:rsidP="004D63E2">
      <w:pPr>
        <w:pStyle w:val="HChGR"/>
      </w:pPr>
      <w:r w:rsidRPr="004D63E2">
        <w:tab/>
        <w:t>II.</w:t>
      </w:r>
      <w:r w:rsidRPr="004D63E2">
        <w:tab/>
        <w:t>Вопрос толкования</w:t>
      </w:r>
    </w:p>
    <w:p w:rsidR="004D63E2" w:rsidRPr="004D63E2" w:rsidRDefault="004D63E2" w:rsidP="004D63E2">
      <w:pPr>
        <w:pStyle w:val="SingleTxtGR"/>
      </w:pPr>
      <w:r w:rsidRPr="004D63E2">
        <w:t>1.</w:t>
      </w:r>
      <w:r w:rsidRPr="004D63E2">
        <w:tab/>
        <w:t>В этом положении нет четкого указания относительно того, какое предприятие должно рассматриваться в качестве оператора.</w:t>
      </w:r>
    </w:p>
    <w:p w:rsidR="004D63E2" w:rsidRPr="004D63E2" w:rsidRDefault="004D63E2" w:rsidP="004D63E2">
      <w:pPr>
        <w:pStyle w:val="SingleTxtGR"/>
      </w:pPr>
      <w:r w:rsidRPr="004D63E2">
        <w:t>2.</w:t>
      </w:r>
      <w:r w:rsidRPr="004D63E2">
        <w:tab/>
        <w:t>Согласно информации, имеющейся в распоряжении делегации Германии, во внутреннем судоходстве используются две операционные модели:</w:t>
      </w:r>
    </w:p>
    <w:p w:rsidR="009E46E3" w:rsidRDefault="004D63E2" w:rsidP="004D63E2">
      <w:pPr>
        <w:pStyle w:val="SingleTxtGR"/>
      </w:pPr>
      <w:r w:rsidRPr="004D63E2">
        <w:lastRenderedPageBreak/>
        <w:tab/>
        <w:t>a)</w:t>
      </w:r>
      <w:r w:rsidRPr="004D63E2">
        <w:tab/>
      </w:r>
      <w:r w:rsidRPr="004D63E2">
        <w:rPr>
          <w:u w:val="single"/>
        </w:rPr>
        <w:t>бербоут-чартер</w:t>
      </w:r>
      <w:r w:rsidRPr="004D63E2">
        <w:t xml:space="preserve">: предоставление не укомплектованного экипажем и неснаряженного судна внутреннего плавания его собственником в пользование другому предприятию, которое может использовать это судно в течение срока действия чартера и отвечает за укомплектование судна экипажем и снаряжение техническими средствами; </w:t>
      </w:r>
    </w:p>
    <w:p w:rsidR="004D63E2" w:rsidRPr="004D63E2" w:rsidRDefault="004D63E2" w:rsidP="004D63E2">
      <w:pPr>
        <w:pStyle w:val="SingleTxtGR"/>
      </w:pPr>
      <w:r w:rsidRPr="004D63E2">
        <w:tab/>
        <w:t>b)</w:t>
      </w:r>
      <w:r w:rsidRPr="004D63E2">
        <w:tab/>
      </w:r>
      <w:r w:rsidRPr="004D63E2">
        <w:rPr>
          <w:u w:val="single"/>
        </w:rPr>
        <w:t>тайм-чартер</w:t>
      </w:r>
      <w:r w:rsidRPr="004D63E2">
        <w:t>: предоставление на определенный срок судна с экипажем и оборудованием в распоряжение другого предприятия, которое может использовать его в течение срока действия чартера для перевозки грузов или пассажиров или оказания других услуг по согласованию с предприятием-фрахтовщиком.</w:t>
      </w:r>
    </w:p>
    <w:p w:rsidR="004D63E2" w:rsidRPr="004D63E2" w:rsidRDefault="004D63E2" w:rsidP="004D63E2">
      <w:pPr>
        <w:pStyle w:val="SingleTxtGR"/>
      </w:pPr>
      <w:r w:rsidRPr="004D63E2">
        <w:t>3.</w:t>
      </w:r>
      <w:r w:rsidRPr="004D63E2">
        <w:tab/>
        <w:t>Предприятие, в распоряжение которого судно было предоставлено на условиях т</w:t>
      </w:r>
      <w:r w:rsidR="002A17AE">
        <w:t>ак называемого</w:t>
      </w:r>
      <w:r w:rsidRPr="004D63E2">
        <w:t xml:space="preserve"> бербоут-чартера, может в свою очередь предоставить его третьему предприятию на условиях </w:t>
      </w:r>
      <w:r w:rsidR="002A17AE">
        <w:t>так называемого</w:t>
      </w:r>
      <w:r w:rsidRPr="004D63E2">
        <w:t xml:space="preserve"> тайм-чартера.</w:t>
      </w:r>
    </w:p>
    <w:p w:rsidR="004D63E2" w:rsidRPr="004D63E2" w:rsidRDefault="004D63E2" w:rsidP="004D63E2">
      <w:pPr>
        <w:pStyle w:val="SingleTxtGR"/>
      </w:pPr>
      <w:r w:rsidRPr="004D63E2">
        <w:t>4.</w:t>
      </w:r>
      <w:r w:rsidRPr="004D63E2">
        <w:tab/>
        <w:t xml:space="preserve">В требованиях к судоходству, установленных Центральной комиссией судоходства по Рейну, проводится описанное ниже различие в отношении оператора судна (фр. </w:t>
      </w:r>
      <w:r w:rsidR="00430721">
        <w:t>«</w:t>
      </w:r>
      <w:r w:rsidRPr="004D63E2">
        <w:t>exploitant</w:t>
      </w:r>
      <w:r w:rsidR="00430721">
        <w:t>»</w:t>
      </w:r>
      <w:r w:rsidRPr="004D63E2">
        <w:t>).</w:t>
      </w:r>
    </w:p>
    <w:p w:rsidR="004D63E2" w:rsidRPr="004D63E2" w:rsidRDefault="004D63E2" w:rsidP="004D63E2">
      <w:pPr>
        <w:pStyle w:val="SingleTxtGR"/>
      </w:pPr>
      <w:r w:rsidRPr="004D63E2">
        <w:t>5.</w:t>
      </w:r>
      <w:r w:rsidRPr="004D63E2">
        <w:tab/>
        <w:t>Эксплуатируя свое судно, оператор (</w:t>
      </w:r>
      <w:r w:rsidR="00430721">
        <w:t>«</w:t>
      </w:r>
      <w:r w:rsidRPr="004D63E2">
        <w:t>exploitant</w:t>
      </w:r>
      <w:r w:rsidR="00430721">
        <w:t>»</w:t>
      </w:r>
      <w:r w:rsidRPr="004D63E2">
        <w:t>) принимает на себя все расходы и риски.</w:t>
      </w:r>
    </w:p>
    <w:p w:rsidR="004D63E2" w:rsidRPr="004D63E2" w:rsidRDefault="004D63E2" w:rsidP="004D63E2">
      <w:pPr>
        <w:pStyle w:val="SingleTxtGR"/>
      </w:pPr>
      <w:r w:rsidRPr="004D63E2">
        <w:t>6.</w:t>
      </w:r>
      <w:r w:rsidRPr="004D63E2">
        <w:tab/>
        <w:t>В случае фрахтования на условиях бербоут-чартера оператор выступает в качестве нанимателя/фрахтователя судна.</w:t>
      </w:r>
    </w:p>
    <w:p w:rsidR="004D63E2" w:rsidRPr="004D63E2" w:rsidRDefault="004D63E2" w:rsidP="004D63E2">
      <w:pPr>
        <w:pStyle w:val="SingleTxtGR"/>
        <w:rPr>
          <w:b/>
        </w:rPr>
      </w:pPr>
      <w:r w:rsidRPr="004D63E2">
        <w:rPr>
          <w:b/>
        </w:rPr>
        <w:sym w:font="Symbol" w:char="F0DE"/>
      </w:r>
      <w:r w:rsidRPr="004D63E2">
        <w:rPr>
          <w:b/>
        </w:rPr>
        <w:t>Закреплено ли в правилах ЦКСР или ЕС юридическое определение оператора (</w:t>
      </w:r>
      <w:r w:rsidR="00430721">
        <w:rPr>
          <w:b/>
        </w:rPr>
        <w:t>«</w:t>
      </w:r>
      <w:r w:rsidRPr="004D63E2">
        <w:rPr>
          <w:b/>
        </w:rPr>
        <w:t>opérateur</w:t>
      </w:r>
      <w:r w:rsidR="00430721">
        <w:rPr>
          <w:b/>
        </w:rPr>
        <w:t>»</w:t>
      </w:r>
      <w:r w:rsidRPr="004D63E2">
        <w:rPr>
          <w:b/>
        </w:rPr>
        <w:t>/</w:t>
      </w:r>
      <w:r w:rsidR="009B4DE5">
        <w:rPr>
          <w:b/>
        </w:rPr>
        <w:t>«</w:t>
      </w:r>
      <w:r w:rsidRPr="004D63E2">
        <w:rPr>
          <w:b/>
        </w:rPr>
        <w:t>exploitant</w:t>
      </w:r>
      <w:r w:rsidR="00430721">
        <w:rPr>
          <w:b/>
        </w:rPr>
        <w:t>»</w:t>
      </w:r>
      <w:r w:rsidRPr="004D63E2">
        <w:rPr>
          <w:b/>
        </w:rPr>
        <w:t>)?</w:t>
      </w:r>
    </w:p>
    <w:p w:rsidR="004D63E2" w:rsidRPr="004D63E2" w:rsidRDefault="004D63E2" w:rsidP="004D63E2">
      <w:pPr>
        <w:pStyle w:val="SingleTxtGR"/>
      </w:pPr>
      <w:r w:rsidRPr="004D63E2">
        <w:t>7.</w:t>
      </w:r>
      <w:r w:rsidRPr="004D63E2">
        <w:tab/>
        <w:t>В случае фрахтования на определенное время или рейс выгодоприобретателем от эксплуатации судна, как правило, остается его собственник.</w:t>
      </w:r>
    </w:p>
    <w:p w:rsidR="004D63E2" w:rsidRPr="004D63E2" w:rsidRDefault="004D63E2" w:rsidP="00733D7A">
      <w:pPr>
        <w:pStyle w:val="H1GR"/>
      </w:pPr>
      <w:r w:rsidRPr="00AD01CC">
        <w:tab/>
      </w:r>
      <w:r w:rsidRPr="00AD01CC">
        <w:tab/>
      </w:r>
      <w:r w:rsidRPr="004D63E2">
        <w:t>Предложение</w:t>
      </w:r>
    </w:p>
    <w:p w:rsidR="004D63E2" w:rsidRPr="004D63E2" w:rsidRDefault="004D63E2" w:rsidP="004D63E2">
      <w:pPr>
        <w:pStyle w:val="SingleTxtGR"/>
      </w:pPr>
      <w:r w:rsidRPr="004D63E2">
        <w:t>8.</w:t>
      </w:r>
      <w:r w:rsidRPr="004D63E2">
        <w:tab/>
        <w:t>По мнению делегации Германии, в разделе 1.16.0 под оператором понимается тот, кто несет юридическую и финансовую ответственность за техническое оборудование судна. Имеется в виду только тот, кто эксплуатирует судно на условиях т</w:t>
      </w:r>
      <w:r w:rsidR="00F7652E">
        <w:t>ак называемого</w:t>
      </w:r>
      <w:r w:rsidRPr="004D63E2">
        <w:t xml:space="preserve"> бербоут-чартера, а не тот, кто использует судно на условиях т</w:t>
      </w:r>
      <w:r w:rsidR="00F7652E">
        <w:t>ак называемого</w:t>
      </w:r>
      <w:r w:rsidRPr="004D63E2">
        <w:t xml:space="preserve"> тайм-чартера.</w:t>
      </w:r>
    </w:p>
    <w:p w:rsidR="004D63E2" w:rsidRPr="004D63E2" w:rsidRDefault="004D63E2" w:rsidP="004D63E2">
      <w:pPr>
        <w:pStyle w:val="SingleTxtGR"/>
      </w:pPr>
      <w:r w:rsidRPr="004D63E2">
        <w:t>9.</w:t>
      </w:r>
      <w:r w:rsidRPr="004D63E2">
        <w:tab/>
        <w:t>Тот же вывод можно сделать и на основании правила морского судоходства, закрепленного в Конвенции СОЛАС (глава IX, правило 2, пункт 2):</w:t>
      </w:r>
    </w:p>
    <w:p w:rsidR="004D63E2" w:rsidRPr="001977B0" w:rsidRDefault="004D63E2" w:rsidP="00150FC6">
      <w:pPr>
        <w:pStyle w:val="SingleTxtGR"/>
        <w:rPr>
          <w:i/>
        </w:rPr>
      </w:pPr>
      <w:r w:rsidRPr="001977B0">
        <w:rPr>
          <w:i/>
        </w:rPr>
        <w:t>«</w:t>
      </w:r>
      <w:r w:rsidR="001977B0" w:rsidRPr="001977B0">
        <w:rPr>
          <w:i/>
        </w:rPr>
        <w:t>ʺ</w:t>
      </w:r>
      <w:r w:rsidRPr="001977B0">
        <w:rPr>
          <w:i/>
        </w:rPr>
        <w:t>Компания</w:t>
      </w:r>
      <w:r w:rsidR="001977B0" w:rsidRPr="001977B0">
        <w:rPr>
          <w:i/>
        </w:rPr>
        <w:t>ʺ</w:t>
      </w:r>
      <w:r w:rsidRPr="001977B0">
        <w:rPr>
          <w:i/>
        </w:rPr>
        <w:t xml:space="preserve"> означает собственника судна или любую другую организацию, или лицо, такое как управляющий или фрахтователь по бербоут-чартеру, которые приняли на себя ответственность за эксплуатацию судна от собственника судна и которые, при этом, согласились принять на себя все обязанности и всю ответственность, возлагаемые Международным кодексом по управлению безопасностью.».</w:t>
      </w:r>
    </w:p>
    <w:p w:rsidR="00E12C5F" w:rsidRPr="001977B0" w:rsidRDefault="004D63E2" w:rsidP="004D63E2">
      <w:pPr>
        <w:pStyle w:val="SingleTxtGR"/>
      </w:pPr>
      <w:r w:rsidRPr="004D63E2">
        <w:t>10.</w:t>
      </w:r>
      <w:r w:rsidRPr="004D63E2">
        <w:tab/>
        <w:t>Германия предлагает Комитету по вопросам безопасности рассмотреть этот вопрос и была бы рада получить подтверждение правильности предложенного ею толкования.</w:t>
      </w:r>
    </w:p>
    <w:p w:rsidR="004D63E2" w:rsidRPr="001977B0" w:rsidRDefault="004D63E2" w:rsidP="004D63E2">
      <w:pPr>
        <w:pStyle w:val="SingleTxtGR"/>
        <w:spacing w:before="240" w:after="0"/>
        <w:jc w:val="center"/>
        <w:rPr>
          <w:u w:val="single"/>
        </w:rPr>
      </w:pPr>
      <w:r w:rsidRPr="001977B0">
        <w:rPr>
          <w:u w:val="single"/>
        </w:rPr>
        <w:tab/>
      </w:r>
      <w:r w:rsidRPr="001977B0">
        <w:rPr>
          <w:u w:val="single"/>
        </w:rPr>
        <w:tab/>
      </w:r>
      <w:r w:rsidRPr="001977B0">
        <w:rPr>
          <w:u w:val="single"/>
        </w:rPr>
        <w:tab/>
      </w:r>
    </w:p>
    <w:sectPr w:rsidR="004D63E2" w:rsidRPr="001977B0" w:rsidSect="004D6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1A" w:rsidRPr="00A312BC" w:rsidRDefault="00F43A1A" w:rsidP="00A312BC"/>
  </w:endnote>
  <w:endnote w:type="continuationSeparator" w:id="0">
    <w:p w:rsidR="00F43A1A" w:rsidRPr="00A312BC" w:rsidRDefault="00F43A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2" w:rsidRPr="004D63E2" w:rsidRDefault="004D63E2">
    <w:pPr>
      <w:pStyle w:val="Footer"/>
    </w:pPr>
    <w:r w:rsidRPr="004D63E2">
      <w:rPr>
        <w:b/>
        <w:sz w:val="18"/>
      </w:rPr>
      <w:fldChar w:fldCharType="begin"/>
    </w:r>
    <w:r w:rsidRPr="004D63E2">
      <w:rPr>
        <w:b/>
        <w:sz w:val="18"/>
      </w:rPr>
      <w:instrText xml:space="preserve"> PAGE  \* MERGEFORMAT </w:instrText>
    </w:r>
    <w:r w:rsidRPr="004D63E2">
      <w:rPr>
        <w:b/>
        <w:sz w:val="18"/>
      </w:rPr>
      <w:fldChar w:fldCharType="separate"/>
    </w:r>
    <w:r w:rsidR="00D23693">
      <w:rPr>
        <w:b/>
        <w:noProof/>
        <w:sz w:val="18"/>
      </w:rPr>
      <w:t>2</w:t>
    </w:r>
    <w:r w:rsidRPr="004D63E2">
      <w:rPr>
        <w:b/>
        <w:sz w:val="18"/>
      </w:rPr>
      <w:fldChar w:fldCharType="end"/>
    </w:r>
    <w:r>
      <w:rPr>
        <w:b/>
        <w:sz w:val="18"/>
      </w:rPr>
      <w:tab/>
    </w:r>
    <w:r>
      <w:t>GE.17-18568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2" w:rsidRPr="004D63E2" w:rsidRDefault="004D63E2" w:rsidP="004D63E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GE.17-18568</w:t>
    </w:r>
    <w:r>
      <w:tab/>
    </w:r>
    <w:r w:rsidRPr="004D63E2">
      <w:rPr>
        <w:b/>
        <w:sz w:val="18"/>
      </w:rPr>
      <w:fldChar w:fldCharType="begin"/>
    </w:r>
    <w:r w:rsidRPr="004D63E2">
      <w:rPr>
        <w:b/>
        <w:sz w:val="18"/>
      </w:rPr>
      <w:instrText xml:space="preserve"> PAGE  \* MERGEFORMAT </w:instrText>
    </w:r>
    <w:r w:rsidRPr="004D63E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63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D63E2" w:rsidRDefault="004D63E2" w:rsidP="004D63E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DD362F" wp14:editId="3674B4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17-18568  (R)</w:t>
    </w:r>
    <w:r>
      <w:rPr>
        <w:lang w:val="en-US"/>
      </w:rPr>
      <w:t xml:space="preserve">  021117  061117</w:t>
    </w:r>
    <w:r>
      <w:br/>
    </w:r>
    <w:r w:rsidRPr="004D63E2">
      <w:rPr>
        <w:rFonts w:ascii="C39T30Lfz" w:hAnsi="C39T30Lfz"/>
        <w:spacing w:val="0"/>
        <w:w w:val="100"/>
        <w:sz w:val="56"/>
      </w:rPr>
      <w:t></w:t>
    </w:r>
    <w:r w:rsidRPr="004D63E2">
      <w:rPr>
        <w:rFonts w:ascii="C39T30Lfz" w:hAnsi="C39T30Lfz"/>
        <w:spacing w:val="0"/>
        <w:w w:val="100"/>
        <w:sz w:val="56"/>
      </w:rPr>
      <w:t></w:t>
    </w:r>
    <w:r w:rsidRPr="004D63E2">
      <w:rPr>
        <w:rFonts w:ascii="C39T30Lfz" w:hAnsi="C39T30Lfz"/>
        <w:spacing w:val="0"/>
        <w:w w:val="100"/>
        <w:sz w:val="56"/>
      </w:rPr>
      <w:t></w:t>
    </w:r>
    <w:r w:rsidRPr="004D63E2">
      <w:rPr>
        <w:rFonts w:ascii="C39T30Lfz" w:hAnsi="C39T30Lfz"/>
        <w:spacing w:val="0"/>
        <w:w w:val="100"/>
        <w:sz w:val="56"/>
      </w:rPr>
      <w:t></w:t>
    </w:r>
    <w:r w:rsidRPr="004D63E2">
      <w:rPr>
        <w:rFonts w:ascii="C39T30Lfz" w:hAnsi="C39T30Lfz"/>
        <w:spacing w:val="0"/>
        <w:w w:val="100"/>
        <w:sz w:val="56"/>
      </w:rPr>
      <w:t></w:t>
    </w:r>
    <w:r w:rsidRPr="004D63E2">
      <w:rPr>
        <w:rFonts w:ascii="C39T30Lfz" w:hAnsi="C39T30Lfz"/>
        <w:spacing w:val="0"/>
        <w:w w:val="100"/>
        <w:sz w:val="56"/>
      </w:rPr>
      <w:t></w:t>
    </w:r>
    <w:r w:rsidRPr="004D63E2">
      <w:rPr>
        <w:rFonts w:ascii="C39T30Lfz" w:hAnsi="C39T30Lfz"/>
        <w:spacing w:val="0"/>
        <w:w w:val="100"/>
        <w:sz w:val="56"/>
      </w:rPr>
      <w:t></w:t>
    </w:r>
    <w:r w:rsidRPr="004D63E2">
      <w:rPr>
        <w:rFonts w:ascii="C39T30Lfz" w:hAnsi="C39T30Lfz"/>
        <w:spacing w:val="0"/>
        <w:w w:val="100"/>
        <w:sz w:val="56"/>
      </w:rPr>
      <w:t></w:t>
    </w:r>
    <w:r w:rsidRPr="004D63E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1A" w:rsidRPr="001075E9" w:rsidRDefault="00F43A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3A1A" w:rsidRDefault="00F43A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63E2" w:rsidRPr="004D63E2" w:rsidRDefault="004D63E2">
      <w:pPr>
        <w:pStyle w:val="FootnoteText"/>
        <w:rPr>
          <w:sz w:val="20"/>
          <w:lang w:val="ru-RU"/>
        </w:rPr>
      </w:pPr>
      <w:r>
        <w:tab/>
      </w:r>
      <w:r w:rsidRPr="004D63E2">
        <w:rPr>
          <w:rStyle w:val="FootnoteReference"/>
          <w:sz w:val="20"/>
          <w:vertAlign w:val="baseline"/>
          <w:lang w:val="ru-RU"/>
        </w:rPr>
        <w:t>*</w:t>
      </w:r>
      <w:r w:rsidRPr="004D63E2">
        <w:rPr>
          <w:rStyle w:val="FootnoteReference"/>
          <w:vertAlign w:val="baseline"/>
          <w:lang w:val="ru-RU"/>
        </w:rPr>
        <w:tab/>
      </w:r>
      <w:r w:rsidRPr="004D63E2">
        <w:rPr>
          <w:lang w:val="ru-RU"/>
        </w:rPr>
        <w:t>Распространено на немецком языке Центральной комиссией судоходства по Рейну под условным обозначением CCNR-ZKR/ADN/WP.15/AC.2/2018/7.</w:t>
      </w:r>
    </w:p>
  </w:footnote>
  <w:footnote w:id="2">
    <w:p w:rsidR="004D63E2" w:rsidRPr="004D63E2" w:rsidRDefault="004D63E2">
      <w:pPr>
        <w:pStyle w:val="FootnoteText"/>
        <w:rPr>
          <w:sz w:val="20"/>
          <w:lang w:val="ru-RU"/>
        </w:rPr>
      </w:pPr>
      <w:r w:rsidRPr="00AD01CC">
        <w:rPr>
          <w:lang w:val="ru-RU"/>
        </w:rPr>
        <w:tab/>
      </w:r>
      <w:r w:rsidRPr="004D63E2">
        <w:rPr>
          <w:rStyle w:val="FootnoteReference"/>
          <w:sz w:val="20"/>
          <w:vertAlign w:val="baseline"/>
          <w:lang w:val="ru-RU"/>
        </w:rPr>
        <w:t>**</w:t>
      </w:r>
      <w:r w:rsidRPr="004D63E2">
        <w:rPr>
          <w:rStyle w:val="FootnoteReference"/>
          <w:vertAlign w:val="baseline"/>
          <w:lang w:val="ru-RU"/>
        </w:rPr>
        <w:tab/>
      </w:r>
      <w:r w:rsidRPr="004D63E2">
        <w:rPr>
          <w:lang w:val="ru-RU"/>
        </w:rPr>
        <w:t xml:space="preserve">В соответствии с программой работы Комитета по внутреннему транспорту </w:t>
      </w:r>
      <w:r w:rsidRPr="004D63E2">
        <w:rPr>
          <w:lang w:val="ru-RU"/>
        </w:rPr>
        <w:br/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2" w:rsidRPr="004D63E2" w:rsidRDefault="00443C6B">
    <w:pPr>
      <w:pStyle w:val="Header"/>
    </w:pPr>
    <w:fldSimple w:instr=" TITLE  \* MERGEFORMAT ">
      <w:r w:rsidR="00D23693">
        <w:t>ECE/TRANS/WP.15/AC.2/2018/7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2" w:rsidRPr="004D63E2" w:rsidRDefault="00443C6B" w:rsidP="004D63E2">
    <w:pPr>
      <w:pStyle w:val="Header"/>
      <w:jc w:val="right"/>
    </w:pPr>
    <w:fldSimple w:instr=" TITLE  \* MERGEFORMAT ">
      <w:r w:rsidR="00D23693">
        <w:t>ECE/TRANS/WP.15/AC.2/2018/7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2" w:rsidRDefault="004D63E2" w:rsidP="004D63E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FC6"/>
    <w:rsid w:val="00180183"/>
    <w:rsid w:val="0018024D"/>
    <w:rsid w:val="0018649F"/>
    <w:rsid w:val="00196389"/>
    <w:rsid w:val="001977B0"/>
    <w:rsid w:val="001B3EF6"/>
    <w:rsid w:val="001C2685"/>
    <w:rsid w:val="001C69FB"/>
    <w:rsid w:val="001C7A89"/>
    <w:rsid w:val="00255343"/>
    <w:rsid w:val="0027151D"/>
    <w:rsid w:val="002909BE"/>
    <w:rsid w:val="002A17A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0721"/>
    <w:rsid w:val="00443C6B"/>
    <w:rsid w:val="00452493"/>
    <w:rsid w:val="00453318"/>
    <w:rsid w:val="00454AF2"/>
    <w:rsid w:val="00454E07"/>
    <w:rsid w:val="00472C5C"/>
    <w:rsid w:val="004D63E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1EED"/>
    <w:rsid w:val="006A1ED8"/>
    <w:rsid w:val="006C2031"/>
    <w:rsid w:val="006D461A"/>
    <w:rsid w:val="006F35EE"/>
    <w:rsid w:val="007021FF"/>
    <w:rsid w:val="00712895"/>
    <w:rsid w:val="00733D7A"/>
    <w:rsid w:val="00734ACB"/>
    <w:rsid w:val="00757357"/>
    <w:rsid w:val="00792497"/>
    <w:rsid w:val="007F6CD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DE5"/>
    <w:rsid w:val="009C6FE6"/>
    <w:rsid w:val="009D7E7D"/>
    <w:rsid w:val="009E46E3"/>
    <w:rsid w:val="00A14DA8"/>
    <w:rsid w:val="00A312BC"/>
    <w:rsid w:val="00A84021"/>
    <w:rsid w:val="00A84D35"/>
    <w:rsid w:val="00A917B3"/>
    <w:rsid w:val="00AB4B51"/>
    <w:rsid w:val="00AD01CC"/>
    <w:rsid w:val="00B10CC7"/>
    <w:rsid w:val="00B36DF7"/>
    <w:rsid w:val="00B539E7"/>
    <w:rsid w:val="00B62458"/>
    <w:rsid w:val="00BA5F45"/>
    <w:rsid w:val="00BC18B2"/>
    <w:rsid w:val="00BD33EE"/>
    <w:rsid w:val="00BE1CC7"/>
    <w:rsid w:val="00C106D6"/>
    <w:rsid w:val="00C119AE"/>
    <w:rsid w:val="00C52753"/>
    <w:rsid w:val="00C60F0C"/>
    <w:rsid w:val="00C805C9"/>
    <w:rsid w:val="00C92939"/>
    <w:rsid w:val="00CA1679"/>
    <w:rsid w:val="00CB151C"/>
    <w:rsid w:val="00CE5A1A"/>
    <w:rsid w:val="00CF55F6"/>
    <w:rsid w:val="00D0660B"/>
    <w:rsid w:val="00D23693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3A1A"/>
    <w:rsid w:val="00F7652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00BF4C7-08E5-45F0-8134-F4FA6D5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ECE/TRANS/WP.15/AC.2/2018/7</vt:lpstr>
      <vt:lpstr>ECE/TRANS/WP.15/AC.2/2018/7</vt:lpstr>
      <vt:lpstr>A/</vt:lpstr>
    </vt:vector>
  </TitlesOfParts>
  <Company>DCM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ECE/TRANS/WP.15/AC.2/2018/7</dc:title>
  <dc:subject/>
  <dc:creator>Ovchinnikova Olga</dc:creator>
  <cp:keywords/>
  <cp:lastModifiedBy>Marie-Claude Collet</cp:lastModifiedBy>
  <cp:revision>3</cp:revision>
  <cp:lastPrinted>2017-11-06T11:51:00Z</cp:lastPrinted>
  <dcterms:created xsi:type="dcterms:W3CDTF">2017-11-06T11:51:00Z</dcterms:created>
  <dcterms:modified xsi:type="dcterms:W3CDTF">2017-11-06T11:52:00Z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