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378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3781C" w:rsidP="0003781C">
            <w:pPr>
              <w:jc w:val="right"/>
            </w:pPr>
            <w:r w:rsidRPr="0003781C">
              <w:rPr>
                <w:sz w:val="40"/>
              </w:rPr>
              <w:t>ECE</w:t>
            </w:r>
            <w:r>
              <w:t>/TRANS/WP.15/AC.2/2018/48</w:t>
            </w:r>
          </w:p>
        </w:tc>
      </w:tr>
      <w:tr w:rsidR="002D5AAC" w:rsidRPr="004728A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378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3781C" w:rsidRDefault="0003781C" w:rsidP="00037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2018</w:t>
            </w:r>
          </w:p>
          <w:p w:rsidR="0003781C" w:rsidRDefault="0003781C" w:rsidP="00037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3781C" w:rsidRPr="008D53B6" w:rsidRDefault="0003781C" w:rsidP="00037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3781C" w:rsidRPr="0003781C" w:rsidRDefault="0003781C" w:rsidP="0003781C">
      <w:pPr>
        <w:spacing w:before="120"/>
        <w:rPr>
          <w:sz w:val="28"/>
          <w:szCs w:val="28"/>
        </w:rPr>
      </w:pPr>
      <w:r w:rsidRPr="0003781C">
        <w:rPr>
          <w:sz w:val="28"/>
          <w:szCs w:val="28"/>
        </w:rPr>
        <w:t>Комитет по внутреннему транспорту</w:t>
      </w:r>
    </w:p>
    <w:p w:rsidR="0003781C" w:rsidRPr="0003781C" w:rsidRDefault="0003781C" w:rsidP="0003781C">
      <w:pPr>
        <w:spacing w:before="120"/>
        <w:rPr>
          <w:b/>
          <w:sz w:val="24"/>
          <w:szCs w:val="24"/>
        </w:rPr>
      </w:pPr>
      <w:r w:rsidRPr="0003781C">
        <w:rPr>
          <w:b/>
          <w:bCs/>
          <w:sz w:val="24"/>
          <w:szCs w:val="24"/>
        </w:rPr>
        <w:t>Рабочая группа по перевозкам опасных грузов</w:t>
      </w:r>
    </w:p>
    <w:p w:rsidR="0003781C" w:rsidRPr="006C60F6" w:rsidRDefault="0003781C" w:rsidP="0003781C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прилагаемым </w:t>
      </w:r>
      <w:r>
        <w:rPr>
          <w:b/>
          <w:bCs/>
        </w:rPr>
        <w:br/>
        <w:t xml:space="preserve">к Европейскому соглашению о международной перевозке </w:t>
      </w:r>
      <w:r>
        <w:rPr>
          <w:b/>
          <w:bCs/>
        </w:rPr>
        <w:br/>
        <w:t xml:space="preserve">опасных грузов 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03781C" w:rsidRPr="006C60F6" w:rsidRDefault="0003781C" w:rsidP="0003781C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03781C" w:rsidRDefault="0003781C" w:rsidP="0003781C">
      <w:r>
        <w:t>Женева, 27</w:t>
      </w:r>
      <w:r w:rsidRPr="000C1047">
        <w:t>–</w:t>
      </w:r>
      <w:r>
        <w:t>31 августа 2018 года</w:t>
      </w:r>
    </w:p>
    <w:p w:rsidR="0003781C" w:rsidRPr="006C60F6" w:rsidRDefault="0003781C" w:rsidP="0003781C">
      <w:r>
        <w:t>Пункт 4 b) предварительной повестки дня</w:t>
      </w:r>
    </w:p>
    <w:p w:rsidR="0003781C" w:rsidRPr="006C60F6" w:rsidRDefault="0003781C" w:rsidP="0003781C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03781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:rsidR="0003781C" w:rsidRPr="006C60F6" w:rsidRDefault="0003781C" w:rsidP="000378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 о внесении редакционных изменений с целью улучшения читаемости и удобства использования ВОПОГ:</w:t>
      </w:r>
      <w:r w:rsidRPr="0003781C">
        <w:rPr>
          <w:bCs/>
          <w:lang w:val="ru-RU"/>
        </w:rPr>
        <w:t xml:space="preserve"> </w:t>
      </w:r>
      <w:r>
        <w:rPr>
          <w:bCs/>
          <w:lang w:val="ru-RU"/>
        </w:rPr>
        <w:t>контейнеры-цистерны и контейнеры</w:t>
      </w:r>
    </w:p>
    <w:p w:rsidR="0003781C" w:rsidRPr="0003781C" w:rsidRDefault="0003781C" w:rsidP="0003781C">
      <w:pPr>
        <w:pStyle w:val="H1G"/>
        <w:rPr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Европейским союзом речного судоходства (ЕСРС) и Европейской организацией судоводителей (ЕОС)</w:t>
      </w:r>
      <w:r w:rsidRPr="0003781C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Pr="0003781C">
        <w:rPr>
          <w:b w:val="0"/>
          <w:bCs/>
          <w:sz w:val="20"/>
          <w:lang w:val="ru-RU"/>
        </w:rPr>
        <w:t xml:space="preserve"> </w:t>
      </w:r>
      <w:r w:rsidRPr="0003781C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03781C" w:rsidRPr="00353564" w:rsidTr="0003781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3781C" w:rsidRPr="003134DF" w:rsidRDefault="0003781C" w:rsidP="0003781C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3781C" w:rsidRPr="000C1047" w:rsidRDefault="0003781C" w:rsidP="0003781C">
            <w:pPr>
              <w:spacing w:before="40"/>
            </w:pPr>
            <w:r>
              <w:t>ECE/TRANS/WP.15/AC.2/66;</w:t>
            </w:r>
          </w:p>
          <w:p w:rsidR="0003781C" w:rsidRPr="006C60F6" w:rsidRDefault="0003781C" w:rsidP="005D5C26">
            <w:pPr>
              <w:spacing w:after="120"/>
            </w:pPr>
            <w:r>
              <w:t>неофициальный документ INF.20, представленный на тридцать второй сессии (подраздел C)</w:t>
            </w:r>
          </w:p>
        </w:tc>
      </w:tr>
    </w:tbl>
    <w:p w:rsidR="0003781C" w:rsidRPr="006C60F6" w:rsidRDefault="0003781C" w:rsidP="000378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ходе совещаний по опасным грузам, проводившихся членами ЕСРС/ЕОС, а также от инструкторов по ВОПОГ, присоединившихся к неофициальной рабочей группе по подготовке экспертов (IAG Sachkundigenausbildung), ЕСРС и ЕОС получили ряд предложений, в основном редакционного характера, об улучшении читаемости и удобства использования ВОПОГ. Эти предложения касались общих уточнений или предназначались для экипажей барж как конкретных пользователей ВОПОГ и экспертов по ВОПОГ на борту барж.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lastRenderedPageBreak/>
        <w:t>2.</w:t>
      </w:r>
      <w:r>
        <w:rPr>
          <w:lang w:val="ru-RU"/>
        </w:rPr>
        <w:tab/>
        <w:t>В ходе тридцать второй сессии Комитета по вопросам безопасности ВОПОГ это предложение было представлено от имени ЕСРС и ЕОС.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тридцать третьей сессии. Эта просьба была учтена в предложении, излагаемом в настоящем документе.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 и ЕОС предлагают Комитету по вопросам безопасности рассмотреть вопрос об изменении ВОПОГ, с тем чтобы избежать путаницы в отношении использования контейнеров-цистерн и контейнеров.</w:t>
      </w:r>
    </w:p>
    <w:p w:rsidR="0003781C" w:rsidRPr="006C60F6" w:rsidRDefault="0003781C" w:rsidP="000378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Предложение: изменения пунктов 7.1.0.5.0.2 и 7.1.6.12 ВОПОГ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Проблема: была получена информация о том, что в ходе подготовки экспертов возник вопрос относительно контейнеров-цистерн в контексте пунктов 7.1.5.0.2 «Маркировка» и 7.1.6.12 «Вентиляция». Тексты составлены таким образом, что можно было бы предположить, что контейнеры-цистерны представляют собой один из типов контейнеров, хотя это не так.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Поэтому</w:t>
      </w:r>
      <w:r w:rsidRPr="00CB56A6">
        <w:rPr>
          <w:lang w:val="ru-RU"/>
        </w:rPr>
        <w:t xml:space="preserve"> пункт, </w:t>
      </w:r>
      <w:r>
        <w:rPr>
          <w:lang w:val="ru-RU"/>
        </w:rPr>
        <w:t xml:space="preserve">предусматривающий освобождение от действия предписания </w:t>
      </w:r>
      <w:r w:rsidRPr="00CB56A6">
        <w:rPr>
          <w:lang w:val="ru-RU"/>
        </w:rPr>
        <w:t>в отношении сигнализации в виде син</w:t>
      </w:r>
      <w:r>
        <w:rPr>
          <w:lang w:val="ru-RU"/>
        </w:rPr>
        <w:t>их</w:t>
      </w:r>
      <w:r w:rsidRPr="00CB56A6">
        <w:rPr>
          <w:lang w:val="ru-RU"/>
        </w:rPr>
        <w:t xml:space="preserve"> конус</w:t>
      </w:r>
      <w:r>
        <w:rPr>
          <w:lang w:val="ru-RU"/>
        </w:rPr>
        <w:t>ов</w:t>
      </w:r>
      <w:r w:rsidRPr="00CB56A6">
        <w:rPr>
          <w:lang w:val="ru-RU"/>
        </w:rPr>
        <w:t xml:space="preserve"> и </w:t>
      </w:r>
      <w:r>
        <w:rPr>
          <w:lang w:val="ru-RU"/>
        </w:rPr>
        <w:t xml:space="preserve">предписания </w:t>
      </w:r>
      <w:r w:rsidRPr="00CB56A6">
        <w:rPr>
          <w:lang w:val="ru-RU"/>
        </w:rPr>
        <w:t>VE02</w:t>
      </w:r>
      <w:r>
        <w:rPr>
          <w:lang w:val="ru-RU"/>
        </w:rPr>
        <w:t>,</w:t>
      </w:r>
      <w:r w:rsidRPr="00F9031C">
        <w:rPr>
          <w:lang w:val="ru-RU"/>
        </w:rPr>
        <w:t xml:space="preserve"> </w:t>
      </w:r>
      <w:r w:rsidRPr="00CB56A6">
        <w:rPr>
          <w:lang w:val="ru-RU"/>
        </w:rPr>
        <w:t>касающ</w:t>
      </w:r>
      <w:r>
        <w:rPr>
          <w:lang w:val="ru-RU"/>
        </w:rPr>
        <w:t>его</w:t>
      </w:r>
      <w:r w:rsidRPr="00CB56A6">
        <w:rPr>
          <w:lang w:val="ru-RU"/>
        </w:rPr>
        <w:t>ся</w:t>
      </w:r>
      <w:r w:rsidRPr="00F9031C">
        <w:rPr>
          <w:lang w:val="ru-RU"/>
        </w:rPr>
        <w:t xml:space="preserve"> </w:t>
      </w:r>
      <w:r w:rsidRPr="00CB56A6">
        <w:rPr>
          <w:lang w:val="ru-RU"/>
        </w:rPr>
        <w:t xml:space="preserve">вентиляции, не </w:t>
      </w:r>
      <w:r>
        <w:rPr>
          <w:lang w:val="ru-RU"/>
        </w:rPr>
        <w:t xml:space="preserve">совсем </w:t>
      </w:r>
      <w:r w:rsidRPr="00CB56A6">
        <w:rPr>
          <w:lang w:val="ru-RU"/>
        </w:rPr>
        <w:t>яс</w:t>
      </w:r>
      <w:r>
        <w:rPr>
          <w:lang w:val="ru-RU"/>
        </w:rPr>
        <w:t>ен</w:t>
      </w:r>
      <w:r w:rsidRPr="00CB56A6">
        <w:rPr>
          <w:lang w:val="ru-RU"/>
        </w:rPr>
        <w:t xml:space="preserve"> и </w:t>
      </w:r>
      <w:r>
        <w:rPr>
          <w:lang w:val="ru-RU"/>
        </w:rPr>
        <w:t xml:space="preserve">ошибочно истолковывается </w:t>
      </w:r>
      <w:r w:rsidRPr="00CB56A6">
        <w:rPr>
          <w:lang w:val="ru-RU"/>
        </w:rPr>
        <w:t>экипаж</w:t>
      </w:r>
      <w:r>
        <w:rPr>
          <w:lang w:val="ru-RU"/>
        </w:rPr>
        <w:t>ами</w:t>
      </w:r>
      <w:r w:rsidRPr="00CB56A6">
        <w:rPr>
          <w:lang w:val="ru-RU"/>
        </w:rPr>
        <w:t xml:space="preserve"> барж и даже </w:t>
      </w:r>
      <w:r>
        <w:rPr>
          <w:lang w:val="ru-RU"/>
        </w:rPr>
        <w:t>официальными органами</w:t>
      </w:r>
      <w:r w:rsidRPr="00CB56A6">
        <w:rPr>
          <w:lang w:val="ru-RU"/>
        </w:rPr>
        <w:t>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В определении термина «контейнер» в главе 1.2 содержится только лишь примечание, в котором говорится, что термин «контейнер» не включает в себя контейнеры-цистерны.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Было бы целесообразно добавить в пункты 7.1.5.0.2 и 7.1.6.12 примечание, уточняющее текст этих пунктов, во избежание ненужных недоразумений.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В некоторых случаях синие конусы не применяются, несмотря на то, что их использование является обязательным при перевозке, например, одного контейнера-цистерны с 20 т вещества класса 3, ГУ II. В этом случае описанные в пункте 7.1.5.0.2 обстоятельства не применяются, что не всегда понятно.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Что касается пункта 7.1.6.12, то и в этом контексте вентиляции контейнер-цистерна не является контейнером. Однако при перевозке контейнеров-цистерн, в случае наличия подозрений на присутствие газов в трюмах, трюмы должны быть провентилированы (при перевозке не только контейнеров, но и контейнеров-цистерн).</w:t>
      </w:r>
    </w:p>
    <w:p w:rsidR="0003781C" w:rsidRPr="006C60F6" w:rsidRDefault="0003781C" w:rsidP="0003781C">
      <w:pPr>
        <w:pStyle w:val="SingleTxtG"/>
        <w:rPr>
          <w:b/>
          <w:i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Предлагается уточнить текст путем добавления в конце пункта 7.1.5.0.2 нового предложения (новый текст выделен жирным шрифтом):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7.1.5.0.2</w:t>
      </w:r>
      <w:r>
        <w:rPr>
          <w:lang w:val="ru-RU"/>
        </w:rPr>
        <w:t xml:space="preserve"> </w:t>
      </w:r>
      <w:r>
        <w:rPr>
          <w:lang w:val="ru-RU"/>
        </w:rPr>
        <w:tab/>
        <w:t>Суда, перевозящие опасные грузы, перечисленные в таблице А главы 3.2, в упаковках, помещенных исключительно в контейнеры, должны нести синие конусы или синие огни в количестве, указанном в колонке 12 таблицы А главы 3.2, в частности: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– требуются три синих конуса или три синих огня, или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– требуются два синих конуса или два синих огня, если речь идет о веществе класса 2 или группа упаковки I указана в колонке 4 таблицы А главы 3.2 и общая масса брутто этих опасных грузов превышает 30 000 кг, или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 xml:space="preserve">– требуется один синий конус или один синий огонь, если речь идет о веществе класса 2 или группа упаковки I указана в колонке 4 таблицы А главы 3.2 и общая масса брутто этих опасных грузов превышает 130 000 кг. </w:t>
      </w:r>
    </w:p>
    <w:p w:rsidR="0003781C" w:rsidRPr="006C60F6" w:rsidRDefault="0003781C" w:rsidP="0003781C">
      <w:pPr>
        <w:pStyle w:val="SingleTxtG"/>
        <w:rPr>
          <w:b/>
          <w:iCs/>
          <w:lang w:val="ru-RU"/>
        </w:rPr>
      </w:pPr>
      <w:r>
        <w:rPr>
          <w:b/>
          <w:bCs/>
          <w:lang w:val="ru-RU"/>
        </w:rPr>
        <w:t>Положения этого пункта не применяются к перевозке контейнеров-цистерн</w:t>
      </w:r>
      <w:r>
        <w:rPr>
          <w:bCs/>
          <w:lang w:val="ru-RU"/>
        </w:rPr>
        <w:t>»</w:t>
      </w:r>
      <w:r w:rsidRPr="000B3A9C">
        <w:rPr>
          <w:bCs/>
          <w:lang w:val="ru-RU"/>
        </w:rPr>
        <w:t>.</w:t>
      </w:r>
    </w:p>
    <w:p w:rsidR="0003781C" w:rsidRPr="006C60F6" w:rsidRDefault="0003781C" w:rsidP="0003781C">
      <w:pPr>
        <w:pStyle w:val="SingleTxtG"/>
        <w:keepNext/>
        <w:keepLine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Вставить в пункт 7.1.6.12 «или контейнерах-цистернах», как указано ниже (новый текст выделен жирным шрифтом):</w:t>
      </w:r>
    </w:p>
    <w:p w:rsidR="0003781C" w:rsidRPr="006C60F6" w:rsidRDefault="0003781C" w:rsidP="0003781C">
      <w:pPr>
        <w:pStyle w:val="SingleTxtG"/>
        <w:keepNext/>
        <w:keepLines/>
        <w:rPr>
          <w:b/>
          <w:bCs/>
          <w:i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7.1.6.12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b/>
          <w:bCs/>
          <w:lang w:val="ru-RU"/>
        </w:rPr>
        <w:t>Вентиляция</w:t>
      </w:r>
    </w:p>
    <w:p w:rsidR="0003781C" w:rsidRPr="006C60F6" w:rsidRDefault="0003781C" w:rsidP="0003781C">
      <w:pPr>
        <w:pStyle w:val="SingleTxtG"/>
        <w:keepNext/>
        <w:keepLine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Должны выполняться следующие дополнительные предписания, когда они указаны в колонке 10 таблицы А главы 3.2: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>…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VE02: Трюмы, содержащие эти вещества, должны вентилироваться при помощи вентиляторов, работающих на полную мощность, если после измерений установлено, что в трюмах имеются газы, выделяемые грузом. Эти измерения должны осуществляться сразу же после погрузки. Через один час надлежит осуществить контрольное измерение. Результаты измерений должны записываться.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 качестве альтернативы на борту судов, перевозящих эти вещества только в контейнерах </w:t>
      </w:r>
      <w:r>
        <w:rPr>
          <w:b/>
          <w:bCs/>
          <w:i/>
          <w:iCs/>
          <w:lang w:val="ru-RU"/>
        </w:rPr>
        <w:t>или контейнерах-цистернах</w:t>
      </w:r>
      <w:r>
        <w:rPr>
          <w:lang w:val="ru-RU"/>
        </w:rPr>
        <w:t>, помещенных в открытые трюмы, трюмы, в которые помещены такие контейнеры, могут вентилироваться при помощи вентиляторов, работающих на полную мощность, только при наличии подозрений на присутствие газов в этих трюмах.</w:t>
      </w:r>
    </w:p>
    <w:p w:rsidR="0003781C" w:rsidRPr="006C60F6" w:rsidRDefault="0003781C" w:rsidP="0003781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 разгрузкой разгрузчик должен быть проинформирован о наличии таких подозрений».</w:t>
      </w:r>
    </w:p>
    <w:p w:rsidR="0003781C" w:rsidRPr="006C60F6" w:rsidRDefault="0003781C" w:rsidP="0003781C">
      <w:pPr>
        <w:pStyle w:val="HChG"/>
        <w:ind w:left="567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Последствия для безопасности</w:t>
      </w:r>
    </w:p>
    <w:p w:rsidR="0003781C" w:rsidRPr="004728AB" w:rsidRDefault="0003781C" w:rsidP="0003781C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По сути, в настоящем предложении не содержится никаких изменений, затрагивающих цель этих пунктов. Его ожидаемым положительным результатом будет более правильное понимание этих положений находящимися на борту лицами, что положительно скажется на безопасности в отношении синих конусов и вентиляции на борту сухогрузных барж при перевозке контейнеров-цистерн.</w:t>
      </w:r>
    </w:p>
    <w:p w:rsidR="0003781C" w:rsidRPr="0003781C" w:rsidRDefault="0003781C" w:rsidP="000378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781C" w:rsidRPr="0003781C" w:rsidSect="000378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14" w:rsidRPr="00A312BC" w:rsidRDefault="00CF2E14" w:rsidP="00A312BC"/>
  </w:endnote>
  <w:endnote w:type="continuationSeparator" w:id="0">
    <w:p w:rsidR="00CF2E14" w:rsidRPr="00A312BC" w:rsidRDefault="00CF2E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1C" w:rsidRPr="0003781C" w:rsidRDefault="0003781C">
    <w:pPr>
      <w:pStyle w:val="Footer"/>
    </w:pPr>
    <w:r w:rsidRPr="0003781C">
      <w:rPr>
        <w:b/>
        <w:sz w:val="18"/>
      </w:rPr>
      <w:fldChar w:fldCharType="begin"/>
    </w:r>
    <w:r w:rsidRPr="0003781C">
      <w:rPr>
        <w:b/>
        <w:sz w:val="18"/>
      </w:rPr>
      <w:instrText xml:space="preserve"> PAGE  \* MERGEFORMAT </w:instrText>
    </w:r>
    <w:r w:rsidRPr="0003781C">
      <w:rPr>
        <w:b/>
        <w:sz w:val="18"/>
      </w:rPr>
      <w:fldChar w:fldCharType="separate"/>
    </w:r>
    <w:r w:rsidR="00B74AED">
      <w:rPr>
        <w:b/>
        <w:noProof/>
        <w:sz w:val="18"/>
      </w:rPr>
      <w:t>2</w:t>
    </w:r>
    <w:r w:rsidRPr="0003781C">
      <w:rPr>
        <w:b/>
        <w:sz w:val="18"/>
      </w:rPr>
      <w:fldChar w:fldCharType="end"/>
    </w:r>
    <w:r>
      <w:rPr>
        <w:b/>
        <w:sz w:val="18"/>
      </w:rPr>
      <w:tab/>
    </w:r>
    <w:r>
      <w:t>GE.18-09705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1C" w:rsidRPr="0003781C" w:rsidRDefault="0003781C" w:rsidP="0003781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GE.18-09705</w:t>
    </w:r>
    <w:r>
      <w:tab/>
    </w:r>
    <w:r w:rsidRPr="0003781C">
      <w:rPr>
        <w:b/>
        <w:sz w:val="18"/>
      </w:rPr>
      <w:fldChar w:fldCharType="begin"/>
    </w:r>
    <w:r w:rsidRPr="0003781C">
      <w:rPr>
        <w:b/>
        <w:sz w:val="18"/>
      </w:rPr>
      <w:instrText xml:space="preserve"> PAGE  \* MERGEFORMAT </w:instrText>
    </w:r>
    <w:r w:rsidRPr="0003781C">
      <w:rPr>
        <w:b/>
        <w:sz w:val="18"/>
      </w:rPr>
      <w:fldChar w:fldCharType="separate"/>
    </w:r>
    <w:r w:rsidR="00B74AED">
      <w:rPr>
        <w:b/>
        <w:noProof/>
        <w:sz w:val="18"/>
      </w:rPr>
      <w:t>3</w:t>
    </w:r>
    <w:r w:rsidRPr="000378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3781C" w:rsidRDefault="0003781C" w:rsidP="0003781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18-09705  (R)  200618  200618</w:t>
    </w:r>
    <w:r>
      <w:br/>
    </w:r>
    <w:r w:rsidRPr="0003781C">
      <w:rPr>
        <w:rFonts w:ascii="C39T30Lfz" w:hAnsi="C39T30Lfz"/>
        <w:kern w:val="14"/>
        <w:sz w:val="56"/>
      </w:rPr>
      <w:t></w:t>
    </w:r>
    <w:r w:rsidRPr="0003781C">
      <w:rPr>
        <w:rFonts w:ascii="C39T30Lfz" w:hAnsi="C39T30Lfz"/>
        <w:kern w:val="14"/>
        <w:sz w:val="56"/>
      </w:rPr>
      <w:t></w:t>
    </w:r>
    <w:r w:rsidRPr="0003781C">
      <w:rPr>
        <w:rFonts w:ascii="C39T30Lfz" w:hAnsi="C39T30Lfz"/>
        <w:kern w:val="14"/>
        <w:sz w:val="56"/>
      </w:rPr>
      <w:t></w:t>
    </w:r>
    <w:r w:rsidRPr="0003781C">
      <w:rPr>
        <w:rFonts w:ascii="C39T30Lfz" w:hAnsi="C39T30Lfz"/>
        <w:kern w:val="14"/>
        <w:sz w:val="56"/>
      </w:rPr>
      <w:t></w:t>
    </w:r>
    <w:r w:rsidRPr="0003781C">
      <w:rPr>
        <w:rFonts w:ascii="C39T30Lfz" w:hAnsi="C39T30Lfz"/>
        <w:kern w:val="14"/>
        <w:sz w:val="56"/>
      </w:rPr>
      <w:t></w:t>
    </w:r>
    <w:r w:rsidRPr="0003781C">
      <w:rPr>
        <w:rFonts w:ascii="C39T30Lfz" w:hAnsi="C39T30Lfz"/>
        <w:kern w:val="14"/>
        <w:sz w:val="56"/>
      </w:rPr>
      <w:t></w:t>
    </w:r>
    <w:r w:rsidRPr="0003781C">
      <w:rPr>
        <w:rFonts w:ascii="C39T30Lfz" w:hAnsi="C39T30Lfz"/>
        <w:kern w:val="14"/>
        <w:sz w:val="56"/>
      </w:rPr>
      <w:t></w:t>
    </w:r>
    <w:r w:rsidRPr="0003781C">
      <w:rPr>
        <w:rFonts w:ascii="C39T30Lfz" w:hAnsi="C39T30Lfz"/>
        <w:kern w:val="14"/>
        <w:sz w:val="56"/>
      </w:rPr>
      <w:t></w:t>
    </w:r>
    <w:r w:rsidRPr="0003781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14" w:rsidRPr="001075E9" w:rsidRDefault="00CF2E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2E14" w:rsidRDefault="00CF2E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3781C" w:rsidRPr="0003781C" w:rsidRDefault="0003781C">
      <w:pPr>
        <w:pStyle w:val="FootnoteText"/>
        <w:rPr>
          <w:sz w:val="20"/>
        </w:rPr>
      </w:pPr>
      <w:r>
        <w:tab/>
      </w:r>
      <w:r w:rsidRPr="0003781C">
        <w:rPr>
          <w:rStyle w:val="FootnoteReference"/>
          <w:sz w:val="20"/>
          <w:vertAlign w:val="baseline"/>
        </w:rPr>
        <w:t>*</w:t>
      </w:r>
      <w:r w:rsidRPr="0003781C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CCNR-ZKR/ADN/WP.15/AC.2/2018/48.</w:t>
      </w:r>
    </w:p>
  </w:footnote>
  <w:footnote w:id="2">
    <w:p w:rsidR="0003781C" w:rsidRPr="003A7D20" w:rsidRDefault="0003781C" w:rsidP="0003781C">
      <w:pPr>
        <w:pStyle w:val="FootnoteText"/>
      </w:pPr>
      <w:r>
        <w:tab/>
      </w:r>
      <w:r w:rsidRPr="0003781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1C" w:rsidRPr="0003781C" w:rsidRDefault="004728AB">
    <w:pPr>
      <w:pStyle w:val="Header"/>
    </w:pPr>
    <w:fldSimple w:instr=" TITLE  \* MERGEFORMAT ">
      <w:r w:rsidR="003F6145">
        <w:t>ECE/TRANS/WP.15/AC.2/2018/48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1C" w:rsidRPr="0003781C" w:rsidRDefault="004728AB" w:rsidP="0003781C">
    <w:pPr>
      <w:pStyle w:val="Header"/>
      <w:jc w:val="right"/>
    </w:pPr>
    <w:fldSimple w:instr=" TITLE  \* MERGEFORMAT ">
      <w:r w:rsidR="003F6145">
        <w:t>ECE/TRANS/WP.15/AC.2/2018/48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4"/>
    <w:rsid w:val="00033EE1"/>
    <w:rsid w:val="0003781C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6145"/>
    <w:rsid w:val="00407B78"/>
    <w:rsid w:val="00424203"/>
    <w:rsid w:val="00452493"/>
    <w:rsid w:val="00453318"/>
    <w:rsid w:val="00454AF2"/>
    <w:rsid w:val="00454E07"/>
    <w:rsid w:val="004728AB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4AED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7C54"/>
    <w:rsid w:val="00CE5A1A"/>
    <w:rsid w:val="00CF2E14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A5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9C008D-2645-4A2C-9D58-F6861FE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03781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03781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3781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03781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ECE/TRANS/WP.15/AC.2/2018/48</vt:lpstr>
      <vt:lpstr>ECE/TRANS/WP.15/AC.2/2018/48</vt:lpstr>
      <vt:lpstr>A/</vt:lpstr>
    </vt:vector>
  </TitlesOfParts>
  <Company>DCM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ECE/TRANS/WP.15/AC.2/2018/48</dc:title>
  <dc:subject/>
  <dc:creator>Svetlana PROKOUDINA</dc:creator>
  <cp:keywords/>
  <cp:lastModifiedBy>Secretariat</cp:lastModifiedBy>
  <cp:revision>2</cp:revision>
  <cp:lastPrinted>2018-06-20T09:38:00Z</cp:lastPrinted>
  <dcterms:created xsi:type="dcterms:W3CDTF">2018-07-24T14:22:00Z</dcterms:created>
  <dcterms:modified xsi:type="dcterms:W3CDTF">2018-07-24T14:22:00Z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