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D4" w:rsidRPr="000F4DD4" w:rsidRDefault="000F4DD4" w:rsidP="000F4DD4">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F4DD4">
        <w:rPr>
          <w:rFonts w:ascii="Arial" w:eastAsia="Arial" w:hAnsi="Arial" w:cs="Arial"/>
          <w:bCs/>
          <w:noProof/>
          <w:szCs w:val="24"/>
          <w:lang w:val="fr-FR"/>
        </w:rPr>
        <w:drawing>
          <wp:anchor distT="0" distB="0" distL="114300" distR="114300" simplePos="0" relativeHeight="251659264" behindDoc="0" locked="0" layoutInCell="1" allowOverlap="1" wp14:anchorId="5F940B94" wp14:editId="4D8D0C00">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9770C1">
        <w:rPr>
          <w:rFonts w:ascii="Arial" w:eastAsia="Arial" w:hAnsi="Arial" w:cs="Arial"/>
          <w:bCs/>
          <w:szCs w:val="24"/>
          <w:lang w:eastAsia="de-DE"/>
        </w:rPr>
        <w:t>CCNR-ZKR/ADN/WP.15/AC.2/2018/</w:t>
      </w:r>
      <w:r w:rsidR="00F43A8C">
        <w:rPr>
          <w:rFonts w:ascii="Arial" w:eastAsia="Arial" w:hAnsi="Arial" w:cs="Arial"/>
          <w:bCs/>
          <w:szCs w:val="24"/>
          <w:lang w:eastAsia="de-DE"/>
        </w:rPr>
        <w:t>33</w:t>
      </w:r>
    </w:p>
    <w:p w:rsidR="000F4DD4" w:rsidRPr="000F4DD4" w:rsidRDefault="000F4DD4" w:rsidP="000F4DD4">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F4DD4">
        <w:rPr>
          <w:rFonts w:ascii="Arial" w:hAnsi="Arial" w:cs="Arial"/>
          <w:sz w:val="16"/>
          <w:szCs w:val="24"/>
          <w:lang w:eastAsia="de-DE"/>
        </w:rPr>
        <w:t>Allgemeine Verteilung</w:t>
      </w:r>
    </w:p>
    <w:p w:rsidR="000F4DD4" w:rsidRPr="000F4DD4" w:rsidRDefault="00AC2952" w:rsidP="000F4DD4">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4</w:t>
      </w:r>
      <w:r w:rsidR="000F4DD4" w:rsidRPr="000F4DD4">
        <w:rPr>
          <w:rFonts w:ascii="Arial" w:eastAsia="Arial" w:hAnsi="Arial" w:cs="Arial"/>
          <w:szCs w:val="24"/>
          <w:lang w:eastAsia="de-DE"/>
        </w:rPr>
        <w:t xml:space="preserve">. </w:t>
      </w:r>
      <w:r>
        <w:rPr>
          <w:rFonts w:ascii="Arial" w:eastAsia="Arial" w:hAnsi="Arial" w:cs="Arial"/>
          <w:szCs w:val="24"/>
          <w:lang w:eastAsia="de-DE"/>
        </w:rPr>
        <w:t>Juni</w:t>
      </w:r>
      <w:r w:rsidR="000F4DD4" w:rsidRPr="000F4DD4">
        <w:rPr>
          <w:rFonts w:ascii="Arial" w:eastAsia="Arial" w:hAnsi="Arial" w:cs="Arial"/>
          <w:szCs w:val="24"/>
          <w:lang w:eastAsia="de-DE"/>
        </w:rPr>
        <w:t xml:space="preserve"> 2018</w:t>
      </w:r>
    </w:p>
    <w:p w:rsidR="000F4DD4" w:rsidRPr="00B07427" w:rsidRDefault="000F4DD4" w:rsidP="000F4DD4">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4"/>
          <w:szCs w:val="16"/>
          <w:lang w:eastAsia="de-DE"/>
        </w:rPr>
      </w:pPr>
      <w:proofErr w:type="spellStart"/>
      <w:r w:rsidRPr="00576E22">
        <w:rPr>
          <w:rFonts w:ascii="Arial" w:eastAsia="Arial" w:hAnsi="Arial" w:cs="Arial"/>
          <w:sz w:val="18"/>
          <w:szCs w:val="24"/>
          <w:lang w:eastAsia="de-DE"/>
        </w:rPr>
        <w:t>Or</w:t>
      </w:r>
      <w:proofErr w:type="spellEnd"/>
      <w:r w:rsidRPr="00576E22">
        <w:rPr>
          <w:rFonts w:ascii="Arial" w:eastAsia="Arial" w:hAnsi="Arial" w:cs="Arial"/>
          <w:sz w:val="18"/>
          <w:szCs w:val="24"/>
          <w:lang w:eastAsia="de-DE"/>
        </w:rPr>
        <w:t xml:space="preserve">. </w:t>
      </w:r>
      <w:r w:rsidR="00576E22" w:rsidRPr="00B07427">
        <w:rPr>
          <w:rFonts w:ascii="Arial" w:eastAsia="Arial" w:hAnsi="Arial" w:cs="Arial"/>
          <w:sz w:val="14"/>
          <w:szCs w:val="16"/>
          <w:lang w:eastAsia="de-DE"/>
        </w:rPr>
        <w:t>FRANZÖSISCH</w:t>
      </w: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GEMEINSAME EXPERTENTAGUNG FÜR DIE DEM</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ÜBEREINKOMMEN ÜBER DIE INTERNATIONALE BEFÖRDERUNG</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VON GEFÄHRLICHEN GÜTERN AUF BINNENWASSERSTRASSEN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BEIGEFÜGTE VERORDNUNG (ADN)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(SICHERHEITSAUSSCHUSS)</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sz w:val="16"/>
          <w:szCs w:val="24"/>
        </w:rPr>
      </w:pPr>
      <w:r w:rsidRPr="000F4DD4">
        <w:rPr>
          <w:rFonts w:ascii="Arial" w:hAnsi="Arial"/>
          <w:sz w:val="16"/>
          <w:szCs w:val="24"/>
        </w:rPr>
        <w:t>(33. Tagung, Genf, 27. bis 31. August 2018)</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F4DD4">
        <w:rPr>
          <w:rFonts w:ascii="Arial" w:hAnsi="Arial" w:cs="Arial"/>
          <w:sz w:val="16"/>
          <w:szCs w:val="16"/>
          <w:lang w:eastAsia="en-US"/>
        </w:rPr>
        <w:t xml:space="preserve">Punkt </w:t>
      </w:r>
      <w:r w:rsidR="00F43A8C">
        <w:rPr>
          <w:rFonts w:ascii="Arial" w:hAnsi="Arial" w:cs="Arial"/>
          <w:sz w:val="16"/>
          <w:szCs w:val="16"/>
          <w:lang w:eastAsia="en-US"/>
        </w:rPr>
        <w:t>3</w:t>
      </w:r>
      <w:r w:rsidR="009770C1">
        <w:rPr>
          <w:rFonts w:ascii="Arial" w:hAnsi="Arial" w:cs="Arial"/>
          <w:sz w:val="16"/>
          <w:szCs w:val="16"/>
          <w:lang w:eastAsia="en-US"/>
        </w:rPr>
        <w:t xml:space="preserve"> </w:t>
      </w:r>
      <w:r w:rsidR="00F43A8C">
        <w:rPr>
          <w:rFonts w:ascii="Arial" w:hAnsi="Arial" w:cs="Arial"/>
          <w:sz w:val="16"/>
          <w:szCs w:val="16"/>
          <w:lang w:eastAsia="en-US"/>
        </w:rPr>
        <w:t>c</w:t>
      </w:r>
      <w:r w:rsidRPr="000F4DD4">
        <w:rPr>
          <w:rFonts w:ascii="Arial" w:hAnsi="Arial" w:cs="Arial"/>
          <w:sz w:val="16"/>
          <w:szCs w:val="16"/>
          <w:lang w:eastAsia="en-US"/>
        </w:rPr>
        <w:t>) zur vorläufigen Tagesordnung</w:t>
      </w:r>
    </w:p>
    <w:p w:rsidR="00576E22" w:rsidRPr="000F4DD4" w:rsidRDefault="00F43A8C" w:rsidP="00F43A8C">
      <w:pPr>
        <w:ind w:left="3960" w:firstLine="9"/>
        <w:rPr>
          <w:rFonts w:ascii="Arial" w:hAnsi="Arial" w:cs="Arial"/>
          <w:b/>
          <w:sz w:val="16"/>
          <w:szCs w:val="16"/>
          <w:lang w:eastAsia="en-US"/>
        </w:rPr>
      </w:pPr>
      <w:r w:rsidRPr="00F43A8C">
        <w:rPr>
          <w:rFonts w:ascii="Arial" w:hAnsi="Arial" w:cs="Arial"/>
          <w:b/>
          <w:sz w:val="16"/>
          <w:szCs w:val="16"/>
          <w:lang w:eastAsia="en-US"/>
        </w:rPr>
        <w:t>Durchführung des Europäischen Übereinkommens über die internationale Beförderung von gefährlichen Gütern auf Binnenwasserstraßen (ADN): Auslegung der dem ADN beigefügten Verordnung</w:t>
      </w:r>
    </w:p>
    <w:p w:rsidR="00F43A8C" w:rsidRPr="00F43A8C" w:rsidRDefault="00F43A8C" w:rsidP="00F43A8C">
      <w:pPr>
        <w:keepNext/>
        <w:keepLines/>
        <w:widowControl/>
        <w:tabs>
          <w:tab w:val="right" w:pos="851"/>
        </w:tabs>
        <w:suppressAutoHyphens/>
        <w:overflowPunct/>
        <w:autoSpaceDE/>
        <w:autoSpaceDN/>
        <w:adjustRightInd/>
        <w:spacing w:before="360" w:after="240" w:line="300" w:lineRule="exact"/>
        <w:ind w:right="567"/>
        <w:jc w:val="left"/>
        <w:textAlignment w:val="auto"/>
        <w:rPr>
          <w:b/>
          <w:sz w:val="28"/>
          <w:lang w:eastAsia="en-US"/>
        </w:rPr>
      </w:pPr>
      <w:r w:rsidRPr="00F43A8C">
        <w:rPr>
          <w:b/>
          <w:sz w:val="28"/>
          <w:lang w:eastAsia="en-US"/>
        </w:rPr>
        <w:tab/>
      </w:r>
      <w:r w:rsidRPr="00F43A8C">
        <w:rPr>
          <w:b/>
          <w:sz w:val="28"/>
          <w:lang w:eastAsia="en-US"/>
        </w:rPr>
        <w:tab/>
        <w:t xml:space="preserve">Feuerlöscheinrichtung an Bord eines Verbandes (schiebendes Fahrzeug oder nicht motorisierter Leichter) oder an Bord eines einzelnen (nicht motorisierten) </w:t>
      </w:r>
      <w:proofErr w:type="spellStart"/>
      <w:r w:rsidRPr="00F43A8C">
        <w:rPr>
          <w:b/>
          <w:sz w:val="28"/>
          <w:lang w:eastAsia="en-US"/>
        </w:rPr>
        <w:t>Leichters</w:t>
      </w:r>
      <w:proofErr w:type="spellEnd"/>
    </w:p>
    <w:p w:rsidR="00F43A8C" w:rsidRPr="00F43A8C" w:rsidRDefault="00F43A8C" w:rsidP="00F43A8C">
      <w:pPr>
        <w:keepLines/>
        <w:widowControl/>
        <w:tabs>
          <w:tab w:val="right" w:pos="851"/>
        </w:tabs>
        <w:suppressAutoHyphens/>
        <w:overflowPunct/>
        <w:autoSpaceDE/>
        <w:autoSpaceDN/>
        <w:adjustRightInd/>
        <w:spacing w:before="360" w:after="240" w:line="270" w:lineRule="exact"/>
        <w:ind w:right="1134"/>
        <w:jc w:val="left"/>
        <w:textAlignment w:val="auto"/>
        <w:rPr>
          <w:b/>
          <w:bCs/>
          <w:sz w:val="24"/>
          <w:vertAlign w:val="superscript"/>
          <w:lang w:eastAsia="en-US"/>
        </w:rPr>
      </w:pPr>
      <w:r w:rsidRPr="00F43A8C">
        <w:rPr>
          <w:b/>
          <w:sz w:val="24"/>
          <w:lang w:eastAsia="en-US"/>
        </w:rPr>
        <w:tab/>
      </w:r>
      <w:r w:rsidRPr="00F43A8C">
        <w:rPr>
          <w:b/>
          <w:sz w:val="24"/>
          <w:lang w:eastAsia="en-US"/>
        </w:rPr>
        <w:tab/>
        <w:t>Eingereicht von Frankreich</w:t>
      </w:r>
      <w:proofErr w:type="gramStart"/>
      <w:r w:rsidRPr="00F43A8C">
        <w:rPr>
          <w:b/>
          <w:bCs/>
          <w:sz w:val="24"/>
          <w:vertAlign w:val="superscript"/>
          <w:lang w:eastAsia="en-US"/>
        </w:rPr>
        <w:footnoteReference w:customMarkFollows="1" w:id="1"/>
        <w:t>*,</w:t>
      </w:r>
      <w:r w:rsidRPr="00F43A8C">
        <w:rPr>
          <w:b/>
          <w:bCs/>
          <w:sz w:val="24"/>
          <w:vertAlign w:val="superscript"/>
          <w:lang w:eastAsia="en-US"/>
        </w:rPr>
        <w:footnoteReference w:customMarkFollows="1" w:id="2"/>
        <w:t>*</w:t>
      </w:r>
      <w:proofErr w:type="gramEnd"/>
      <w:r w:rsidRPr="00F43A8C">
        <w:rPr>
          <w:b/>
          <w:bCs/>
          <w:sz w:val="24"/>
          <w:vertAlign w:val="superscript"/>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F43A8C" w:rsidRPr="00F43A8C" w:rsidTr="00E003D1">
        <w:trPr>
          <w:jc w:val="center"/>
        </w:trPr>
        <w:tc>
          <w:tcPr>
            <w:tcW w:w="2330" w:type="dxa"/>
            <w:tcBorders>
              <w:bottom w:val="nil"/>
            </w:tcBorders>
          </w:tcPr>
          <w:p w:rsidR="00F43A8C" w:rsidRPr="00F43A8C" w:rsidRDefault="00F43A8C" w:rsidP="00F43A8C">
            <w:pPr>
              <w:tabs>
                <w:tab w:val="left" w:pos="284"/>
              </w:tabs>
              <w:spacing w:before="120" w:after="120"/>
              <w:rPr>
                <w:i/>
                <w:lang w:val="fr-FR"/>
              </w:rPr>
            </w:pPr>
            <w:bookmarkStart w:id="1" w:name="_Hlk515009299"/>
            <w:r w:rsidRPr="00F43A8C">
              <w:rPr>
                <w:rFonts w:eastAsia="Arial"/>
                <w:i/>
                <w:sz w:val="24"/>
                <w:szCs w:val="24"/>
              </w:rPr>
              <w:t>Zusammenfassung</w:t>
            </w:r>
          </w:p>
        </w:tc>
        <w:tc>
          <w:tcPr>
            <w:tcW w:w="7309" w:type="dxa"/>
            <w:tcBorders>
              <w:bottom w:val="nil"/>
            </w:tcBorders>
          </w:tcPr>
          <w:p w:rsidR="00F43A8C" w:rsidRPr="00F43A8C" w:rsidRDefault="00F43A8C" w:rsidP="00F43A8C">
            <w:pPr>
              <w:spacing w:before="120" w:after="120"/>
              <w:rPr>
                <w:lang w:val="fr-FR"/>
              </w:rPr>
            </w:pPr>
          </w:p>
        </w:tc>
      </w:tr>
      <w:tr w:rsidR="00F43A8C" w:rsidRPr="00F43A8C" w:rsidTr="00E003D1">
        <w:trPr>
          <w:jc w:val="center"/>
        </w:trPr>
        <w:tc>
          <w:tcPr>
            <w:tcW w:w="2330" w:type="dxa"/>
            <w:tcBorders>
              <w:top w:val="nil"/>
              <w:bottom w:val="nil"/>
            </w:tcBorders>
          </w:tcPr>
          <w:p w:rsidR="00F43A8C" w:rsidRPr="00F43A8C" w:rsidRDefault="00F43A8C" w:rsidP="00F43A8C">
            <w:pPr>
              <w:spacing w:before="40" w:after="120"/>
              <w:ind w:left="0" w:firstLine="0"/>
              <w:jc w:val="left"/>
              <w:rPr>
                <w:b/>
                <w:lang w:val="fr-FR"/>
              </w:rPr>
            </w:pPr>
            <w:r w:rsidRPr="00F43A8C">
              <w:rPr>
                <w:b/>
                <w:lang w:val="fr-FR"/>
              </w:rPr>
              <w:br/>
            </w:r>
          </w:p>
        </w:tc>
        <w:tc>
          <w:tcPr>
            <w:tcW w:w="7309" w:type="dxa"/>
            <w:tcBorders>
              <w:top w:val="nil"/>
              <w:bottom w:val="nil"/>
            </w:tcBorders>
          </w:tcPr>
          <w:p w:rsidR="00F43A8C" w:rsidRPr="00F43A8C" w:rsidRDefault="00F43A8C" w:rsidP="00F43A8C">
            <w:pPr>
              <w:widowControl/>
              <w:overflowPunct/>
              <w:spacing w:before="40" w:after="120"/>
              <w:ind w:left="0" w:firstLine="0"/>
              <w:jc w:val="left"/>
              <w:textAlignment w:val="auto"/>
              <w:rPr>
                <w:rFonts w:cs="Arial"/>
              </w:rPr>
            </w:pPr>
            <w:r w:rsidRPr="00F43A8C">
              <w:rPr>
                <w:lang w:eastAsia="en-US"/>
              </w:rPr>
              <w:t>Dieses Dokument beschreibt die Schwierigkeiten bei der Anwendung der Bestimmungen der dem ADN beigefügten Verordnung über Feuerlöscheinrichtungen auf nicht motorisierte Leichter.</w:t>
            </w:r>
          </w:p>
        </w:tc>
      </w:tr>
      <w:tr w:rsidR="00F43A8C" w:rsidRPr="00F43A8C" w:rsidTr="00E003D1">
        <w:trPr>
          <w:jc w:val="center"/>
        </w:trPr>
        <w:tc>
          <w:tcPr>
            <w:tcW w:w="2330" w:type="dxa"/>
            <w:tcBorders>
              <w:top w:val="nil"/>
              <w:bottom w:val="nil"/>
            </w:tcBorders>
          </w:tcPr>
          <w:p w:rsidR="00F43A8C" w:rsidRPr="00F43A8C" w:rsidRDefault="00F43A8C" w:rsidP="00F43A8C">
            <w:pPr>
              <w:spacing w:before="40" w:after="120"/>
              <w:ind w:left="0" w:firstLine="0"/>
              <w:jc w:val="left"/>
              <w:rPr>
                <w:b/>
                <w:lang w:val="fr-FR"/>
              </w:rPr>
            </w:pPr>
            <w:r w:rsidRPr="00F43A8C">
              <w:rPr>
                <w:b/>
              </w:rPr>
              <w:t>Zu ergreifende Maßnahmen:</w:t>
            </w:r>
          </w:p>
        </w:tc>
        <w:tc>
          <w:tcPr>
            <w:tcW w:w="7309" w:type="dxa"/>
            <w:tcBorders>
              <w:top w:val="nil"/>
              <w:bottom w:val="nil"/>
            </w:tcBorders>
          </w:tcPr>
          <w:p w:rsidR="00F43A8C" w:rsidRPr="00F43A8C" w:rsidRDefault="00F43A8C" w:rsidP="00F43A8C">
            <w:pPr>
              <w:spacing w:before="40" w:after="120"/>
              <w:ind w:left="11" w:firstLine="0"/>
              <w:rPr>
                <w:lang w:val="fr-FR"/>
              </w:rPr>
            </w:pPr>
            <w:r w:rsidRPr="00F43A8C">
              <w:rPr>
                <w:lang w:eastAsia="en-US"/>
              </w:rPr>
              <w:t>Siehe Absätze 9 und 10</w:t>
            </w:r>
          </w:p>
        </w:tc>
      </w:tr>
      <w:tr w:rsidR="00F43A8C" w:rsidRPr="00F43A8C" w:rsidTr="00E003D1">
        <w:trPr>
          <w:jc w:val="center"/>
        </w:trPr>
        <w:tc>
          <w:tcPr>
            <w:tcW w:w="2330" w:type="dxa"/>
            <w:tcBorders>
              <w:top w:val="nil"/>
            </w:tcBorders>
          </w:tcPr>
          <w:p w:rsidR="00F43A8C" w:rsidRPr="00F43A8C" w:rsidRDefault="00F43A8C" w:rsidP="00F43A8C">
            <w:pPr>
              <w:tabs>
                <w:tab w:val="left" w:pos="284"/>
              </w:tabs>
              <w:spacing w:before="40" w:after="120"/>
              <w:ind w:left="0" w:firstLine="0"/>
              <w:jc w:val="left"/>
              <w:rPr>
                <w:b/>
                <w:lang w:val="fr-FR"/>
              </w:rPr>
            </w:pPr>
            <w:r w:rsidRPr="00F43A8C">
              <w:rPr>
                <w:b/>
              </w:rPr>
              <w:t>Verbundene Dokumente:</w:t>
            </w:r>
          </w:p>
        </w:tc>
        <w:tc>
          <w:tcPr>
            <w:tcW w:w="7309" w:type="dxa"/>
            <w:tcBorders>
              <w:top w:val="nil"/>
            </w:tcBorders>
          </w:tcPr>
          <w:p w:rsidR="00F43A8C" w:rsidRPr="00F43A8C" w:rsidRDefault="00F43A8C" w:rsidP="00F43A8C">
            <w:pPr>
              <w:spacing w:before="40" w:after="120"/>
              <w:ind w:left="11" w:firstLine="0"/>
              <w:rPr>
                <w:lang w:val="en-US"/>
              </w:rPr>
            </w:pPr>
            <w:r w:rsidRPr="00F43A8C">
              <w:rPr>
                <w:lang w:eastAsia="de-DE"/>
              </w:rPr>
              <w:t>Entfällt</w:t>
            </w:r>
          </w:p>
        </w:tc>
      </w:tr>
      <w:bookmarkEnd w:id="1"/>
    </w:tbl>
    <w:p w:rsidR="00B155FC" w:rsidRDefault="00B155FC" w:rsidP="00F43A8C">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val="fr-FR" w:eastAsia="en-US"/>
        </w:rPr>
      </w:pPr>
    </w:p>
    <w:p w:rsidR="00B155FC" w:rsidRDefault="00B155FC">
      <w:pPr>
        <w:widowControl/>
        <w:overflowPunct/>
        <w:autoSpaceDE/>
        <w:autoSpaceDN/>
        <w:adjustRightInd/>
        <w:ind w:left="0" w:firstLine="0"/>
        <w:jc w:val="left"/>
        <w:textAlignment w:val="auto"/>
        <w:rPr>
          <w:b/>
          <w:sz w:val="28"/>
          <w:lang w:val="fr-FR" w:eastAsia="en-US"/>
        </w:rPr>
      </w:pPr>
      <w:r>
        <w:rPr>
          <w:b/>
          <w:sz w:val="28"/>
          <w:lang w:val="fr-FR" w:eastAsia="en-US"/>
        </w:rPr>
        <w:br w:type="page"/>
      </w:r>
    </w:p>
    <w:p w:rsidR="00F43A8C" w:rsidRPr="00F43A8C" w:rsidRDefault="00F43A8C" w:rsidP="00F43A8C">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val="fr-FR" w:eastAsia="en-US"/>
        </w:rPr>
      </w:pPr>
      <w:r w:rsidRPr="00F43A8C">
        <w:rPr>
          <w:b/>
          <w:sz w:val="28"/>
          <w:lang w:val="fr-FR" w:eastAsia="en-US"/>
        </w:rPr>
        <w:lastRenderedPageBreak/>
        <w:tab/>
      </w:r>
      <w:r w:rsidRPr="00F43A8C">
        <w:rPr>
          <w:b/>
          <w:sz w:val="28"/>
          <w:lang w:val="fr-FR" w:eastAsia="en-US"/>
        </w:rPr>
        <w:tab/>
      </w:r>
      <w:r w:rsidRPr="00F43A8C">
        <w:rPr>
          <w:b/>
          <w:sz w:val="28"/>
          <w:lang w:eastAsia="en-US"/>
        </w:rPr>
        <w:t>Einführung</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en-US"/>
        </w:rPr>
      </w:pPr>
      <w:r w:rsidRPr="00F43A8C">
        <w:rPr>
          <w:lang w:eastAsia="en-US"/>
        </w:rPr>
        <w:t>1.</w:t>
      </w:r>
      <w:r w:rsidRPr="00F43A8C">
        <w:rPr>
          <w:lang w:eastAsia="en-US"/>
        </w:rPr>
        <w:tab/>
        <w:t>Absatz 9.3.X.40.1 der dem ADN beigefügten Verordnung enthält für Tankschiffe eine Reihe von Anforderungen an Feuerlöscheinrichtungen, die im Folgenden zum Teil wiedergegeben werden: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a)</w:t>
      </w:r>
      <w:r w:rsidRPr="00F43A8C">
        <w:rPr>
          <w:lang w:eastAsia="en-US"/>
        </w:rPr>
        <w:tab/>
        <w:t>Versorgung durch zwei unabhängige Pumpen, von denen eine jederzeit betriebsbereit sein muss; die beiden Pumpen dürfen nicht in demselben Raum aufgestellt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b)</w:t>
      </w:r>
      <w:r w:rsidRPr="00F43A8C">
        <w:rPr>
          <w:lang w:eastAsia="en-US"/>
        </w:rPr>
        <w:tab/>
        <w:t>Möglichkeit, jede Stelle im Bereich der Ladung mit zwei nicht vom gleichen Anschlussstutzen ausgehenden Wasserstrahlen erreichen zu können;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c)</w:t>
      </w:r>
      <w:r w:rsidRPr="00F43A8C">
        <w:rPr>
          <w:lang w:eastAsia="en-US"/>
        </w:rPr>
        <w:tab/>
        <w:t>Die Wasserversorgung kann vom Steuerhaus und von Deck aus eingeschaltet werden.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rFonts w:eastAsia="MS Mincho"/>
          <w:i/>
          <w:iCs/>
          <w:lang w:eastAsia="ja-JP"/>
        </w:rPr>
      </w:pPr>
      <w:r w:rsidRPr="00F43A8C">
        <w:rPr>
          <w:lang w:eastAsia="en-US"/>
        </w:rPr>
        <w:t>2.</w:t>
      </w:r>
      <w:r w:rsidRPr="00F43A8C">
        <w:rPr>
          <w:lang w:eastAsia="en-US"/>
        </w:rPr>
        <w:tab/>
        <w:t>Die obige Regel ist bei Motorschiffen vollkommen klar, bei (nicht motorisierten) Tankleichtern, die Teil eines Schubverbands oder einer Schiffszusammenstellung sind, gibt es jedoch Schwierigkeiten bei der Anwendung.</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en-US"/>
        </w:rPr>
      </w:pPr>
      <w:r w:rsidRPr="00F43A8C">
        <w:rPr>
          <w:lang w:eastAsia="en-US"/>
        </w:rPr>
        <w:t>3.</w:t>
      </w:r>
      <w:r w:rsidRPr="00F43A8C">
        <w:rPr>
          <w:lang w:eastAsia="en-US"/>
        </w:rPr>
        <w:tab/>
        <w:t>Kapitel 7.2 enthält insbesondere die beiden folgenden Bestimmungen:</w:t>
      </w:r>
    </w:p>
    <w:p w:rsidR="00F43A8C" w:rsidRPr="00F43A8C" w:rsidRDefault="00F43A8C" w:rsidP="00F43A8C">
      <w:pPr>
        <w:widowControl/>
        <w:suppressAutoHyphens/>
        <w:overflowPunct/>
        <w:autoSpaceDE/>
        <w:autoSpaceDN/>
        <w:adjustRightInd/>
        <w:spacing w:after="120" w:line="240" w:lineRule="atLeast"/>
        <w:ind w:right="1134" w:firstLine="0"/>
        <w:textAlignment w:val="auto"/>
        <w:rPr>
          <w:i/>
          <w:iCs/>
          <w:lang w:eastAsia="en-US"/>
        </w:rPr>
      </w:pPr>
      <w:r w:rsidRPr="00F43A8C">
        <w:rPr>
          <w:rFonts w:ascii="Arial" w:hAnsi="Arial" w:cs="Arial"/>
          <w:i/>
          <w:iCs/>
          <w:lang w:eastAsia="en-US"/>
        </w:rPr>
        <w:t>„</w:t>
      </w:r>
      <w:r w:rsidRPr="00F43A8C">
        <w:rPr>
          <w:i/>
          <w:iCs/>
          <w:lang w:eastAsia="en-US"/>
        </w:rPr>
        <w:t>7.2.2.19.2</w:t>
      </w:r>
      <w:r w:rsidRPr="00F43A8C">
        <w:rPr>
          <w:i/>
          <w:iCs/>
          <w:lang w:eastAsia="en-US"/>
        </w:rPr>
        <w:tab/>
        <w:t>Hinsichtlich der Anwendung der Vorschriften dieses Teils wird der ganze Schubverband oder werden die gekuppelten Schiffe als ein einziges Schiff angesehen.</w:t>
      </w:r>
      <w:r w:rsidR="006B5A0A">
        <w:rPr>
          <w:i/>
          <w:iCs/>
          <w:lang w:eastAsia="en-US"/>
        </w:rPr>
        <w:t xml:space="preserve">“ </w:t>
      </w:r>
      <w:r w:rsidRPr="00F43A8C">
        <w:rPr>
          <w:i/>
          <w:iCs/>
          <w:lang w:eastAsia="en-US"/>
        </w:rPr>
        <w:t xml:space="preserve"> und</w:t>
      </w:r>
    </w:p>
    <w:p w:rsidR="00F43A8C" w:rsidRPr="00F43A8C" w:rsidRDefault="00F43A8C" w:rsidP="00F43A8C">
      <w:pPr>
        <w:widowControl/>
        <w:suppressAutoHyphens/>
        <w:overflowPunct/>
        <w:autoSpaceDE/>
        <w:autoSpaceDN/>
        <w:adjustRightInd/>
        <w:spacing w:after="120" w:line="240" w:lineRule="atLeast"/>
        <w:ind w:right="1134" w:firstLine="0"/>
        <w:textAlignment w:val="auto"/>
        <w:rPr>
          <w:i/>
          <w:iCs/>
          <w:lang w:eastAsia="en-US"/>
        </w:rPr>
      </w:pPr>
      <w:r w:rsidRPr="00F43A8C">
        <w:rPr>
          <w:rFonts w:ascii="Arial" w:hAnsi="Arial" w:cs="Arial"/>
          <w:i/>
          <w:iCs/>
          <w:lang w:eastAsia="en-US"/>
        </w:rPr>
        <w:t>„</w:t>
      </w:r>
      <w:r w:rsidRPr="00F43A8C">
        <w:rPr>
          <w:i/>
          <w:iCs/>
          <w:lang w:eastAsia="en-US"/>
        </w:rPr>
        <w:t>7.2.2.19.3</w:t>
      </w:r>
      <w:r w:rsidRPr="00F43A8C">
        <w:rPr>
          <w:i/>
          <w:iCs/>
          <w:lang w:eastAsia="en-US"/>
        </w:rPr>
        <w:tab/>
        <w:t>Wenn in einem Schubverband oder bei gekuppelten Schiffen mindestens ein Tankschiff gefährliche Güter befördert, müssen die Schiffe, die für die Fortbewegung verwendet werden, den nachstehend aufgeführten Abschnitten, Unterabschnitten und Absätzen entsprechen:</w:t>
      </w:r>
    </w:p>
    <w:p w:rsidR="00F43A8C" w:rsidRPr="00F43A8C" w:rsidRDefault="00F43A8C" w:rsidP="00F43A8C">
      <w:pPr>
        <w:widowControl/>
        <w:suppressAutoHyphens/>
        <w:overflowPunct/>
        <w:autoSpaceDE/>
        <w:autoSpaceDN/>
        <w:adjustRightInd/>
        <w:spacing w:after="120" w:line="240" w:lineRule="atLeast"/>
        <w:ind w:right="1134" w:firstLine="0"/>
        <w:textAlignment w:val="auto"/>
        <w:rPr>
          <w:lang w:eastAsia="en-US"/>
        </w:rPr>
      </w:pPr>
      <w:r w:rsidRPr="00F43A8C">
        <w:rPr>
          <w:i/>
          <w:iCs/>
          <w:lang w:eastAsia="en-US"/>
        </w:rPr>
        <w:t>… 9.3.3.40.1 (jedoch genügt eine einzige Feuerlösch- oder Ballastpumpe). …</w:t>
      </w:r>
      <w:r w:rsidRPr="00F43A8C">
        <w:rPr>
          <w:rFonts w:ascii="Arial" w:hAnsi="Arial" w:cs="Arial"/>
          <w:i/>
          <w:iCs/>
          <w:lang w:eastAsia="en-US"/>
        </w:rPr>
        <w:t>“</w:t>
      </w:r>
      <w:r w:rsidR="006B5A0A">
        <w:rPr>
          <w:rFonts w:ascii="Arial" w:hAnsi="Arial" w:cs="Arial"/>
          <w:i/>
          <w:iCs/>
          <w:lang w:eastAsia="en-US"/>
        </w:rPr>
        <w:t>.</w:t>
      </w:r>
    </w:p>
    <w:p w:rsidR="00F43A8C" w:rsidRPr="00F43A8C" w:rsidRDefault="00F43A8C" w:rsidP="00F43A8C">
      <w:pPr>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F43A8C">
        <w:rPr>
          <w:b/>
          <w:sz w:val="28"/>
          <w:lang w:eastAsia="en-US"/>
        </w:rPr>
        <w:tab/>
      </w:r>
      <w:r w:rsidRPr="00F43A8C">
        <w:rPr>
          <w:b/>
          <w:sz w:val="28"/>
          <w:lang w:eastAsia="en-US"/>
        </w:rPr>
        <w:tab/>
        <w:t>Analyse</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en-US"/>
        </w:rPr>
      </w:pPr>
      <w:r w:rsidRPr="00F43A8C">
        <w:rPr>
          <w:lang w:eastAsia="en-US"/>
        </w:rPr>
        <w:t>4.</w:t>
      </w:r>
      <w:r w:rsidRPr="00F43A8C">
        <w:rPr>
          <w:lang w:eastAsia="en-US"/>
        </w:rPr>
        <w:tab/>
        <w:t>Bei einem (nicht motorisierten) Tankleichter führt die gemeinsame Lektüre der Bestimmungen des Absatzes 9.3.X.40.1 und der Bestimmungen der Absätze 7.2.2.19.2 und 7.2.2.19.3 zu folgenden Fragen: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a)</w:t>
      </w:r>
      <w:r w:rsidRPr="00F43A8C">
        <w:rPr>
          <w:lang w:eastAsia="en-US"/>
        </w:rPr>
        <w:tab/>
        <w:t>Ist es nach Absatz 7.2.2.19.3 (durch die spezifische Anwendung des Absatzes 9.3.3.40.1) möglich, den Leichter von der Pflicht zum Vorhandensein zweier Feuerlöschpumpen an Bord auszunehmen und eine einzige Feuerlöschpumpe zu erlauben?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b)</w:t>
      </w:r>
      <w:r w:rsidRPr="00F43A8C">
        <w:rPr>
          <w:lang w:eastAsia="en-US"/>
        </w:rPr>
        <w:tab/>
        <w:t xml:space="preserve">Muss in diesem Fall ein Leichter immer mit dem schiebenden Fahrzeug verbunden sein? Wenn ja, welche Ausrüstung kann oder muss an Bord des </w:t>
      </w:r>
      <w:proofErr w:type="spellStart"/>
      <w:r w:rsidRPr="00F43A8C">
        <w:rPr>
          <w:lang w:eastAsia="en-US"/>
        </w:rPr>
        <w:t>Leichters</w:t>
      </w:r>
      <w:proofErr w:type="spellEnd"/>
      <w:r w:rsidRPr="00F43A8C">
        <w:rPr>
          <w:lang w:eastAsia="en-US"/>
        </w:rPr>
        <w:t xml:space="preserve"> oder des schiebenden Fahrzeugs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c)</w:t>
      </w:r>
      <w:r w:rsidRPr="00F43A8C">
        <w:rPr>
          <w:lang w:eastAsia="en-US"/>
        </w:rPr>
        <w:tab/>
      </w:r>
      <w:r w:rsidRPr="00F43A8C">
        <w:rPr>
          <w:rFonts w:eastAsia="MS Mincho"/>
          <w:lang w:eastAsia="en-US"/>
        </w:rPr>
        <w:t>Kann ein Leichter zum Laden, Löschen und Stillliegen, in vollem oder leerem, aber nicht entgastem Zustand, vom schiebenden Fahrzeug getrennt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rFonts w:eastAsia="MS Mincho"/>
          <w:lang w:eastAsia="en-US"/>
        </w:rPr>
      </w:pPr>
      <w:r w:rsidRPr="00F43A8C">
        <w:rPr>
          <w:rFonts w:eastAsia="MS Mincho"/>
          <w:lang w:eastAsia="en-US"/>
        </w:rPr>
        <w:t>d)</w:t>
      </w:r>
      <w:r w:rsidRPr="00F43A8C">
        <w:rPr>
          <w:rFonts w:eastAsia="MS Mincho"/>
          <w:lang w:eastAsia="en-US"/>
        </w:rPr>
        <w:tab/>
        <w:t xml:space="preserve">Wenn ja, unter welchen technischen Bedingungen mit zwei Pumpen an Bord des </w:t>
      </w:r>
      <w:proofErr w:type="spellStart"/>
      <w:r w:rsidRPr="00F43A8C">
        <w:rPr>
          <w:rFonts w:eastAsia="MS Mincho"/>
          <w:lang w:eastAsia="en-US"/>
        </w:rPr>
        <w:t>Leichters</w:t>
      </w:r>
      <w:proofErr w:type="spellEnd"/>
      <w:r w:rsidRPr="00F43A8C">
        <w:rPr>
          <w:rFonts w:eastAsia="MS Mincho"/>
          <w:lang w:eastAsia="en-US"/>
        </w:rPr>
        <w:t>?</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rFonts w:eastAsia="MS Mincho"/>
          <w:lang w:eastAsia="ja-JP"/>
        </w:rPr>
      </w:pPr>
      <w:r w:rsidRPr="00F43A8C">
        <w:rPr>
          <w:rFonts w:eastAsia="MS Mincho"/>
          <w:lang w:eastAsia="en-US"/>
        </w:rPr>
        <w:t>e)</w:t>
      </w:r>
      <w:r w:rsidRPr="00F43A8C">
        <w:rPr>
          <w:rFonts w:eastAsia="MS Mincho"/>
          <w:lang w:eastAsia="en-US"/>
        </w:rPr>
        <w:tab/>
        <w:t xml:space="preserve">Wenn ja, unter welchen technischen Bedingungen mit einer Pumpe an Bord des </w:t>
      </w:r>
      <w:proofErr w:type="spellStart"/>
      <w:r w:rsidRPr="00F43A8C">
        <w:rPr>
          <w:rFonts w:eastAsia="MS Mincho"/>
          <w:lang w:eastAsia="en-US"/>
        </w:rPr>
        <w:t>Leichters</w:t>
      </w:r>
      <w:proofErr w:type="spellEnd"/>
      <w:r w:rsidRPr="00F43A8C">
        <w:rPr>
          <w:rFonts w:eastAsia="MS Mincho"/>
          <w:lang w:eastAsia="en-US"/>
        </w:rPr>
        <w:t>?</w:t>
      </w:r>
    </w:p>
    <w:p w:rsidR="00B155FC" w:rsidRDefault="00B155FC">
      <w:pPr>
        <w:widowControl/>
        <w:overflowPunct/>
        <w:autoSpaceDE/>
        <w:autoSpaceDN/>
        <w:adjustRightInd/>
        <w:ind w:left="0" w:firstLine="0"/>
        <w:jc w:val="left"/>
        <w:textAlignment w:val="auto"/>
        <w:rPr>
          <w:b/>
          <w:sz w:val="28"/>
          <w:lang w:eastAsia="en-US"/>
        </w:rPr>
      </w:pPr>
      <w:r>
        <w:rPr>
          <w:b/>
          <w:sz w:val="28"/>
          <w:lang w:eastAsia="en-US"/>
        </w:rPr>
        <w:br w:type="page"/>
      </w:r>
    </w:p>
    <w:p w:rsidR="00F43A8C" w:rsidRPr="00F43A8C" w:rsidRDefault="00F43A8C" w:rsidP="00F43A8C">
      <w:pPr>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F43A8C">
        <w:rPr>
          <w:b/>
          <w:sz w:val="28"/>
          <w:lang w:eastAsia="en-US"/>
        </w:rPr>
        <w:lastRenderedPageBreak/>
        <w:tab/>
      </w:r>
      <w:r w:rsidRPr="00F43A8C">
        <w:rPr>
          <w:b/>
          <w:sz w:val="28"/>
          <w:lang w:eastAsia="en-US"/>
        </w:rPr>
        <w:tab/>
        <w:t>Mögliche Auslegungen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de-DE"/>
        </w:rPr>
      </w:pPr>
      <w:r w:rsidRPr="00F43A8C">
        <w:rPr>
          <w:lang w:eastAsia="en-US"/>
        </w:rPr>
        <w:t>5.</w:t>
      </w:r>
      <w:r w:rsidRPr="00F43A8C">
        <w:rPr>
          <w:lang w:eastAsia="en-US"/>
        </w:rPr>
        <w:tab/>
      </w:r>
      <w:r w:rsidRPr="00F43A8C">
        <w:rPr>
          <w:lang w:eastAsia="de-DE"/>
        </w:rPr>
        <w:t>Der Leichter ist beim Fahren, Laden, Löschen oder Stillliegen Teil eines Verbands mit einem schiebenden Fahrzeug:</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de-DE"/>
        </w:rPr>
        <w:t>a)</w:t>
      </w:r>
      <w:r w:rsidRPr="00F43A8C">
        <w:rPr>
          <w:lang w:eastAsia="de-DE"/>
        </w:rPr>
        <w:tab/>
        <w:t>Der Verband ist ein einziges Schiff.</w:t>
      </w:r>
      <w:r w:rsidRPr="00F43A8C">
        <w:rPr>
          <w:lang w:eastAsia="en-US"/>
        </w:rPr>
        <w:t xml:space="preserve"> Er bleibt auch während des Ladens, Löschens oder Stillliegens dauerhaft bestehen.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b)</w:t>
      </w:r>
      <w:r w:rsidRPr="00F43A8C">
        <w:rPr>
          <w:lang w:eastAsia="en-US"/>
        </w:rPr>
        <w:tab/>
        <w:t>Es könnte nur eine Feuerlöschpumpe auf dem schiebenden Fahrzeug und eine Pumpe auf dem Leichter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c)</w:t>
      </w:r>
      <w:r w:rsidRPr="00F43A8C">
        <w:rPr>
          <w:lang w:eastAsia="en-US"/>
        </w:rPr>
        <w:tab/>
        <w:t>Zwischen dem schiebenden Fahrzeug und dem Leichter muss eine Feuer</w:t>
      </w:r>
      <w:r w:rsidRPr="00F43A8C">
        <w:rPr>
          <w:lang w:eastAsia="en-US"/>
        </w:rPr>
        <w:softHyphen/>
        <w:t>löschschlauch-Verbindung vorhanden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d)</w:t>
      </w:r>
      <w:r w:rsidRPr="00F43A8C">
        <w:rPr>
          <w:lang w:eastAsia="en-US"/>
        </w:rPr>
        <w:tab/>
        <w:t xml:space="preserve">Die Löschpumpe des schiebenden Fahrzeugs muss vom Steuerhaus und vom Deck [des schiebenden Fahrzeugs? / des </w:t>
      </w:r>
      <w:proofErr w:type="spellStart"/>
      <w:r w:rsidRPr="00F43A8C">
        <w:rPr>
          <w:lang w:eastAsia="en-US"/>
        </w:rPr>
        <w:t>Leichters</w:t>
      </w:r>
      <w:proofErr w:type="spellEnd"/>
      <w:r w:rsidRPr="00F43A8C">
        <w:rPr>
          <w:lang w:eastAsia="en-US"/>
        </w:rPr>
        <w:t>?] aus [vorne? hinten?] bedienbar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e)</w:t>
      </w:r>
      <w:r w:rsidRPr="00F43A8C">
        <w:rPr>
          <w:lang w:eastAsia="en-US"/>
        </w:rPr>
        <w:tab/>
        <w:t xml:space="preserve">Die Löschpumpe des </w:t>
      </w:r>
      <w:proofErr w:type="spellStart"/>
      <w:r w:rsidRPr="00F43A8C">
        <w:rPr>
          <w:lang w:eastAsia="en-US"/>
        </w:rPr>
        <w:t>Leichters</w:t>
      </w:r>
      <w:proofErr w:type="spellEnd"/>
      <w:r w:rsidRPr="00F43A8C">
        <w:rPr>
          <w:lang w:eastAsia="en-US"/>
        </w:rPr>
        <w:t xml:space="preserve"> muss vom Steuerhaus und vom Deck [des schiebenden Fahrzeugs? / des </w:t>
      </w:r>
      <w:proofErr w:type="spellStart"/>
      <w:r w:rsidRPr="00F43A8C">
        <w:rPr>
          <w:lang w:eastAsia="en-US"/>
        </w:rPr>
        <w:t>Leichters</w:t>
      </w:r>
      <w:proofErr w:type="spellEnd"/>
      <w:r w:rsidRPr="00F43A8C">
        <w:rPr>
          <w:lang w:eastAsia="en-US"/>
        </w:rPr>
        <w:t>?] aus [vorne? hinten?] bedienbar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f)</w:t>
      </w:r>
      <w:r w:rsidRPr="00F43A8C">
        <w:rPr>
          <w:lang w:eastAsia="en-US"/>
        </w:rPr>
        <w:tab/>
        <w:t>Eine der beiden Pumpen muss jederzeit betriebsbereit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de-DE"/>
        </w:rPr>
      </w:pPr>
      <w:r w:rsidRPr="00F43A8C">
        <w:rPr>
          <w:lang w:eastAsia="en-US"/>
        </w:rPr>
        <w:t>g)</w:t>
      </w:r>
      <w:r w:rsidRPr="00F43A8C">
        <w:rPr>
          <w:lang w:eastAsia="en-US"/>
        </w:rPr>
        <w:tab/>
        <w:t xml:space="preserve">Die Pumpe des </w:t>
      </w:r>
      <w:proofErr w:type="spellStart"/>
      <w:r w:rsidRPr="00F43A8C">
        <w:rPr>
          <w:lang w:eastAsia="en-US"/>
        </w:rPr>
        <w:t>Leichters</w:t>
      </w:r>
      <w:proofErr w:type="spellEnd"/>
      <w:r w:rsidRPr="00F43A8C">
        <w:rPr>
          <w:lang w:eastAsia="en-US"/>
        </w:rPr>
        <w:t xml:space="preserve"> muss von der elektrischen Anlage des schiebenden Fahrzeugs angetrieben werden können, es sei denn, sie verfügt über eine eigene geeignete Energiequelle (oder jedenfalls vom schiebenden Fahrzeug betrieben werden können, auch wenn sie über eine eigene Energiequelle verfügt?).</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de-DE"/>
        </w:rPr>
      </w:pPr>
      <w:r w:rsidRPr="00F43A8C">
        <w:rPr>
          <w:lang w:eastAsia="en-US"/>
        </w:rPr>
        <w:t>6.</w:t>
      </w:r>
      <w:r w:rsidRPr="00F43A8C">
        <w:rPr>
          <w:lang w:eastAsia="en-US"/>
        </w:rPr>
        <w:tab/>
      </w:r>
      <w:r w:rsidRPr="00F43A8C">
        <w:rPr>
          <w:lang w:eastAsia="de-DE"/>
        </w:rPr>
        <w:t>Der Leichter befindet sich am Kai zum Laden, Löschen oder Stillliegen, in vollem oder leerem, aber nicht entgastem Zustand, vom schiebenden Fahrzeug getrennt, mit zwei Feuerlöschpumpen an Bord:</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a)</w:t>
      </w:r>
      <w:r w:rsidRPr="00F43A8C">
        <w:rPr>
          <w:lang w:eastAsia="en-US"/>
        </w:rPr>
        <w:tab/>
        <w:t>Der Leichter wird als Schiff angesehen, er hat zwei Pumpen an Bord, die von einem Stromaggregat an Bord angetrieben werden (wobei beide Pumpen voneinander unabhängig sein müssen).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b)</w:t>
      </w:r>
      <w:r w:rsidRPr="00F43A8C">
        <w:rPr>
          <w:lang w:eastAsia="en-US"/>
        </w:rPr>
        <w:tab/>
        <w:t>Was soll mit nur einem Stromaggregat geschehen, ist eine Versorgung von Land für die zweite Pumpe zulässig?</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c)</w:t>
      </w:r>
      <w:r w:rsidRPr="00F43A8C">
        <w:rPr>
          <w:lang w:eastAsia="en-US"/>
        </w:rPr>
        <w:tab/>
        <w:t>Die Pumpen müssen in verschiedenen Räumen aufgestellt werden (mit notwendigerweise einer Pumpe auf dem Deck?).</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d)</w:t>
      </w:r>
      <w:r w:rsidRPr="00F43A8C">
        <w:rPr>
          <w:lang w:eastAsia="en-US"/>
        </w:rPr>
        <w:tab/>
        <w:t>Die Pumpen müssen von zwei verschiedenen Stellen aus betrieben werden können (vorne? hinten?).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de-DE"/>
        </w:rPr>
      </w:pPr>
      <w:r w:rsidRPr="00F43A8C">
        <w:rPr>
          <w:lang w:eastAsia="en-US"/>
        </w:rPr>
        <w:t>e)</w:t>
      </w:r>
      <w:r w:rsidRPr="00F43A8C">
        <w:rPr>
          <w:lang w:eastAsia="en-US"/>
        </w:rPr>
        <w:tab/>
        <w:t>Eine der beiden Pumpen muss jederzeit betriebsbereit sein.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de-DE"/>
        </w:rPr>
      </w:pPr>
      <w:r w:rsidRPr="00F43A8C">
        <w:rPr>
          <w:lang w:eastAsia="de-DE"/>
        </w:rPr>
        <w:t>7.</w:t>
      </w:r>
      <w:r w:rsidRPr="00F43A8C">
        <w:rPr>
          <w:lang w:eastAsia="de-DE"/>
        </w:rPr>
        <w:tab/>
        <w:t>Der Leichter befindet sich am Kai zum Laden, Löschen oder Stillliegen, in vollem oder leerem, aber nicht entgastem Zustand, vom schiebenden Fahrzeug getrennt, mit nur einer Feuerlöschpumpe an Bord. Ist diese Situation nach dem ADN erlaubt? Wenn das der Fall ist,</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de-DE"/>
        </w:rPr>
        <w:t>a)</w:t>
      </w:r>
      <w:r w:rsidRPr="00F43A8C">
        <w:rPr>
          <w:lang w:eastAsia="de-DE"/>
        </w:rPr>
        <w:tab/>
        <w:t>muss die Feuerlöschpumpe von einem Aggregat an Bord versorgt werden oder kann sie vom Kai aus betrieben werden?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b)</w:t>
      </w:r>
      <w:r w:rsidRPr="00F43A8C">
        <w:rPr>
          <w:lang w:eastAsia="en-US"/>
        </w:rPr>
        <w:tab/>
        <w:t>Ist eine zweite Pumpe auf dem Kai mit einer hydraulischen Verbindung zwischen dem Kai und dem Schiff erforderlich?</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F43A8C">
        <w:rPr>
          <w:lang w:eastAsia="en-US"/>
        </w:rPr>
        <w:t>c)</w:t>
      </w:r>
      <w:r w:rsidRPr="00F43A8C">
        <w:rPr>
          <w:lang w:eastAsia="en-US"/>
        </w:rPr>
        <w:tab/>
        <w:t>Ist es notwendig, beide Pumpen vom Kai (bewegliche elektrische Kabel dürfen sich gemäß Absatz 9.3.x.56.3 nicht im Bereich der Ladung befinden) und vom Schiff aus (ein oder zwei Stellen auf dem Leichter?) bedienen zu können?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567"/>
        <w:textAlignment w:val="auto"/>
        <w:rPr>
          <w:lang w:eastAsia="de-DE"/>
        </w:rPr>
      </w:pPr>
      <w:r w:rsidRPr="00F43A8C">
        <w:rPr>
          <w:lang w:eastAsia="en-US"/>
        </w:rPr>
        <w:t>d)</w:t>
      </w:r>
      <w:r w:rsidRPr="00F43A8C">
        <w:rPr>
          <w:lang w:eastAsia="en-US"/>
        </w:rPr>
        <w:tab/>
        <w:t>Eine der beiden Pumpen muss jederzeit betriebsbereit sein.</w:t>
      </w:r>
    </w:p>
    <w:p w:rsidR="00F43A8C" w:rsidRPr="00F43A8C" w:rsidRDefault="00F43A8C" w:rsidP="00F43A8C">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F43A8C">
        <w:rPr>
          <w:b/>
          <w:sz w:val="28"/>
          <w:lang w:eastAsia="en-US"/>
        </w:rPr>
        <w:lastRenderedPageBreak/>
        <w:tab/>
      </w:r>
      <w:r w:rsidRPr="00F43A8C">
        <w:rPr>
          <w:b/>
          <w:sz w:val="28"/>
          <w:lang w:eastAsia="en-US"/>
        </w:rPr>
        <w:tab/>
        <w:t>Weiteres Vorgehen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en-US"/>
        </w:rPr>
      </w:pPr>
      <w:r w:rsidRPr="00F43A8C">
        <w:rPr>
          <w:lang w:eastAsia="en-US"/>
        </w:rPr>
        <w:t>8.</w:t>
      </w:r>
      <w:r w:rsidRPr="00F43A8C">
        <w:rPr>
          <w:lang w:eastAsia="en-US"/>
        </w:rPr>
        <w:tab/>
        <w:t>Dieses Dokument zielt nicht darauf ab, die französische Auslegung der dem ADN beigefügten Verordnung in den in Absatz 4 genannten besonderen Fällen darzulegen.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en-US"/>
        </w:rPr>
      </w:pPr>
      <w:r w:rsidRPr="00F43A8C">
        <w:rPr>
          <w:lang w:eastAsia="en-US"/>
        </w:rPr>
        <w:t>9.</w:t>
      </w:r>
      <w:r w:rsidRPr="00F43A8C">
        <w:rPr>
          <w:lang w:eastAsia="en-US"/>
        </w:rPr>
        <w:tab/>
        <w:t>Vielmehr möchte Frankreich von den Rückmeldungen anderer Staaten profitieren, um ihre Praktiken und die von ihnen entwickelten Lösungen zur Bewältigung der oben genannten Probleme zu erfahren.</w:t>
      </w:r>
    </w:p>
    <w:p w:rsidR="00F43A8C" w:rsidRPr="00F43A8C" w:rsidRDefault="00F43A8C" w:rsidP="00F43A8C">
      <w:pPr>
        <w:widowControl/>
        <w:tabs>
          <w:tab w:val="left" w:pos="1701"/>
        </w:tabs>
        <w:suppressAutoHyphens/>
        <w:overflowPunct/>
        <w:autoSpaceDE/>
        <w:autoSpaceDN/>
        <w:adjustRightInd/>
        <w:spacing w:after="120" w:line="240" w:lineRule="atLeast"/>
        <w:ind w:right="1134" w:firstLine="0"/>
        <w:textAlignment w:val="auto"/>
        <w:rPr>
          <w:lang w:eastAsia="en-US"/>
        </w:rPr>
      </w:pPr>
      <w:r w:rsidRPr="00F43A8C">
        <w:rPr>
          <w:lang w:eastAsia="en-US"/>
        </w:rPr>
        <w:t>10.</w:t>
      </w:r>
      <w:r w:rsidRPr="00F43A8C">
        <w:rPr>
          <w:lang w:eastAsia="en-US"/>
        </w:rPr>
        <w:tab/>
        <w:t>Im Falle einer weitgehenden Übereinstimmung hinsichtlich der zu beschließenden Lösungen könnte eine entsprechende Änderung der dem ADN beigefügten Verordnung im für ein Inkrafttreten im Jahr 2021 erwogen werden.</w:t>
      </w:r>
    </w:p>
    <w:p w:rsidR="00751575" w:rsidRPr="000F4DD4" w:rsidRDefault="000F4DD4" w:rsidP="00F43A8C">
      <w:pPr>
        <w:keepNext/>
        <w:keepLines/>
        <w:widowControl/>
        <w:tabs>
          <w:tab w:val="right" w:pos="851"/>
          <w:tab w:val="left" w:pos="1701"/>
        </w:tabs>
        <w:suppressAutoHyphens/>
        <w:overflowPunct/>
        <w:autoSpaceDE/>
        <w:autoSpaceDN/>
        <w:adjustRightInd/>
        <w:spacing w:before="360" w:after="240" w:line="300" w:lineRule="exact"/>
        <w:ind w:right="1134"/>
        <w:jc w:val="center"/>
        <w:textAlignment w:val="auto"/>
      </w:pPr>
      <w:r w:rsidRPr="000F4DD4">
        <w:t>***</w:t>
      </w:r>
    </w:p>
    <w:sectPr w:rsidR="00751575" w:rsidRPr="000F4DD4"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45F" w:rsidRDefault="0005645F" w:rsidP="0011702A">
      <w:r>
        <w:separator/>
      </w:r>
    </w:p>
  </w:endnote>
  <w:endnote w:type="continuationSeparator" w:id="0">
    <w:p w:rsidR="0005645F" w:rsidRDefault="0005645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C9" w:rsidRPr="00E83D21" w:rsidRDefault="00E83D21" w:rsidP="00404EC9">
    <w:pPr>
      <w:widowControl/>
      <w:suppressAutoHyphens/>
      <w:overflowPunct/>
      <w:autoSpaceDE/>
      <w:autoSpaceDN/>
      <w:adjustRightInd/>
      <w:ind w:left="0" w:firstLine="0"/>
      <w:jc w:val="right"/>
      <w:textAlignment w:val="auto"/>
      <w:rPr>
        <w:lang w:val="fr-FR"/>
      </w:rPr>
    </w:pPr>
    <w:r w:rsidRPr="00E83D21">
      <w:rPr>
        <w:rFonts w:ascii="Arial" w:hAnsi="Arial"/>
        <w:noProof/>
        <w:snapToGrid w:val="0"/>
        <w:sz w:val="12"/>
        <w:szCs w:val="24"/>
        <w:lang w:val="fr-FR"/>
      </w:rPr>
      <w:t>m</w:t>
    </w:r>
    <w:r w:rsidR="00404EC9" w:rsidRPr="00E83D21">
      <w:rPr>
        <w:rFonts w:ascii="Arial" w:hAnsi="Arial"/>
        <w:noProof/>
        <w:snapToGrid w:val="0"/>
        <w:sz w:val="12"/>
        <w:szCs w:val="24"/>
        <w:lang w:val="fr-FR"/>
      </w:rPr>
      <w:t>m</w:t>
    </w:r>
    <w:r w:rsidRPr="00E83D21">
      <w:rPr>
        <w:rFonts w:ascii="Arial" w:hAnsi="Arial"/>
        <w:noProof/>
        <w:snapToGrid w:val="0"/>
        <w:sz w:val="12"/>
        <w:szCs w:val="24"/>
        <w:lang w:val="fr-FR"/>
      </w:rPr>
      <w:t>_ba</w:t>
    </w:r>
    <w:r w:rsidR="00404EC9" w:rsidRPr="00E83D21">
      <w:rPr>
        <w:rFonts w:ascii="Arial" w:hAnsi="Arial"/>
        <w:noProof/>
        <w:snapToGrid w:val="0"/>
        <w:sz w:val="12"/>
        <w:szCs w:val="24"/>
        <w:lang w:val="fr-FR"/>
      </w:rPr>
      <w:t>/adn_wp15_ac2_2018_</w:t>
    </w:r>
    <w:r w:rsidR="00F43A8C">
      <w:rPr>
        <w:rFonts w:ascii="Arial" w:hAnsi="Arial"/>
        <w:noProof/>
        <w:snapToGrid w:val="0"/>
        <w:sz w:val="12"/>
        <w:szCs w:val="24"/>
        <w:lang w:val="fr-FR"/>
      </w:rPr>
      <w:t>33</w:t>
    </w:r>
    <w:r w:rsidR="00404EC9" w:rsidRPr="00E83D21">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67A" w:rsidRPr="000F4DD4" w:rsidRDefault="00697F7B">
    <w:pPr>
      <w:pStyle w:val="Footer"/>
      <w:tabs>
        <w:tab w:val="clear" w:pos="9072"/>
        <w:tab w:val="left" w:pos="2634"/>
        <w:tab w:val="right" w:pos="9070"/>
      </w:tabs>
      <w:jc w:val="right"/>
      <w:rPr>
        <w:rFonts w:ascii="Arial" w:hAnsi="Arial"/>
        <w:noProof/>
        <w:sz w:val="12"/>
        <w:szCs w:val="24"/>
        <w:lang w:val="fr-FR"/>
      </w:rPr>
    </w:pPr>
    <w:r w:rsidRPr="000F4DD4">
      <w:rPr>
        <w:rFonts w:ascii="Arial" w:hAnsi="Arial"/>
        <w:noProof/>
        <w:sz w:val="12"/>
        <w:szCs w:val="24"/>
        <w:lang w:val="fr-FR"/>
      </w:rPr>
      <w:t>m</w:t>
    </w:r>
    <w:r w:rsidR="00F8067A" w:rsidRPr="000F4DD4">
      <w:rPr>
        <w:rFonts w:ascii="Arial" w:hAnsi="Arial"/>
        <w:noProof/>
        <w:sz w:val="12"/>
        <w:szCs w:val="24"/>
        <w:lang w:val="fr-FR"/>
      </w:rPr>
      <w:t>m</w:t>
    </w:r>
    <w:r w:rsidRPr="000F4DD4">
      <w:rPr>
        <w:rFonts w:ascii="Arial" w:hAnsi="Arial"/>
        <w:noProof/>
        <w:sz w:val="12"/>
        <w:szCs w:val="24"/>
        <w:lang w:val="fr-FR"/>
      </w:rPr>
      <w:t>_ba</w:t>
    </w:r>
    <w:r w:rsidR="00F8067A" w:rsidRPr="000F4DD4">
      <w:rPr>
        <w:rFonts w:ascii="Arial" w:hAnsi="Arial"/>
        <w:noProof/>
        <w:sz w:val="12"/>
        <w:szCs w:val="24"/>
        <w:lang w:val="fr-FR"/>
      </w:rPr>
      <w:t>/adn_wp15_ac2_2018_</w:t>
    </w:r>
    <w:r w:rsidR="00130FAA" w:rsidRPr="000F4DD4">
      <w:rPr>
        <w:rFonts w:ascii="Arial" w:hAnsi="Arial"/>
        <w:noProof/>
        <w:sz w:val="12"/>
        <w:szCs w:val="24"/>
        <w:lang w:val="fr-FR"/>
      </w:rPr>
      <w:t>3</w:t>
    </w:r>
    <w:r w:rsidR="00F43A8C">
      <w:rPr>
        <w:rFonts w:ascii="Arial" w:hAnsi="Arial"/>
        <w:noProof/>
        <w:sz w:val="12"/>
        <w:szCs w:val="24"/>
        <w:lang w:val="fr-FR"/>
      </w:rPr>
      <w:t>3</w:t>
    </w:r>
    <w:r w:rsidR="00F8067A" w:rsidRPr="000F4DD4">
      <w:rPr>
        <w:rFonts w:ascii="Arial" w:hAnsi="Arial"/>
        <w:noProof/>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45F" w:rsidRDefault="0005645F" w:rsidP="0011702A">
      <w:r>
        <w:separator/>
      </w:r>
    </w:p>
  </w:footnote>
  <w:footnote w:type="continuationSeparator" w:id="0">
    <w:p w:rsidR="0005645F" w:rsidRDefault="0005645F" w:rsidP="0011702A">
      <w:r>
        <w:continuationSeparator/>
      </w:r>
    </w:p>
  </w:footnote>
  <w:footnote w:id="1">
    <w:p w:rsidR="00F43A8C" w:rsidRPr="00310ECB" w:rsidRDefault="00F43A8C" w:rsidP="00F43A8C">
      <w:pPr>
        <w:pStyle w:val="FootnoteText"/>
        <w:ind w:left="567" w:hanging="567"/>
        <w:rPr>
          <w:sz w:val="16"/>
          <w:szCs w:val="16"/>
        </w:rPr>
      </w:pPr>
      <w:r w:rsidRPr="00550462">
        <w:rPr>
          <w:rStyle w:val="FootnoteReference"/>
          <w:sz w:val="20"/>
        </w:rPr>
        <w:t>*</w:t>
      </w:r>
      <w:r>
        <w:rPr>
          <w:rStyle w:val="FootnoteReference"/>
          <w:sz w:val="20"/>
        </w:rPr>
        <w:tab/>
      </w:r>
      <w:r w:rsidRPr="00310ECB">
        <w:rPr>
          <w:sz w:val="16"/>
          <w:szCs w:val="16"/>
        </w:rPr>
        <w:t>Von der UN-ECE in Englisch, Französisch und Russisch unter dem Aktenzeichen CCNR-ZKR/ADN/WP.15/AC.2/2018/</w:t>
      </w:r>
      <w:r w:rsidR="00B155FC">
        <w:rPr>
          <w:sz w:val="16"/>
          <w:szCs w:val="16"/>
        </w:rPr>
        <w:t>33</w:t>
      </w:r>
      <w:r w:rsidRPr="00310ECB">
        <w:rPr>
          <w:sz w:val="16"/>
          <w:szCs w:val="16"/>
        </w:rPr>
        <w:t xml:space="preserve"> verteilt.</w:t>
      </w:r>
    </w:p>
  </w:footnote>
  <w:footnote w:id="2">
    <w:p w:rsidR="00F43A8C" w:rsidRPr="00310ECB" w:rsidRDefault="00F43A8C" w:rsidP="00F43A8C">
      <w:pPr>
        <w:pStyle w:val="FootnoteText"/>
        <w:ind w:left="567" w:hanging="567"/>
        <w:rPr>
          <w:sz w:val="16"/>
          <w:szCs w:val="16"/>
        </w:rPr>
      </w:pPr>
      <w:r w:rsidRPr="00310ECB">
        <w:rPr>
          <w:rStyle w:val="FootnoteReference"/>
          <w:sz w:val="16"/>
          <w:szCs w:val="16"/>
          <w:lang w:eastAsia="en-US"/>
        </w:rPr>
        <w:t>**</w:t>
      </w:r>
      <w:r w:rsidRPr="00310ECB">
        <w:rPr>
          <w:sz w:val="16"/>
          <w:szCs w:val="16"/>
        </w:rPr>
        <w:t xml:space="preserve"> </w:t>
      </w:r>
      <w:r w:rsidRPr="00310ECB">
        <w:rPr>
          <w:sz w:val="16"/>
          <w:szCs w:val="16"/>
        </w:rPr>
        <w:tab/>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11545F" w:rsidRPr="000F4DD4">
      <w:rPr>
        <w:rFonts w:ascii="Arial" w:hAnsi="Arial"/>
        <w:snapToGrid w:val="0"/>
        <w:sz w:val="16"/>
        <w:szCs w:val="16"/>
        <w:lang w:val="en-US"/>
      </w:rPr>
      <w:t>2018</w:t>
    </w:r>
    <w:r w:rsidRPr="000F4DD4">
      <w:rPr>
        <w:rFonts w:ascii="Arial" w:hAnsi="Arial"/>
        <w:snapToGrid w:val="0"/>
        <w:sz w:val="16"/>
        <w:szCs w:val="16"/>
        <w:lang w:val="en-US"/>
      </w:rPr>
      <w:t>/</w:t>
    </w:r>
    <w:r w:rsidR="00F43A8C">
      <w:rPr>
        <w:rFonts w:ascii="Arial" w:hAnsi="Arial"/>
        <w:snapToGrid w:val="0"/>
        <w:sz w:val="16"/>
        <w:szCs w:val="16"/>
        <w:lang w:val="en-US"/>
      </w:rPr>
      <w:t>33</w:t>
    </w:r>
  </w:p>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rPr>
    </w:pPr>
    <w:r w:rsidRPr="000F4DD4">
      <w:rPr>
        <w:rFonts w:ascii="Arial" w:hAnsi="Arial"/>
        <w:snapToGrid w:val="0"/>
        <w:sz w:val="16"/>
        <w:szCs w:val="16"/>
      </w:rPr>
      <w:t xml:space="preserve">Seite </w:t>
    </w:r>
    <w:r w:rsidRPr="000F4DD4">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0F4DD4">
      <w:rPr>
        <w:rFonts w:ascii="Arial" w:hAnsi="Arial"/>
        <w:snapToGrid w:val="0"/>
        <w:sz w:val="16"/>
        <w:szCs w:val="16"/>
      </w:rPr>
      <w:fldChar w:fldCharType="separate"/>
    </w:r>
    <w:r w:rsidR="00D5778B">
      <w:rPr>
        <w:rFonts w:ascii="Arial" w:hAnsi="Arial"/>
        <w:noProof/>
        <w:snapToGrid w:val="0"/>
        <w:sz w:val="16"/>
        <w:szCs w:val="16"/>
      </w:rPr>
      <w:t>2</w:t>
    </w:r>
    <w:r w:rsidRPr="000F4DD4">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B9072B" w:rsidRPr="000F4DD4">
      <w:rPr>
        <w:rFonts w:ascii="Arial" w:hAnsi="Arial"/>
        <w:snapToGrid w:val="0"/>
        <w:sz w:val="16"/>
        <w:szCs w:val="16"/>
        <w:lang w:val="en-US"/>
      </w:rPr>
      <w:t>2018/</w:t>
    </w:r>
    <w:r w:rsidR="00130FAA" w:rsidRPr="000F4DD4">
      <w:rPr>
        <w:rFonts w:ascii="Arial" w:hAnsi="Arial"/>
        <w:snapToGrid w:val="0"/>
        <w:sz w:val="16"/>
        <w:szCs w:val="16"/>
        <w:lang w:val="en-US"/>
      </w:rPr>
      <w:t>3</w:t>
    </w:r>
    <w:r w:rsidR="00F43A8C">
      <w:rPr>
        <w:rFonts w:ascii="Arial" w:hAnsi="Arial"/>
        <w:snapToGrid w:val="0"/>
        <w:sz w:val="16"/>
        <w:szCs w:val="16"/>
        <w:lang w:val="en-US"/>
      </w:rPr>
      <w:t>3</w:t>
    </w:r>
  </w:p>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rPr>
    </w:pPr>
    <w:r w:rsidRPr="000F4DD4">
      <w:rPr>
        <w:rFonts w:ascii="Arial" w:hAnsi="Arial"/>
        <w:snapToGrid w:val="0"/>
        <w:sz w:val="16"/>
        <w:szCs w:val="16"/>
      </w:rPr>
      <w:t xml:space="preserve">Seite </w:t>
    </w:r>
    <w:r w:rsidRPr="00404EC9">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404EC9">
      <w:rPr>
        <w:rFonts w:ascii="Arial" w:hAnsi="Arial"/>
        <w:snapToGrid w:val="0"/>
        <w:sz w:val="16"/>
        <w:szCs w:val="16"/>
      </w:rPr>
      <w:fldChar w:fldCharType="separate"/>
    </w:r>
    <w:r w:rsidR="00D5778B">
      <w:rPr>
        <w:rFonts w:ascii="Arial" w:hAnsi="Arial"/>
        <w:noProof/>
        <w:snapToGrid w:val="0"/>
        <w:sz w:val="16"/>
        <w:szCs w:val="16"/>
      </w:rPr>
      <w:t>3</w:t>
    </w:r>
    <w:r w:rsidRPr="00404EC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63CE"/>
    <w:rsid w:val="00047E84"/>
    <w:rsid w:val="00052E7E"/>
    <w:rsid w:val="000563D5"/>
    <w:rsid w:val="0005645F"/>
    <w:rsid w:val="00056B10"/>
    <w:rsid w:val="000625E5"/>
    <w:rsid w:val="00062E58"/>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2E49"/>
    <w:rsid w:val="000F4DD4"/>
    <w:rsid w:val="000F6242"/>
    <w:rsid w:val="000F79E4"/>
    <w:rsid w:val="001013D7"/>
    <w:rsid w:val="00106FC3"/>
    <w:rsid w:val="00113A60"/>
    <w:rsid w:val="00114102"/>
    <w:rsid w:val="0011545F"/>
    <w:rsid w:val="0011702A"/>
    <w:rsid w:val="0012236C"/>
    <w:rsid w:val="00124B75"/>
    <w:rsid w:val="00126AA9"/>
    <w:rsid w:val="00130FAA"/>
    <w:rsid w:val="00131CD7"/>
    <w:rsid w:val="0013626E"/>
    <w:rsid w:val="001368E3"/>
    <w:rsid w:val="00143354"/>
    <w:rsid w:val="00144FA5"/>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133B"/>
    <w:rsid w:val="001E4D07"/>
    <w:rsid w:val="001F3FB6"/>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402D"/>
    <w:rsid w:val="0027414F"/>
    <w:rsid w:val="00283323"/>
    <w:rsid w:val="00291CB3"/>
    <w:rsid w:val="002A337E"/>
    <w:rsid w:val="002A53A6"/>
    <w:rsid w:val="002C0469"/>
    <w:rsid w:val="002C327D"/>
    <w:rsid w:val="002D1BFB"/>
    <w:rsid w:val="002E3745"/>
    <w:rsid w:val="002E3EB3"/>
    <w:rsid w:val="002E6A16"/>
    <w:rsid w:val="002E7227"/>
    <w:rsid w:val="002F4FC6"/>
    <w:rsid w:val="00300790"/>
    <w:rsid w:val="003033DD"/>
    <w:rsid w:val="00310ECB"/>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58AE"/>
    <w:rsid w:val="00397E52"/>
    <w:rsid w:val="003A2337"/>
    <w:rsid w:val="003B0DF4"/>
    <w:rsid w:val="003B23DA"/>
    <w:rsid w:val="003C61C4"/>
    <w:rsid w:val="003D0FA5"/>
    <w:rsid w:val="003D3605"/>
    <w:rsid w:val="003E6E61"/>
    <w:rsid w:val="00400ADD"/>
    <w:rsid w:val="00401179"/>
    <w:rsid w:val="00404EC9"/>
    <w:rsid w:val="00406965"/>
    <w:rsid w:val="00410285"/>
    <w:rsid w:val="004176F9"/>
    <w:rsid w:val="00420664"/>
    <w:rsid w:val="00427609"/>
    <w:rsid w:val="00427804"/>
    <w:rsid w:val="00430CD0"/>
    <w:rsid w:val="00432779"/>
    <w:rsid w:val="00432E08"/>
    <w:rsid w:val="00441CD8"/>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274D"/>
    <w:rsid w:val="004F3058"/>
    <w:rsid w:val="004F4DE3"/>
    <w:rsid w:val="004F5608"/>
    <w:rsid w:val="0051476B"/>
    <w:rsid w:val="00534340"/>
    <w:rsid w:val="00540683"/>
    <w:rsid w:val="00547D68"/>
    <w:rsid w:val="005533B4"/>
    <w:rsid w:val="00561447"/>
    <w:rsid w:val="0056605A"/>
    <w:rsid w:val="00573D3E"/>
    <w:rsid w:val="00576E22"/>
    <w:rsid w:val="0057786D"/>
    <w:rsid w:val="00582B60"/>
    <w:rsid w:val="00583496"/>
    <w:rsid w:val="00583E9F"/>
    <w:rsid w:val="00585590"/>
    <w:rsid w:val="00585999"/>
    <w:rsid w:val="00586819"/>
    <w:rsid w:val="00591A7D"/>
    <w:rsid w:val="00592A89"/>
    <w:rsid w:val="00593E26"/>
    <w:rsid w:val="00595C5C"/>
    <w:rsid w:val="00596953"/>
    <w:rsid w:val="005A1A44"/>
    <w:rsid w:val="005A3CCA"/>
    <w:rsid w:val="005A5B6A"/>
    <w:rsid w:val="005B6280"/>
    <w:rsid w:val="005C1940"/>
    <w:rsid w:val="005C38B1"/>
    <w:rsid w:val="005C558D"/>
    <w:rsid w:val="005C7246"/>
    <w:rsid w:val="005C7902"/>
    <w:rsid w:val="005D3B31"/>
    <w:rsid w:val="005D6AB5"/>
    <w:rsid w:val="005E1804"/>
    <w:rsid w:val="005E5104"/>
    <w:rsid w:val="005E5EF7"/>
    <w:rsid w:val="005F26AD"/>
    <w:rsid w:val="005F58DF"/>
    <w:rsid w:val="0060269E"/>
    <w:rsid w:val="00603AD9"/>
    <w:rsid w:val="006047AC"/>
    <w:rsid w:val="00607B11"/>
    <w:rsid w:val="006111A3"/>
    <w:rsid w:val="00611C20"/>
    <w:rsid w:val="0061668A"/>
    <w:rsid w:val="00620982"/>
    <w:rsid w:val="006256AF"/>
    <w:rsid w:val="00626C86"/>
    <w:rsid w:val="006276DC"/>
    <w:rsid w:val="00630422"/>
    <w:rsid w:val="006373FA"/>
    <w:rsid w:val="00642215"/>
    <w:rsid w:val="00643AEA"/>
    <w:rsid w:val="00651386"/>
    <w:rsid w:val="00661FED"/>
    <w:rsid w:val="0066312D"/>
    <w:rsid w:val="00666284"/>
    <w:rsid w:val="00670028"/>
    <w:rsid w:val="00690A5F"/>
    <w:rsid w:val="0069164E"/>
    <w:rsid w:val="006924C5"/>
    <w:rsid w:val="006970A1"/>
    <w:rsid w:val="00697F7B"/>
    <w:rsid w:val="006A0959"/>
    <w:rsid w:val="006A507B"/>
    <w:rsid w:val="006A73AD"/>
    <w:rsid w:val="006A7F94"/>
    <w:rsid w:val="006B57B7"/>
    <w:rsid w:val="006B5A0A"/>
    <w:rsid w:val="006B6FC7"/>
    <w:rsid w:val="006B7C55"/>
    <w:rsid w:val="006D1972"/>
    <w:rsid w:val="006D78CA"/>
    <w:rsid w:val="006E498C"/>
    <w:rsid w:val="006F3C42"/>
    <w:rsid w:val="00702BE6"/>
    <w:rsid w:val="00706883"/>
    <w:rsid w:val="007225A1"/>
    <w:rsid w:val="007306F5"/>
    <w:rsid w:val="00742BD3"/>
    <w:rsid w:val="00751575"/>
    <w:rsid w:val="00754516"/>
    <w:rsid w:val="0075583E"/>
    <w:rsid w:val="00760FB2"/>
    <w:rsid w:val="007652AB"/>
    <w:rsid w:val="007705CB"/>
    <w:rsid w:val="00773B7E"/>
    <w:rsid w:val="0079124E"/>
    <w:rsid w:val="00792E94"/>
    <w:rsid w:val="007A0E7B"/>
    <w:rsid w:val="007A19A7"/>
    <w:rsid w:val="007A584D"/>
    <w:rsid w:val="007B5D5A"/>
    <w:rsid w:val="007C1AA7"/>
    <w:rsid w:val="007C1EE8"/>
    <w:rsid w:val="007C5305"/>
    <w:rsid w:val="007D1EF9"/>
    <w:rsid w:val="007D2FA0"/>
    <w:rsid w:val="007D6265"/>
    <w:rsid w:val="007D7EEA"/>
    <w:rsid w:val="007E7F2A"/>
    <w:rsid w:val="00805AEB"/>
    <w:rsid w:val="00810504"/>
    <w:rsid w:val="0081450F"/>
    <w:rsid w:val="00826787"/>
    <w:rsid w:val="00831771"/>
    <w:rsid w:val="008329FF"/>
    <w:rsid w:val="00834438"/>
    <w:rsid w:val="00835551"/>
    <w:rsid w:val="00837FB8"/>
    <w:rsid w:val="00841328"/>
    <w:rsid w:val="00852BEF"/>
    <w:rsid w:val="00854209"/>
    <w:rsid w:val="0085713F"/>
    <w:rsid w:val="0086477D"/>
    <w:rsid w:val="00876F50"/>
    <w:rsid w:val="00880498"/>
    <w:rsid w:val="00894221"/>
    <w:rsid w:val="008957C7"/>
    <w:rsid w:val="00896081"/>
    <w:rsid w:val="008967B7"/>
    <w:rsid w:val="008A1D67"/>
    <w:rsid w:val="008B3106"/>
    <w:rsid w:val="008B5544"/>
    <w:rsid w:val="008B7C4B"/>
    <w:rsid w:val="008D3CEC"/>
    <w:rsid w:val="008E6B36"/>
    <w:rsid w:val="008F4B57"/>
    <w:rsid w:val="00903D48"/>
    <w:rsid w:val="0090748A"/>
    <w:rsid w:val="00912A46"/>
    <w:rsid w:val="009422FA"/>
    <w:rsid w:val="00945BEF"/>
    <w:rsid w:val="0094733D"/>
    <w:rsid w:val="00953866"/>
    <w:rsid w:val="00962147"/>
    <w:rsid w:val="00962E31"/>
    <w:rsid w:val="00965DC5"/>
    <w:rsid w:val="00966C68"/>
    <w:rsid w:val="00966CE6"/>
    <w:rsid w:val="0096789B"/>
    <w:rsid w:val="009733A6"/>
    <w:rsid w:val="00975B09"/>
    <w:rsid w:val="009770C1"/>
    <w:rsid w:val="009771C0"/>
    <w:rsid w:val="009777E8"/>
    <w:rsid w:val="0098158C"/>
    <w:rsid w:val="00981925"/>
    <w:rsid w:val="00982F17"/>
    <w:rsid w:val="0099031A"/>
    <w:rsid w:val="00991BA0"/>
    <w:rsid w:val="00992863"/>
    <w:rsid w:val="009A2C98"/>
    <w:rsid w:val="009A4FC8"/>
    <w:rsid w:val="009B6F47"/>
    <w:rsid w:val="009C79C4"/>
    <w:rsid w:val="009D2885"/>
    <w:rsid w:val="009E1B51"/>
    <w:rsid w:val="009E281C"/>
    <w:rsid w:val="009E3EBD"/>
    <w:rsid w:val="009E795B"/>
    <w:rsid w:val="009F01B6"/>
    <w:rsid w:val="009F0973"/>
    <w:rsid w:val="009F2DD9"/>
    <w:rsid w:val="00A005D6"/>
    <w:rsid w:val="00A04A9E"/>
    <w:rsid w:val="00A0723D"/>
    <w:rsid w:val="00A1389E"/>
    <w:rsid w:val="00A17F67"/>
    <w:rsid w:val="00A21A7D"/>
    <w:rsid w:val="00A2645D"/>
    <w:rsid w:val="00A27409"/>
    <w:rsid w:val="00A349BD"/>
    <w:rsid w:val="00A410D7"/>
    <w:rsid w:val="00A44AF1"/>
    <w:rsid w:val="00A57CE8"/>
    <w:rsid w:val="00A60437"/>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2952"/>
    <w:rsid w:val="00AC3059"/>
    <w:rsid w:val="00AC338A"/>
    <w:rsid w:val="00AD14D7"/>
    <w:rsid w:val="00AD59A0"/>
    <w:rsid w:val="00AD68F2"/>
    <w:rsid w:val="00AD69C2"/>
    <w:rsid w:val="00AE32E7"/>
    <w:rsid w:val="00AE33F4"/>
    <w:rsid w:val="00AE50D2"/>
    <w:rsid w:val="00AE73A7"/>
    <w:rsid w:val="00AE7E9E"/>
    <w:rsid w:val="00AF7C57"/>
    <w:rsid w:val="00AF7DC9"/>
    <w:rsid w:val="00B02145"/>
    <w:rsid w:val="00B041A6"/>
    <w:rsid w:val="00B07427"/>
    <w:rsid w:val="00B12922"/>
    <w:rsid w:val="00B155FC"/>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35ED"/>
    <w:rsid w:val="00BB776D"/>
    <w:rsid w:val="00BC224B"/>
    <w:rsid w:val="00BD6076"/>
    <w:rsid w:val="00BD7109"/>
    <w:rsid w:val="00BD77CE"/>
    <w:rsid w:val="00BE5065"/>
    <w:rsid w:val="00BF6A72"/>
    <w:rsid w:val="00BF7D16"/>
    <w:rsid w:val="00BF7DFC"/>
    <w:rsid w:val="00C01D3D"/>
    <w:rsid w:val="00C03ED4"/>
    <w:rsid w:val="00C04C77"/>
    <w:rsid w:val="00C05CED"/>
    <w:rsid w:val="00C1260A"/>
    <w:rsid w:val="00C161A1"/>
    <w:rsid w:val="00C16233"/>
    <w:rsid w:val="00C24FA8"/>
    <w:rsid w:val="00C27690"/>
    <w:rsid w:val="00C32E06"/>
    <w:rsid w:val="00C41906"/>
    <w:rsid w:val="00C4703A"/>
    <w:rsid w:val="00C509C1"/>
    <w:rsid w:val="00C532C5"/>
    <w:rsid w:val="00C6477E"/>
    <w:rsid w:val="00C64A71"/>
    <w:rsid w:val="00C7003A"/>
    <w:rsid w:val="00C72A39"/>
    <w:rsid w:val="00C75E20"/>
    <w:rsid w:val="00C8138A"/>
    <w:rsid w:val="00C82985"/>
    <w:rsid w:val="00C84D0A"/>
    <w:rsid w:val="00C90787"/>
    <w:rsid w:val="00C93A09"/>
    <w:rsid w:val="00C93E1E"/>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645B"/>
    <w:rsid w:val="00D03FC5"/>
    <w:rsid w:val="00D04647"/>
    <w:rsid w:val="00D064E0"/>
    <w:rsid w:val="00D12EA3"/>
    <w:rsid w:val="00D16A29"/>
    <w:rsid w:val="00D2514D"/>
    <w:rsid w:val="00D33176"/>
    <w:rsid w:val="00D33B77"/>
    <w:rsid w:val="00D35074"/>
    <w:rsid w:val="00D4056A"/>
    <w:rsid w:val="00D52AF0"/>
    <w:rsid w:val="00D52F95"/>
    <w:rsid w:val="00D5778B"/>
    <w:rsid w:val="00D6320C"/>
    <w:rsid w:val="00D64560"/>
    <w:rsid w:val="00D65991"/>
    <w:rsid w:val="00D7150D"/>
    <w:rsid w:val="00D80CB1"/>
    <w:rsid w:val="00D8467E"/>
    <w:rsid w:val="00D92E0F"/>
    <w:rsid w:val="00D94CED"/>
    <w:rsid w:val="00D97C9F"/>
    <w:rsid w:val="00D97D5B"/>
    <w:rsid w:val="00DA1F54"/>
    <w:rsid w:val="00DA28E2"/>
    <w:rsid w:val="00DA312C"/>
    <w:rsid w:val="00DA3AF6"/>
    <w:rsid w:val="00DA507E"/>
    <w:rsid w:val="00DA54C3"/>
    <w:rsid w:val="00DB57E7"/>
    <w:rsid w:val="00DB6161"/>
    <w:rsid w:val="00DC66D9"/>
    <w:rsid w:val="00DF03F9"/>
    <w:rsid w:val="00DF3A4A"/>
    <w:rsid w:val="00DF3BCA"/>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3D21"/>
    <w:rsid w:val="00E8770E"/>
    <w:rsid w:val="00E93323"/>
    <w:rsid w:val="00E93819"/>
    <w:rsid w:val="00EA0422"/>
    <w:rsid w:val="00EA2C25"/>
    <w:rsid w:val="00EA7A70"/>
    <w:rsid w:val="00EB4ADF"/>
    <w:rsid w:val="00EB4D3D"/>
    <w:rsid w:val="00EC1F5D"/>
    <w:rsid w:val="00EC5B0D"/>
    <w:rsid w:val="00EC6139"/>
    <w:rsid w:val="00ED49D7"/>
    <w:rsid w:val="00ED557F"/>
    <w:rsid w:val="00EE4226"/>
    <w:rsid w:val="00EE457F"/>
    <w:rsid w:val="00EE5CAB"/>
    <w:rsid w:val="00EF00ED"/>
    <w:rsid w:val="00EF022A"/>
    <w:rsid w:val="00EF57CD"/>
    <w:rsid w:val="00EF7231"/>
    <w:rsid w:val="00F04331"/>
    <w:rsid w:val="00F07812"/>
    <w:rsid w:val="00F10631"/>
    <w:rsid w:val="00F10D47"/>
    <w:rsid w:val="00F12E99"/>
    <w:rsid w:val="00F265D6"/>
    <w:rsid w:val="00F31FEF"/>
    <w:rsid w:val="00F330E1"/>
    <w:rsid w:val="00F42407"/>
    <w:rsid w:val="00F42DC0"/>
    <w:rsid w:val="00F43A8C"/>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74D6F"/>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B56B7"/>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58D7BB86-D778-40E6-AE9B-13C6865B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04EC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14BB-0D85-4369-8582-F4E03B96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5690</Characters>
  <Application>Microsoft Office Word</Application>
  <DocSecurity>4</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CRP.3/A.8</cp:lastModifiedBy>
  <cp:revision>2</cp:revision>
  <cp:lastPrinted>2017-11-09T08:55:00Z</cp:lastPrinted>
  <dcterms:created xsi:type="dcterms:W3CDTF">2018-06-25T12:14:00Z</dcterms:created>
  <dcterms:modified xsi:type="dcterms:W3CDTF">2018-06-25T12:14:00Z</dcterms:modified>
</cp:coreProperties>
</file>