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CB1" w:rsidRPr="00D3287F" w:rsidRDefault="004D2CB1" w:rsidP="004D2CB1">
      <w:pPr>
        <w:pStyle w:val="TDatelangues"/>
        <w:ind w:left="5387" w:right="-286"/>
        <w:rPr>
          <w:rFonts w:eastAsia="Arial"/>
          <w:bCs/>
          <w:szCs w:val="24"/>
          <w:lang w:val="de-DE" w:eastAsia="de-DE"/>
        </w:rPr>
      </w:pPr>
      <w:bookmarkStart w:id="0" w:name="_GoBack"/>
      <w:bookmarkEnd w:id="0"/>
      <w:r w:rsidRPr="00D3287F">
        <w:rPr>
          <w:rFonts w:eastAsia="Arial"/>
          <w:bCs/>
          <w:noProof/>
          <w:szCs w:val="24"/>
          <w:lang w:bidi="ar-SA"/>
        </w:rPr>
        <w:drawing>
          <wp:anchor distT="0" distB="0" distL="114300" distR="114300" simplePos="0" relativeHeight="251659264" behindDoc="0" locked="0" layoutInCell="1" allowOverlap="1" wp14:anchorId="7DE75428" wp14:editId="2E948356">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D3287F">
        <w:rPr>
          <w:rFonts w:eastAsia="Arial"/>
          <w:bCs/>
          <w:szCs w:val="24"/>
          <w:lang w:val="de-DE" w:eastAsia="de-DE"/>
        </w:rPr>
        <w:t>CCNR-ZKR/ADN/WP.15/AC.2/</w:t>
      </w:r>
      <w:r w:rsidR="00806B30" w:rsidRPr="00D3287F">
        <w:rPr>
          <w:rFonts w:eastAsia="Arial"/>
          <w:bCs/>
          <w:szCs w:val="24"/>
          <w:lang w:val="de-DE" w:eastAsia="de-DE"/>
        </w:rPr>
        <w:t>2018</w:t>
      </w:r>
      <w:r w:rsidRPr="00D3287F">
        <w:rPr>
          <w:rFonts w:eastAsia="Arial"/>
          <w:bCs/>
          <w:szCs w:val="24"/>
          <w:lang w:val="de-DE" w:eastAsia="de-DE"/>
        </w:rPr>
        <w:t>/</w:t>
      </w:r>
      <w:r w:rsidR="00BB7AA6" w:rsidRPr="00D3287F">
        <w:rPr>
          <w:rFonts w:eastAsia="Arial"/>
          <w:bCs/>
          <w:szCs w:val="24"/>
          <w:lang w:val="de-DE" w:eastAsia="de-DE"/>
        </w:rPr>
        <w:t>2</w:t>
      </w:r>
      <w:r w:rsidR="004410F4" w:rsidRPr="00D3287F">
        <w:rPr>
          <w:rFonts w:eastAsia="Arial"/>
          <w:bCs/>
          <w:szCs w:val="24"/>
          <w:lang w:val="de-DE" w:eastAsia="de-DE"/>
        </w:rPr>
        <w:t>4</w:t>
      </w:r>
    </w:p>
    <w:p w:rsidR="004D2CB1" w:rsidRPr="00D3287F" w:rsidRDefault="004D2CB1" w:rsidP="004D2CB1">
      <w:pPr>
        <w:tabs>
          <w:tab w:val="left" w:pos="5670"/>
        </w:tabs>
        <w:ind w:left="5387"/>
        <w:rPr>
          <w:sz w:val="16"/>
        </w:rPr>
      </w:pPr>
      <w:r w:rsidRPr="00D3287F">
        <w:rPr>
          <w:sz w:val="16"/>
        </w:rPr>
        <w:t>Allgemeine Verteilung</w:t>
      </w:r>
    </w:p>
    <w:p w:rsidR="004D2CB1" w:rsidRPr="00D3287F" w:rsidRDefault="00B257AD" w:rsidP="004D2CB1">
      <w:pPr>
        <w:tabs>
          <w:tab w:val="right" w:pos="3856"/>
          <w:tab w:val="left" w:pos="5670"/>
        </w:tabs>
        <w:ind w:left="5387"/>
        <w:rPr>
          <w:rFonts w:eastAsia="Arial"/>
          <w:sz w:val="20"/>
        </w:rPr>
      </w:pPr>
      <w:r w:rsidRPr="00D3287F">
        <w:rPr>
          <w:rFonts w:eastAsia="Arial"/>
          <w:sz w:val="20"/>
        </w:rPr>
        <w:t>1</w:t>
      </w:r>
      <w:r w:rsidR="00FC4401" w:rsidRPr="00D3287F">
        <w:rPr>
          <w:rFonts w:eastAsia="Arial"/>
          <w:sz w:val="20"/>
        </w:rPr>
        <w:t>3</w:t>
      </w:r>
      <w:r w:rsidR="004D2CB1" w:rsidRPr="00D3287F">
        <w:rPr>
          <w:rFonts w:eastAsia="Arial"/>
          <w:sz w:val="20"/>
        </w:rPr>
        <w:t xml:space="preserve">. </w:t>
      </w:r>
      <w:r w:rsidRPr="00D3287F">
        <w:rPr>
          <w:rFonts w:eastAsia="Arial"/>
          <w:sz w:val="20"/>
        </w:rPr>
        <w:t>Juni</w:t>
      </w:r>
      <w:r w:rsidR="00806B30" w:rsidRPr="00D3287F">
        <w:rPr>
          <w:rFonts w:eastAsia="Arial"/>
          <w:sz w:val="20"/>
        </w:rPr>
        <w:t xml:space="preserve"> 2018</w:t>
      </w:r>
    </w:p>
    <w:p w:rsidR="004D2CB1" w:rsidRPr="00D3287F" w:rsidRDefault="004D2CB1" w:rsidP="004D2CB1">
      <w:pPr>
        <w:tabs>
          <w:tab w:val="right" w:pos="3856"/>
          <w:tab w:val="left" w:pos="5670"/>
        </w:tabs>
        <w:ind w:left="5387" w:right="565"/>
        <w:rPr>
          <w:sz w:val="16"/>
        </w:rPr>
      </w:pPr>
      <w:r w:rsidRPr="00D3287F">
        <w:rPr>
          <w:rFonts w:eastAsia="Arial"/>
          <w:sz w:val="16"/>
        </w:rPr>
        <w:t xml:space="preserve">Or.  </w:t>
      </w:r>
      <w:r w:rsidR="00BB7AA6" w:rsidRPr="00D3287F">
        <w:rPr>
          <w:rFonts w:eastAsia="Arial"/>
          <w:sz w:val="16"/>
        </w:rPr>
        <w:t>ENGLISCH und FRANZÖSISCH</w:t>
      </w:r>
    </w:p>
    <w:p w:rsidR="004D2CB1" w:rsidRPr="00D3287F" w:rsidRDefault="004D2CB1" w:rsidP="004D2CB1">
      <w:pPr>
        <w:rPr>
          <w:sz w:val="16"/>
        </w:rPr>
      </w:pPr>
    </w:p>
    <w:p w:rsidR="004D2CB1" w:rsidRPr="00D3287F" w:rsidRDefault="004D2CB1" w:rsidP="004D2CB1">
      <w:pPr>
        <w:rPr>
          <w:sz w:val="16"/>
        </w:rPr>
      </w:pPr>
    </w:p>
    <w:p w:rsidR="004D2CB1" w:rsidRPr="00D3287F" w:rsidRDefault="004D2CB1" w:rsidP="004D2CB1">
      <w:pPr>
        <w:overflowPunct w:val="0"/>
        <w:autoSpaceDE w:val="0"/>
        <w:autoSpaceDN w:val="0"/>
        <w:adjustRightInd w:val="0"/>
        <w:ind w:left="4111" w:right="-2"/>
        <w:textAlignment w:val="baseline"/>
        <w:rPr>
          <w:snapToGrid w:val="0"/>
          <w:sz w:val="16"/>
          <w:szCs w:val="16"/>
          <w:lang w:eastAsia="fr-FR"/>
        </w:rPr>
      </w:pPr>
      <w:r w:rsidRPr="00D3287F">
        <w:rPr>
          <w:snapToGrid w:val="0"/>
          <w:sz w:val="16"/>
          <w:szCs w:val="16"/>
          <w:lang w:eastAsia="fr-FR"/>
        </w:rPr>
        <w:t>GEMEINSAME EXPERTENTAGUNG FÜR DIE DEM ÜBEREINKOMMEN ÜBER DIE INTERNATIONALE BEFÖRDERUNG VON GEFÄHRLICHEN GÜTERN AUF BINNENWASSERSTRASSEN</w:t>
      </w:r>
    </w:p>
    <w:p w:rsidR="004D2CB1" w:rsidRPr="00D3287F" w:rsidRDefault="004D2CB1" w:rsidP="004D2CB1">
      <w:pPr>
        <w:overflowPunct w:val="0"/>
        <w:autoSpaceDE w:val="0"/>
        <w:autoSpaceDN w:val="0"/>
        <w:adjustRightInd w:val="0"/>
        <w:ind w:left="4111" w:right="-2"/>
        <w:textAlignment w:val="baseline"/>
        <w:rPr>
          <w:snapToGrid w:val="0"/>
          <w:sz w:val="16"/>
          <w:szCs w:val="16"/>
          <w:lang w:eastAsia="fr-FR"/>
        </w:rPr>
      </w:pPr>
      <w:r w:rsidRPr="00D3287F">
        <w:rPr>
          <w:snapToGrid w:val="0"/>
          <w:sz w:val="16"/>
          <w:szCs w:val="16"/>
          <w:lang w:eastAsia="fr-FR"/>
        </w:rPr>
        <w:t>BEIGEFÜGTE VERORDNUNG (ADN)</w:t>
      </w:r>
    </w:p>
    <w:p w:rsidR="004D2CB1" w:rsidRPr="00D3287F" w:rsidRDefault="004D2CB1" w:rsidP="004D2CB1">
      <w:pPr>
        <w:tabs>
          <w:tab w:val="left" w:pos="2977"/>
        </w:tabs>
        <w:ind w:left="4111" w:right="-2"/>
        <w:rPr>
          <w:snapToGrid w:val="0"/>
          <w:sz w:val="16"/>
          <w:szCs w:val="16"/>
          <w:lang w:eastAsia="fr-FR"/>
        </w:rPr>
      </w:pPr>
      <w:r w:rsidRPr="00D3287F">
        <w:rPr>
          <w:snapToGrid w:val="0"/>
          <w:sz w:val="16"/>
          <w:szCs w:val="16"/>
          <w:lang w:eastAsia="fr-FR"/>
        </w:rPr>
        <w:t>(SICHERHEITSAUSSCHUSS)</w:t>
      </w:r>
    </w:p>
    <w:p w:rsidR="004D2CB1" w:rsidRPr="00D3287F" w:rsidRDefault="004D2CB1" w:rsidP="004D2CB1">
      <w:pPr>
        <w:tabs>
          <w:tab w:val="left" w:pos="2977"/>
        </w:tabs>
        <w:ind w:left="4111" w:right="-2"/>
        <w:rPr>
          <w:snapToGrid w:val="0"/>
          <w:sz w:val="16"/>
          <w:szCs w:val="16"/>
          <w:lang w:eastAsia="fr-FR"/>
        </w:rPr>
      </w:pPr>
      <w:r w:rsidRPr="00D3287F">
        <w:rPr>
          <w:snapToGrid w:val="0"/>
          <w:sz w:val="16"/>
          <w:szCs w:val="16"/>
          <w:lang w:eastAsia="fr-FR"/>
        </w:rPr>
        <w:t>(</w:t>
      </w:r>
      <w:r w:rsidR="00806B30" w:rsidRPr="00D3287F">
        <w:rPr>
          <w:snapToGrid w:val="0"/>
          <w:sz w:val="16"/>
          <w:szCs w:val="16"/>
          <w:lang w:eastAsia="fr-FR"/>
        </w:rPr>
        <w:t>33</w:t>
      </w:r>
      <w:r w:rsidRPr="00D3287F">
        <w:rPr>
          <w:snapToGrid w:val="0"/>
          <w:sz w:val="16"/>
          <w:szCs w:val="16"/>
          <w:lang w:eastAsia="fr-FR"/>
        </w:rPr>
        <w:t xml:space="preserve">. Tagung, Genf, </w:t>
      </w:r>
      <w:r w:rsidR="003A3A3A" w:rsidRPr="00D3287F">
        <w:rPr>
          <w:snapToGrid w:val="0"/>
          <w:sz w:val="16"/>
          <w:szCs w:val="16"/>
          <w:lang w:eastAsia="fr-FR"/>
        </w:rPr>
        <w:t>27. – 31.</w:t>
      </w:r>
      <w:r w:rsidRPr="00D3287F">
        <w:rPr>
          <w:snapToGrid w:val="0"/>
          <w:sz w:val="16"/>
          <w:szCs w:val="16"/>
          <w:lang w:eastAsia="fr-FR"/>
        </w:rPr>
        <w:t xml:space="preserve"> August </w:t>
      </w:r>
      <w:r w:rsidR="00806B30" w:rsidRPr="00D3287F">
        <w:rPr>
          <w:snapToGrid w:val="0"/>
          <w:sz w:val="16"/>
          <w:szCs w:val="16"/>
          <w:lang w:eastAsia="fr-FR"/>
        </w:rPr>
        <w:t>2018</w:t>
      </w:r>
      <w:r w:rsidRPr="00D3287F">
        <w:rPr>
          <w:snapToGrid w:val="0"/>
          <w:sz w:val="16"/>
          <w:szCs w:val="16"/>
          <w:lang w:eastAsia="fr-FR"/>
        </w:rPr>
        <w:t>)</w:t>
      </w:r>
    </w:p>
    <w:p w:rsidR="004D2CB1" w:rsidRPr="00D3287F" w:rsidRDefault="004D2CB1" w:rsidP="004D2CB1">
      <w:pPr>
        <w:tabs>
          <w:tab w:val="left" w:pos="2977"/>
        </w:tabs>
        <w:ind w:left="4111" w:right="-2"/>
        <w:rPr>
          <w:snapToGrid w:val="0"/>
          <w:sz w:val="16"/>
          <w:szCs w:val="16"/>
          <w:lang w:eastAsia="fr-FR"/>
        </w:rPr>
      </w:pPr>
      <w:r w:rsidRPr="00D3287F">
        <w:rPr>
          <w:snapToGrid w:val="0"/>
          <w:sz w:val="16"/>
          <w:szCs w:val="16"/>
          <w:lang w:eastAsia="fr-FR"/>
        </w:rPr>
        <w:t>Punkt</w:t>
      </w:r>
      <w:r w:rsidR="00BB7AA6" w:rsidRPr="00D3287F">
        <w:rPr>
          <w:snapToGrid w:val="0"/>
          <w:sz w:val="16"/>
          <w:szCs w:val="16"/>
          <w:lang w:eastAsia="fr-FR"/>
        </w:rPr>
        <w:t xml:space="preserve"> 4 a</w:t>
      </w:r>
      <w:r w:rsidR="00B257AD" w:rsidRPr="00D3287F">
        <w:rPr>
          <w:snapToGrid w:val="0"/>
          <w:sz w:val="16"/>
          <w:szCs w:val="16"/>
          <w:lang w:eastAsia="fr-FR"/>
        </w:rPr>
        <w:t>)</w:t>
      </w:r>
      <w:r w:rsidRPr="00D3287F">
        <w:rPr>
          <w:snapToGrid w:val="0"/>
          <w:sz w:val="16"/>
          <w:szCs w:val="16"/>
          <w:lang w:eastAsia="fr-FR"/>
        </w:rPr>
        <w:t xml:space="preserve"> zur vorläufigen Tagesordnung</w:t>
      </w:r>
    </w:p>
    <w:p w:rsidR="004D2CB1" w:rsidRPr="00D3287F" w:rsidRDefault="00BB7AA6" w:rsidP="008560C6">
      <w:pPr>
        <w:tabs>
          <w:tab w:val="left" w:pos="2977"/>
        </w:tabs>
        <w:ind w:left="4111"/>
        <w:rPr>
          <w:b/>
          <w:bCs/>
          <w:sz w:val="16"/>
          <w:szCs w:val="16"/>
        </w:rPr>
      </w:pPr>
      <w:r w:rsidRPr="00D3287F">
        <w:rPr>
          <w:b/>
          <w:bCs/>
          <w:sz w:val="16"/>
          <w:szCs w:val="16"/>
        </w:rPr>
        <w:t>Vorschläge für Änderungen der dem ADN beigefügten Verordnung: Arbeiten der Gemeinsamen RID/ADR/ADN-Tagung</w:t>
      </w:r>
    </w:p>
    <w:p w:rsidR="00BB7AA6" w:rsidRPr="00D3287F" w:rsidRDefault="00BB7AA6" w:rsidP="00B57B58">
      <w:pPr>
        <w:keepNext/>
        <w:keepLines/>
        <w:tabs>
          <w:tab w:val="right" w:pos="851"/>
        </w:tabs>
        <w:suppressAutoHyphens/>
        <w:spacing w:before="360" w:after="240" w:line="240" w:lineRule="atLeast"/>
        <w:ind w:left="1134" w:right="1134" w:hanging="1134"/>
        <w:rPr>
          <w:rFonts w:ascii="Times New Roman" w:hAnsi="Times New Roman" w:cs="Times New Roman"/>
          <w:b/>
          <w:sz w:val="28"/>
          <w:szCs w:val="20"/>
          <w:lang w:eastAsia="en-US"/>
        </w:rPr>
      </w:pPr>
      <w:r w:rsidRPr="00D3287F">
        <w:rPr>
          <w:rFonts w:ascii="Times New Roman" w:hAnsi="Times New Roman" w:cs="Times New Roman"/>
          <w:b/>
          <w:sz w:val="28"/>
          <w:szCs w:val="20"/>
          <w:lang w:eastAsia="en-US"/>
        </w:rPr>
        <w:tab/>
      </w:r>
      <w:r w:rsidRPr="00D3287F">
        <w:rPr>
          <w:rFonts w:ascii="Times New Roman" w:hAnsi="Times New Roman" w:cs="Times New Roman"/>
          <w:b/>
          <w:sz w:val="28"/>
          <w:szCs w:val="20"/>
          <w:lang w:eastAsia="en-US"/>
        </w:rPr>
        <w:tab/>
      </w:r>
      <w:r w:rsidR="003751E3" w:rsidRPr="00D3287F">
        <w:rPr>
          <w:rFonts w:ascii="Times New Roman" w:hAnsi="Times New Roman" w:cs="Times New Roman"/>
          <w:b/>
          <w:sz w:val="28"/>
          <w:szCs w:val="20"/>
          <w:lang w:eastAsia="en-US"/>
        </w:rPr>
        <w:t xml:space="preserve">Europäisches </w:t>
      </w:r>
      <w:r w:rsidRPr="00D3287F">
        <w:rPr>
          <w:rFonts w:ascii="Times New Roman" w:hAnsi="Times New Roman" w:cs="Times New Roman"/>
          <w:b/>
          <w:sz w:val="28"/>
          <w:szCs w:val="20"/>
          <w:lang w:eastAsia="en-US"/>
        </w:rPr>
        <w:t>Übereinkommen über die internationale Beförderung von gefährlichen Gütern auf Binnenwasserstraßen (ADN)</w:t>
      </w:r>
    </w:p>
    <w:p w:rsidR="00BB7AA6" w:rsidRPr="00D3287F" w:rsidRDefault="00BB7AA6" w:rsidP="00BB7AA6">
      <w:pPr>
        <w:keepNext/>
        <w:keepLines/>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D3287F">
        <w:rPr>
          <w:rFonts w:ascii="Times New Roman" w:hAnsi="Times New Roman" w:cs="Times New Roman"/>
          <w:b/>
          <w:szCs w:val="20"/>
          <w:lang w:eastAsia="en-US"/>
        </w:rPr>
        <w:tab/>
      </w:r>
      <w:r w:rsidRPr="00D3287F">
        <w:rPr>
          <w:rFonts w:ascii="Times New Roman" w:hAnsi="Times New Roman" w:cs="Times New Roman"/>
          <w:b/>
          <w:szCs w:val="20"/>
          <w:lang w:eastAsia="en-US"/>
        </w:rPr>
        <w:tab/>
      </w:r>
      <w:r w:rsidR="00FC4401" w:rsidRPr="00D3287F">
        <w:rPr>
          <w:rFonts w:ascii="Times New Roman" w:hAnsi="Times New Roman" w:cs="Times New Roman"/>
          <w:b/>
          <w:szCs w:val="20"/>
          <w:lang w:eastAsia="en-US"/>
        </w:rPr>
        <w:t>Entwurf für Änderungen der dem ADN beigefügten Verordnung</w:t>
      </w:r>
    </w:p>
    <w:p w:rsidR="00BB7AA6" w:rsidRPr="00D3287F" w:rsidRDefault="00BB7AA6" w:rsidP="00BB7AA6">
      <w:pPr>
        <w:spacing w:after="200" w:line="240" w:lineRule="atLeast"/>
        <w:ind w:left="1134"/>
        <w:rPr>
          <w:rFonts w:ascii="Times New Roman" w:hAnsi="Times New Roman" w:cs="Times New Roman"/>
          <w:b/>
          <w:szCs w:val="20"/>
          <w:lang w:eastAsia="en-US"/>
        </w:rPr>
      </w:pPr>
      <w:r w:rsidRPr="00D3287F">
        <w:rPr>
          <w:rFonts w:ascii="Times New Roman" w:hAnsi="Times New Roman" w:cs="Times New Roman"/>
          <w:b/>
          <w:szCs w:val="20"/>
          <w:lang w:eastAsia="en-US"/>
        </w:rPr>
        <w:t>Anmerkung des UNECE-Sekretariats</w:t>
      </w:r>
      <w:r w:rsidRPr="00D3287F">
        <w:rPr>
          <w:rStyle w:val="FootnoteReference"/>
          <w:b/>
          <w:lang w:eastAsia="en-US"/>
        </w:rPr>
        <w:footnoteReference w:customMarkFollows="1" w:id="1"/>
        <w:t>*</w:t>
      </w:r>
      <w:r w:rsidRPr="00D3287F">
        <w:rPr>
          <w:rStyle w:val="FootnoteReference"/>
          <w:rFonts w:eastAsia="Calibri"/>
          <w:b/>
          <w:bCs/>
          <w:sz w:val="12"/>
          <w:szCs w:val="12"/>
          <w:lang w:eastAsia="en-US"/>
        </w:rPr>
        <w:footnoteReference w:id="2"/>
      </w:r>
      <w:r w:rsidRPr="00D3287F">
        <w:rPr>
          <w:rStyle w:val="FootnoteReference"/>
          <w:rFonts w:eastAsia="Calibri"/>
          <w:b/>
          <w:bCs/>
          <w:lang w:eastAsia="en-US"/>
        </w:rPr>
        <w:t>**</w:t>
      </w:r>
    </w:p>
    <w:p w:rsidR="00BB7AA6" w:rsidRPr="00D3287F" w:rsidRDefault="00BB7AA6" w:rsidP="00BB7AA6">
      <w:pPr>
        <w:keepNext/>
        <w:keepLines/>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D3287F">
        <w:rPr>
          <w:rFonts w:ascii="Times New Roman" w:hAnsi="Times New Roman" w:cs="Times New Roman"/>
          <w:b/>
          <w:szCs w:val="20"/>
          <w:lang w:eastAsia="en-US"/>
        </w:rPr>
        <w:tab/>
      </w:r>
      <w:r w:rsidRPr="00D3287F">
        <w:rPr>
          <w:rFonts w:ascii="Times New Roman" w:hAnsi="Times New Roman" w:cs="Times New Roman"/>
          <w:b/>
          <w:szCs w:val="20"/>
          <w:lang w:eastAsia="en-US"/>
        </w:rPr>
        <w:tab/>
      </w:r>
      <w:r w:rsidRPr="00D3287F">
        <w:rPr>
          <w:rFonts w:ascii="Times New Roman" w:hAnsi="Times New Roman" w:cs="Times New Roman"/>
          <w:b/>
          <w:szCs w:val="20"/>
          <w:lang w:eastAsia="en-US"/>
        </w:rPr>
        <w:tab/>
        <w:t>Einleitung</w:t>
      </w:r>
    </w:p>
    <w:p w:rsidR="00FC4401" w:rsidRPr="00D3287F" w:rsidRDefault="00FC4401" w:rsidP="00FC4401">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1.</w:t>
      </w:r>
      <w:r w:rsidRPr="00D3287F">
        <w:rPr>
          <w:rFonts w:ascii="Times New Roman" w:hAnsi="Times New Roman" w:cs="Times New Roman"/>
          <w:sz w:val="20"/>
          <w:szCs w:val="20"/>
          <w:lang w:eastAsia="en-US"/>
        </w:rPr>
        <w:tab/>
        <w:t>Der Sicherheitsausschuss könnte die Arbeitsergebnisse der gemeinsamen Tagung RID/ADR/ADN prüfen, die in ihrer Frühjahr Sitzung 2018 ausgearbeitet wurden (ECE/TRANS/WP.15/AC.1/150).</w:t>
      </w:r>
    </w:p>
    <w:p w:rsidR="00FC4401" w:rsidRPr="00D3287F" w:rsidRDefault="00FC4401" w:rsidP="00FC4401">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2.</w:t>
      </w:r>
      <w:r w:rsidRPr="00D3287F">
        <w:rPr>
          <w:rFonts w:ascii="Times New Roman" w:hAnsi="Times New Roman" w:cs="Times New Roman"/>
          <w:sz w:val="20"/>
          <w:szCs w:val="20"/>
          <w:lang w:eastAsia="en-US"/>
        </w:rPr>
        <w:tab/>
        <w:t xml:space="preserve">In ihrer 104. Sitzung im Mai 2018, hat die Arbeitsgruppe „Beförderung gefährlicher Güter“ (WP.15) eine Liste mit weiteren Änderungen zum ADR beschlossen, die am 1. Januar 2019 in Kraft treten sollen (ECE/TRANS/WP.15/240/Add. 1). </w:t>
      </w:r>
    </w:p>
    <w:p w:rsidR="00FC4401" w:rsidRPr="00D3287F" w:rsidRDefault="00FC4401" w:rsidP="00FC4401">
      <w:pPr>
        <w:tabs>
          <w:tab w:val="left" w:pos="1701"/>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3.</w:t>
      </w:r>
      <w:r w:rsidRPr="00D3287F">
        <w:rPr>
          <w:rFonts w:ascii="Times New Roman" w:hAnsi="Times New Roman" w:cs="Times New Roman"/>
          <w:sz w:val="20"/>
          <w:szCs w:val="20"/>
          <w:lang w:eastAsia="en-US"/>
        </w:rPr>
        <w:tab/>
        <w:t>Dieses Dokument enthält die Änderungen, die auch für das ADN zutreffend sind.</w:t>
      </w:r>
    </w:p>
    <w:p w:rsidR="004410F4" w:rsidRPr="00D3287F" w:rsidRDefault="004410F4">
      <w:pPr>
        <w:rPr>
          <w:rFonts w:ascii="Times New Roman" w:hAnsi="Times New Roman" w:cs="Times New Roman"/>
          <w:sz w:val="20"/>
          <w:szCs w:val="20"/>
        </w:rPr>
      </w:pPr>
      <w:r w:rsidRPr="00D3287F">
        <w:rPr>
          <w:rFonts w:ascii="Times New Roman" w:hAnsi="Times New Roman" w:cs="Times New Roman"/>
          <w:sz w:val="20"/>
          <w:szCs w:val="20"/>
        </w:rPr>
        <w:br w:type="page"/>
      </w:r>
    </w:p>
    <w:p w:rsidR="009E2B78" w:rsidRPr="00D3287F" w:rsidRDefault="009E2B78" w:rsidP="009E2B78">
      <w:pPr>
        <w:keepNext/>
        <w:keepLines/>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D3287F">
        <w:rPr>
          <w:rFonts w:ascii="Times New Roman" w:hAnsi="Times New Roman" w:cs="Times New Roman"/>
          <w:b/>
          <w:szCs w:val="20"/>
          <w:lang w:eastAsia="en-US"/>
        </w:rPr>
        <w:lastRenderedPageBreak/>
        <w:tab/>
      </w:r>
      <w:r w:rsidRPr="00D3287F">
        <w:rPr>
          <w:rFonts w:ascii="Times New Roman" w:hAnsi="Times New Roman" w:cs="Times New Roman"/>
          <w:b/>
          <w:szCs w:val="20"/>
          <w:lang w:eastAsia="en-US"/>
        </w:rPr>
        <w:tab/>
        <w:t>Kapitel 1.2</w:t>
      </w:r>
    </w:p>
    <w:p w:rsidR="009E2B78" w:rsidRPr="00D3287F" w:rsidRDefault="009E2B78" w:rsidP="009E2B78">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1.2.1</w:t>
      </w:r>
      <w:r w:rsidRPr="00D3287F">
        <w:rPr>
          <w:rFonts w:ascii="Times New Roman" w:hAnsi="Times New Roman" w:cs="Times New Roman"/>
          <w:sz w:val="20"/>
          <w:szCs w:val="20"/>
          <w:lang w:eastAsia="en-US"/>
        </w:rPr>
        <w:tab/>
      </w:r>
      <w:r w:rsidR="00B57B58" w:rsidRPr="00D3287F">
        <w:rPr>
          <w:rFonts w:ascii="Times New Roman" w:hAnsi="Times New Roman" w:cs="Times New Roman"/>
          <w:sz w:val="20"/>
          <w:szCs w:val="20"/>
          <w:lang w:eastAsia="en-US"/>
        </w:rPr>
        <w:t>Folgende Begriffsbestimmung hinzufügen</w:t>
      </w:r>
      <w:r w:rsidRPr="00D3287F">
        <w:rPr>
          <w:rFonts w:ascii="Times New Roman" w:hAnsi="Times New Roman" w:cs="Times New Roman"/>
          <w:sz w:val="20"/>
          <w:szCs w:val="20"/>
          <w:lang w:eastAsia="en-US"/>
        </w:rPr>
        <w:t>:</w:t>
      </w:r>
    </w:p>
    <w:p w:rsidR="00B57B58" w:rsidRPr="00D3287F" w:rsidRDefault="00B57B58" w:rsidP="00B57B58">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bCs/>
          <w:iCs/>
          <w:sz w:val="20"/>
          <w:szCs w:val="20"/>
          <w:lang w:eastAsia="en-US"/>
        </w:rPr>
        <w:t>„</w:t>
      </w:r>
      <w:r w:rsidRPr="004221ED">
        <w:rPr>
          <w:rFonts w:ascii="Times New Roman" w:hAnsi="Times New Roman" w:cs="Times New Roman"/>
          <w:b/>
          <w:bCs/>
          <w:i/>
          <w:iCs/>
          <w:sz w:val="20"/>
          <w:szCs w:val="20"/>
          <w:lang w:eastAsia="en-US"/>
        </w:rPr>
        <w:t>UN-Regelung</w:t>
      </w:r>
      <w:r w:rsidRPr="00D3287F">
        <w:rPr>
          <w:rFonts w:ascii="Times New Roman" w:hAnsi="Times New Roman" w:cs="Times New Roman"/>
          <w:sz w:val="20"/>
          <w:szCs w:val="20"/>
          <w:lang w:eastAsia="en-US"/>
        </w:rPr>
        <w:t>: Eine Regelung als Anlage zum Übereinkommen über die Annahme einheitlicher technischer Vorschriften für Radfahrzeuge, Ausrüstungsgegenstände und Teile, die in Radfahrzeuge(n) eingebaut und/oder verwendet werden können, und die Bedingungen für die gegenseitige Anerkennung von Genehmigungen, die nach diesen Vorschriften erteilt werden (Übereinkommen von 1958 in der jeweils geänderten Fassung).“.</w:t>
      </w:r>
    </w:p>
    <w:p w:rsidR="009E2B78" w:rsidRPr="00D3287F" w:rsidRDefault="00B57B58" w:rsidP="009E2B78">
      <w:pPr>
        <w:suppressAutoHyphens/>
        <w:spacing w:after="120" w:line="240" w:lineRule="atLeast"/>
        <w:ind w:left="1134" w:right="1134"/>
        <w:jc w:val="both"/>
        <w:rPr>
          <w:rFonts w:ascii="Times New Roman" w:hAnsi="Times New Roman" w:cs="Times New Roman"/>
          <w:i/>
          <w:iCs/>
          <w:sz w:val="20"/>
          <w:szCs w:val="20"/>
          <w:lang w:eastAsia="zh-CN"/>
        </w:rPr>
      </w:pPr>
      <w:r w:rsidRPr="00D3287F">
        <w:rPr>
          <w:rFonts w:ascii="Times New Roman" w:hAnsi="Times New Roman" w:cs="Times New Roman"/>
          <w:i/>
          <w:iCs/>
          <w:sz w:val="20"/>
          <w:szCs w:val="20"/>
          <w:lang w:eastAsia="zh-CN"/>
        </w:rPr>
        <w:t>(Vorschlag des Sekretariats als Folgeänderung. Der Begriff „UN-Regelung“ wird im Text der Sondervorschrift 392 verwendet und die Begriffsbestimmung existiert bereits im A</w:t>
      </w:r>
      <w:r w:rsidR="004221ED">
        <w:rPr>
          <w:rFonts w:ascii="Times New Roman" w:hAnsi="Times New Roman" w:cs="Times New Roman"/>
          <w:i/>
          <w:iCs/>
          <w:sz w:val="20"/>
          <w:szCs w:val="20"/>
          <w:lang w:eastAsia="zh-CN"/>
        </w:rPr>
        <w:t>DR</w:t>
      </w:r>
      <w:r w:rsidRPr="00D3287F">
        <w:rPr>
          <w:rFonts w:ascii="Times New Roman" w:hAnsi="Times New Roman" w:cs="Times New Roman"/>
          <w:i/>
          <w:iCs/>
          <w:sz w:val="20"/>
          <w:szCs w:val="20"/>
          <w:lang w:eastAsia="zh-CN"/>
        </w:rPr>
        <w:t>).</w:t>
      </w:r>
    </w:p>
    <w:p w:rsidR="009E2B78" w:rsidRPr="00D3287F" w:rsidRDefault="009E2B78" w:rsidP="009E2B78">
      <w:pPr>
        <w:keepNext/>
        <w:keepLines/>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D3287F">
        <w:rPr>
          <w:rFonts w:ascii="Times New Roman" w:hAnsi="Times New Roman" w:cs="Times New Roman"/>
          <w:b/>
          <w:szCs w:val="20"/>
          <w:lang w:eastAsia="en-US"/>
        </w:rPr>
        <w:tab/>
      </w:r>
      <w:r w:rsidRPr="00D3287F">
        <w:rPr>
          <w:rFonts w:ascii="Times New Roman" w:hAnsi="Times New Roman" w:cs="Times New Roman"/>
          <w:b/>
          <w:szCs w:val="20"/>
          <w:lang w:eastAsia="en-US"/>
        </w:rPr>
        <w:tab/>
        <w:t>Kapitel 1.6</w:t>
      </w:r>
    </w:p>
    <w:p w:rsidR="009E2B78" w:rsidRPr="00D3287F" w:rsidRDefault="009E2B78" w:rsidP="000C4A46">
      <w:pPr>
        <w:tabs>
          <w:tab w:val="left" w:pos="2268"/>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1.6.1</w:t>
      </w:r>
      <w:r w:rsidRPr="00D3287F">
        <w:rPr>
          <w:rFonts w:ascii="Times New Roman" w:hAnsi="Times New Roman" w:cs="Times New Roman"/>
          <w:sz w:val="20"/>
          <w:szCs w:val="20"/>
          <w:lang w:eastAsia="en-US"/>
        </w:rPr>
        <w:tab/>
      </w:r>
      <w:r w:rsidR="000C4A46" w:rsidRPr="00D3287F">
        <w:rPr>
          <w:rFonts w:ascii="Times New Roman" w:hAnsi="Times New Roman" w:cs="Times New Roman"/>
          <w:iCs/>
          <w:sz w:val="20"/>
          <w:szCs w:val="20"/>
          <w:lang w:eastAsia="en-US"/>
        </w:rPr>
        <w:t>Folgende neue Übergangsvorschrift hinzufügen</w:t>
      </w:r>
      <w:r w:rsidRPr="00D3287F">
        <w:rPr>
          <w:rFonts w:ascii="Times New Roman" w:hAnsi="Times New Roman" w:cs="Times New Roman"/>
          <w:sz w:val="20"/>
          <w:szCs w:val="20"/>
          <w:lang w:eastAsia="en-US"/>
        </w:rPr>
        <w:t>:</w:t>
      </w:r>
    </w:p>
    <w:p w:rsidR="000C4A46" w:rsidRPr="00D3287F" w:rsidRDefault="000C4A46" w:rsidP="000C4A46">
      <w:pPr>
        <w:tabs>
          <w:tab w:val="left" w:pos="2268"/>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w:t>
      </w:r>
      <w:r w:rsidR="009E2B78" w:rsidRPr="00D3287F">
        <w:rPr>
          <w:rFonts w:ascii="Times New Roman" w:hAnsi="Times New Roman" w:cs="Times New Roman"/>
          <w:sz w:val="20"/>
          <w:szCs w:val="20"/>
          <w:lang w:eastAsia="en-US"/>
        </w:rPr>
        <w:t>1.6.1.47</w:t>
      </w:r>
      <w:r w:rsidR="009E2B78" w:rsidRPr="00D3287F">
        <w:rPr>
          <w:rFonts w:ascii="Times New Roman" w:hAnsi="Times New Roman" w:cs="Times New Roman"/>
          <w:sz w:val="20"/>
          <w:szCs w:val="20"/>
          <w:lang w:eastAsia="en-US"/>
        </w:rPr>
        <w:tab/>
      </w:r>
      <w:r w:rsidRPr="00D3287F">
        <w:rPr>
          <w:rFonts w:ascii="Times New Roman" w:hAnsi="Times New Roman" w:cs="Times New Roman"/>
          <w:sz w:val="20"/>
          <w:szCs w:val="20"/>
          <w:lang w:eastAsia="en-US"/>
        </w:rPr>
        <w:t>Lithiumzellen und -batterien, welche die Vorschriften des Absatzes 2.2.9.1.7 g) nicht erfüllen, dürfen bis zum 31. Dezember 2019 weiter befördert werden.“.</w:t>
      </w:r>
    </w:p>
    <w:p w:rsidR="009E2B78" w:rsidRPr="00D3287F" w:rsidRDefault="009E2B78" w:rsidP="009E2B78">
      <w:pPr>
        <w:suppressAutoHyphens/>
        <w:spacing w:after="120" w:line="240" w:lineRule="atLeast"/>
        <w:ind w:left="1134" w:right="1134"/>
        <w:jc w:val="both"/>
        <w:rPr>
          <w:rFonts w:ascii="Times New Roman" w:hAnsi="Times New Roman" w:cs="Times New Roman"/>
          <w:i/>
          <w:sz w:val="20"/>
          <w:szCs w:val="20"/>
          <w:lang w:eastAsia="en-US"/>
        </w:rPr>
      </w:pPr>
      <w:r w:rsidRPr="00D3287F">
        <w:rPr>
          <w:rFonts w:ascii="Times New Roman" w:hAnsi="Times New Roman" w:cs="Times New Roman"/>
          <w:i/>
          <w:sz w:val="20"/>
          <w:szCs w:val="20"/>
          <w:lang w:eastAsia="en-US"/>
        </w:rPr>
        <w:t>(</w:t>
      </w:r>
      <w:r w:rsidR="000C4A46" w:rsidRPr="00D3287F">
        <w:rPr>
          <w:rFonts w:ascii="Times New Roman" w:hAnsi="Times New Roman" w:cs="Times New Roman"/>
          <w:i/>
          <w:sz w:val="20"/>
          <w:szCs w:val="20"/>
          <w:lang w:eastAsia="en-US"/>
        </w:rPr>
        <w:t>Referenzdokument</w:t>
      </w:r>
      <w:r w:rsidRPr="00D3287F">
        <w:rPr>
          <w:rFonts w:ascii="Times New Roman" w:hAnsi="Times New Roman" w:cs="Times New Roman"/>
          <w:i/>
          <w:sz w:val="20"/>
          <w:szCs w:val="20"/>
          <w:lang w:eastAsia="en-US"/>
        </w:rPr>
        <w:t>: ECE/TRANS/WP.15/AC.1/150, An</w:t>
      </w:r>
      <w:r w:rsidR="000C4A46" w:rsidRPr="00D3287F">
        <w:rPr>
          <w:rFonts w:ascii="Times New Roman" w:hAnsi="Times New Roman" w:cs="Times New Roman"/>
          <w:i/>
          <w:sz w:val="20"/>
          <w:szCs w:val="20"/>
          <w:lang w:eastAsia="en-US"/>
        </w:rPr>
        <w:t>lage</w:t>
      </w:r>
      <w:r w:rsidRPr="00D3287F">
        <w:rPr>
          <w:rFonts w:ascii="Times New Roman" w:hAnsi="Times New Roman" w:cs="Times New Roman"/>
          <w:i/>
          <w:sz w:val="20"/>
          <w:szCs w:val="20"/>
          <w:lang w:eastAsia="en-US"/>
        </w:rPr>
        <w:t xml:space="preserve"> II)</w:t>
      </w:r>
    </w:p>
    <w:p w:rsidR="009E2B78" w:rsidRPr="00D3287F" w:rsidRDefault="009E2B78" w:rsidP="00C70413">
      <w:pPr>
        <w:tabs>
          <w:tab w:val="left" w:pos="2410"/>
        </w:tabs>
        <w:suppressAutoHyphens/>
        <w:spacing w:after="120" w:line="240" w:lineRule="atLeast"/>
        <w:ind w:left="1134" w:right="1134"/>
        <w:jc w:val="both"/>
        <w:rPr>
          <w:rFonts w:ascii="Times New Roman" w:hAnsi="Times New Roman" w:cs="Times New Roman"/>
          <w:iCs/>
          <w:sz w:val="20"/>
          <w:szCs w:val="20"/>
          <w:lang w:eastAsia="en-US"/>
        </w:rPr>
      </w:pPr>
      <w:r w:rsidRPr="00D3287F">
        <w:rPr>
          <w:rFonts w:ascii="Times New Roman" w:hAnsi="Times New Roman" w:cs="Times New Roman"/>
          <w:iCs/>
          <w:sz w:val="20"/>
          <w:szCs w:val="20"/>
          <w:lang w:eastAsia="en-US"/>
        </w:rPr>
        <w:t>1.6.7.4.2</w:t>
      </w:r>
      <w:r w:rsidRPr="00D3287F">
        <w:rPr>
          <w:rFonts w:ascii="Times New Roman" w:hAnsi="Times New Roman" w:cs="Times New Roman"/>
          <w:iCs/>
          <w:sz w:val="20"/>
          <w:szCs w:val="20"/>
          <w:lang w:eastAsia="en-US"/>
        </w:rPr>
        <w:tab/>
      </w:r>
      <w:r w:rsidR="000C4A46" w:rsidRPr="00D3287F">
        <w:rPr>
          <w:rFonts w:ascii="Times New Roman" w:hAnsi="Times New Roman" w:cs="Times New Roman"/>
          <w:iCs/>
          <w:sz w:val="20"/>
          <w:szCs w:val="20"/>
          <w:lang w:eastAsia="en-US"/>
        </w:rPr>
        <w:t xml:space="preserve">Erhält folgenden Wortlaut: </w:t>
      </w:r>
      <w:r w:rsidR="00C70413" w:rsidRPr="00D3287F">
        <w:rPr>
          <w:rFonts w:ascii="Times New Roman" w:hAnsi="Times New Roman" w:cs="Times New Roman"/>
          <w:iCs/>
          <w:sz w:val="20"/>
          <w:szCs w:val="20"/>
          <w:lang w:eastAsia="en-US"/>
        </w:rPr>
        <w:t>„</w:t>
      </w:r>
      <w:r w:rsidRPr="00D3287F">
        <w:rPr>
          <w:rFonts w:ascii="Times New Roman" w:hAnsi="Times New Roman" w:cs="Times New Roman"/>
          <w:iCs/>
          <w:sz w:val="20"/>
          <w:szCs w:val="20"/>
          <w:lang w:eastAsia="en-US"/>
        </w:rPr>
        <w:t>1.6.7.4.2</w:t>
      </w:r>
      <w:r w:rsidR="000C4A46" w:rsidRPr="00D3287F">
        <w:rPr>
          <w:rFonts w:ascii="Times New Roman" w:hAnsi="Times New Roman" w:cs="Times New Roman"/>
          <w:iCs/>
          <w:sz w:val="20"/>
          <w:szCs w:val="20"/>
          <w:lang w:eastAsia="en-US"/>
        </w:rPr>
        <w:t xml:space="preserve"> </w:t>
      </w:r>
      <w:r w:rsidRPr="00D3287F">
        <w:rPr>
          <w:rFonts w:ascii="Times New Roman" w:hAnsi="Times New Roman" w:cs="Times New Roman"/>
          <w:iCs/>
          <w:sz w:val="20"/>
          <w:szCs w:val="20"/>
          <w:lang w:eastAsia="en-US"/>
        </w:rPr>
        <w:tab/>
      </w:r>
      <w:r w:rsidRPr="00D3287F">
        <w:rPr>
          <w:rFonts w:ascii="Times New Roman" w:hAnsi="Times New Roman" w:cs="Times New Roman"/>
          <w:sz w:val="20"/>
          <w:szCs w:val="20"/>
          <w:lang w:eastAsia="en-US"/>
        </w:rPr>
        <w:t>(</w:t>
      </w:r>
      <w:r w:rsidR="00D911E4" w:rsidRPr="00D3287F">
        <w:rPr>
          <w:rFonts w:ascii="Times New Roman" w:hAnsi="Times New Roman" w:cs="Times New Roman"/>
          <w:sz w:val="20"/>
          <w:szCs w:val="20"/>
          <w:lang w:eastAsia="en-US"/>
        </w:rPr>
        <w:t>g</w:t>
      </w:r>
      <w:r w:rsidR="000C4A46" w:rsidRPr="00D3287F">
        <w:rPr>
          <w:rFonts w:ascii="Times New Roman" w:hAnsi="Times New Roman" w:cs="Times New Roman"/>
          <w:sz w:val="20"/>
          <w:szCs w:val="20"/>
          <w:lang w:eastAsia="en-US"/>
        </w:rPr>
        <w:t>estrichen</w:t>
      </w:r>
      <w:r w:rsidRPr="00D3287F">
        <w:rPr>
          <w:rFonts w:ascii="Times New Roman" w:hAnsi="Times New Roman" w:cs="Times New Roman"/>
          <w:sz w:val="20"/>
          <w:szCs w:val="20"/>
          <w:lang w:eastAsia="en-US"/>
        </w:rPr>
        <w:t>)</w:t>
      </w:r>
      <w:r w:rsidR="00C70413" w:rsidRPr="00D3287F">
        <w:rPr>
          <w:rFonts w:ascii="Times New Roman" w:hAnsi="Times New Roman" w:cs="Times New Roman"/>
          <w:sz w:val="20"/>
          <w:szCs w:val="20"/>
          <w:lang w:eastAsia="en-US"/>
        </w:rPr>
        <w:t>“</w:t>
      </w:r>
      <w:r w:rsidRPr="00D3287F">
        <w:rPr>
          <w:rFonts w:ascii="Times New Roman" w:hAnsi="Times New Roman" w:cs="Times New Roman"/>
          <w:iCs/>
          <w:sz w:val="20"/>
          <w:szCs w:val="20"/>
          <w:lang w:eastAsia="en-US"/>
        </w:rPr>
        <w:t>.</w:t>
      </w:r>
    </w:p>
    <w:p w:rsidR="009E2B78" w:rsidRPr="00D3287F" w:rsidRDefault="009E2B78" w:rsidP="009E2B78">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i/>
          <w:sz w:val="20"/>
          <w:szCs w:val="20"/>
          <w:lang w:eastAsia="en-US"/>
        </w:rPr>
        <w:t>(Referenzdokument:</w:t>
      </w:r>
      <w:r w:rsidRPr="00D3287F">
        <w:rPr>
          <w:rFonts w:ascii="Times New Roman" w:hAnsi="Times New Roman" w:cs="Times New Roman"/>
          <w:i/>
          <w:iCs/>
          <w:sz w:val="20"/>
          <w:szCs w:val="20"/>
          <w:lang w:eastAsia="en-US"/>
        </w:rPr>
        <w:t xml:space="preserve"> ECE/TRANS/WP.15/AC.2/2018/30, </w:t>
      </w:r>
      <w:r w:rsidR="00651FD7" w:rsidRPr="00D3287F">
        <w:rPr>
          <w:rFonts w:ascii="Times New Roman" w:hAnsi="Times New Roman" w:cs="Times New Roman"/>
          <w:i/>
          <w:iCs/>
          <w:sz w:val="20"/>
          <w:szCs w:val="20"/>
          <w:lang w:eastAsia="en-US"/>
        </w:rPr>
        <w:t>Folgeänderung</w:t>
      </w:r>
      <w:r w:rsidRPr="00D3287F">
        <w:rPr>
          <w:rFonts w:ascii="Times New Roman" w:hAnsi="Times New Roman" w:cs="Times New Roman"/>
          <w:i/>
          <w:iCs/>
          <w:sz w:val="20"/>
          <w:szCs w:val="20"/>
          <w:lang w:eastAsia="en-US"/>
        </w:rPr>
        <w:t>)</w:t>
      </w:r>
    </w:p>
    <w:p w:rsidR="009E2B78" w:rsidRPr="00D3287F" w:rsidRDefault="009E2B78" w:rsidP="009E2B78">
      <w:pPr>
        <w:keepNext/>
        <w:keepLines/>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D3287F">
        <w:rPr>
          <w:rFonts w:ascii="Times New Roman" w:hAnsi="Times New Roman" w:cs="Times New Roman"/>
          <w:b/>
          <w:szCs w:val="20"/>
          <w:lang w:eastAsia="en-US"/>
        </w:rPr>
        <w:tab/>
      </w:r>
      <w:r w:rsidRPr="00D3287F">
        <w:rPr>
          <w:rFonts w:ascii="Times New Roman" w:hAnsi="Times New Roman" w:cs="Times New Roman"/>
          <w:b/>
          <w:szCs w:val="20"/>
          <w:lang w:eastAsia="en-US"/>
        </w:rPr>
        <w:tab/>
        <w:t>Kapitel 2.1</w:t>
      </w:r>
    </w:p>
    <w:p w:rsidR="009E2B78" w:rsidRPr="00D3287F" w:rsidRDefault="009E2B78" w:rsidP="009E2B78">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2.1.5</w:t>
      </w:r>
      <w:r w:rsidRPr="00D3287F">
        <w:rPr>
          <w:rFonts w:ascii="Times New Roman" w:hAnsi="Times New Roman" w:cs="Times New Roman"/>
          <w:sz w:val="20"/>
          <w:szCs w:val="20"/>
          <w:lang w:eastAsia="en-US"/>
        </w:rPr>
        <w:tab/>
      </w:r>
      <w:r w:rsidR="00C70413" w:rsidRPr="00D3287F">
        <w:rPr>
          <w:rFonts w:ascii="Times New Roman" w:hAnsi="Times New Roman" w:cs="Times New Roman"/>
          <w:sz w:val="20"/>
          <w:szCs w:val="20"/>
          <w:lang w:eastAsia="en-US"/>
        </w:rPr>
        <w:t>Folgende Bemerkung am Anfang einfügen</w:t>
      </w:r>
      <w:r w:rsidRPr="00D3287F">
        <w:rPr>
          <w:rFonts w:ascii="Times New Roman" w:hAnsi="Times New Roman" w:cs="Times New Roman"/>
          <w:sz w:val="20"/>
          <w:szCs w:val="20"/>
          <w:lang w:eastAsia="en-US"/>
        </w:rPr>
        <w:t>:</w:t>
      </w:r>
    </w:p>
    <w:p w:rsidR="00C70413" w:rsidRPr="00D3287F" w:rsidRDefault="00C70413" w:rsidP="00C70413">
      <w:pPr>
        <w:tabs>
          <w:tab w:val="left" w:pos="2127"/>
          <w:tab w:val="left" w:pos="2268"/>
          <w:tab w:val="left" w:pos="2552"/>
        </w:tabs>
        <w:spacing w:after="120"/>
        <w:ind w:left="1134" w:right="1134"/>
        <w:jc w:val="both"/>
        <w:rPr>
          <w:rFonts w:ascii="Times New Roman" w:hAnsi="Times New Roman" w:cs="Times New Roman"/>
          <w:iCs/>
          <w:color w:val="000000"/>
          <w:sz w:val="20"/>
          <w:szCs w:val="20"/>
        </w:rPr>
      </w:pPr>
      <w:r w:rsidRPr="00D3287F">
        <w:rPr>
          <w:rFonts w:ascii="Times New Roman" w:hAnsi="Times New Roman" w:cs="Times New Roman"/>
          <w:b/>
          <w:iCs/>
          <w:color w:val="000000"/>
          <w:sz w:val="20"/>
          <w:szCs w:val="20"/>
        </w:rPr>
        <w:t>„Bem.</w:t>
      </w:r>
      <w:r w:rsidRPr="00D3287F">
        <w:rPr>
          <w:rFonts w:ascii="Times New Roman" w:hAnsi="Times New Roman" w:cs="Times New Roman"/>
          <w:iCs/>
          <w:color w:val="000000"/>
          <w:sz w:val="20"/>
          <w:szCs w:val="20"/>
        </w:rPr>
        <w:tab/>
        <w:t>Für Gegenstände, die keine offizielle Benennung für die Beförderung haben, ausgenommen UN-Nummern 3537 bis 3548, und die nur gefährliche Güter im Rahmen der in Kapitel 3.2 Tabelle A Spalte (7a) zugelassenen begrenzten Mengen enthalten, siehe UN-Nummer 3363 und Sondervorschriften 301 und 672 des Kapitels 3.3.“.</w:t>
      </w:r>
    </w:p>
    <w:p w:rsidR="009E2B78" w:rsidRPr="00D3287F" w:rsidRDefault="009E2B78" w:rsidP="009E2B78">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i/>
          <w:sz w:val="20"/>
          <w:szCs w:val="20"/>
          <w:lang w:eastAsia="en-US"/>
        </w:rPr>
        <w:t>(</w:t>
      </w:r>
      <w:r w:rsidR="00651FD7" w:rsidRPr="00D3287F">
        <w:rPr>
          <w:rFonts w:ascii="Times New Roman" w:hAnsi="Times New Roman" w:cs="Times New Roman"/>
          <w:i/>
          <w:sz w:val="20"/>
          <w:szCs w:val="20"/>
          <w:lang w:eastAsia="en-US"/>
        </w:rPr>
        <w:t>Referenzdokument</w:t>
      </w:r>
      <w:r w:rsidRPr="00D3287F">
        <w:rPr>
          <w:rFonts w:ascii="Times New Roman" w:hAnsi="Times New Roman" w:cs="Times New Roman"/>
          <w:i/>
          <w:sz w:val="20"/>
          <w:szCs w:val="20"/>
          <w:lang w:eastAsia="en-US"/>
        </w:rPr>
        <w:t>: ECE/TRANS/WP.15/239)</w:t>
      </w:r>
    </w:p>
    <w:p w:rsidR="009E2B78" w:rsidRPr="00D3287F" w:rsidRDefault="009E2B78" w:rsidP="009E2B78">
      <w:pPr>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D3287F">
        <w:rPr>
          <w:rFonts w:ascii="Times New Roman" w:hAnsi="Times New Roman" w:cs="Times New Roman"/>
          <w:b/>
          <w:szCs w:val="20"/>
          <w:lang w:eastAsia="en-US"/>
        </w:rPr>
        <w:tab/>
      </w:r>
      <w:r w:rsidRPr="00D3287F">
        <w:rPr>
          <w:rFonts w:ascii="Times New Roman" w:hAnsi="Times New Roman" w:cs="Times New Roman"/>
          <w:b/>
          <w:szCs w:val="20"/>
          <w:lang w:eastAsia="en-US"/>
        </w:rPr>
        <w:tab/>
        <w:t>Kapitel 2.2</w:t>
      </w:r>
    </w:p>
    <w:p w:rsidR="000B3812" w:rsidRPr="00D3287F" w:rsidRDefault="009E2B78" w:rsidP="000B3812">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2.2.9.2</w:t>
      </w:r>
      <w:r w:rsidRPr="00D3287F">
        <w:rPr>
          <w:rFonts w:ascii="Times New Roman" w:hAnsi="Times New Roman" w:cs="Times New Roman"/>
          <w:sz w:val="20"/>
          <w:szCs w:val="20"/>
          <w:lang w:eastAsia="en-US"/>
        </w:rPr>
        <w:tab/>
      </w:r>
      <w:r w:rsidRPr="00D3287F">
        <w:rPr>
          <w:rFonts w:ascii="Times New Roman" w:hAnsi="Times New Roman" w:cs="Times New Roman"/>
          <w:sz w:val="20"/>
          <w:szCs w:val="20"/>
          <w:lang w:eastAsia="en-US"/>
        </w:rPr>
        <w:tab/>
      </w:r>
      <w:r w:rsidR="000B3812" w:rsidRPr="00D3287F">
        <w:rPr>
          <w:rFonts w:ascii="Times New Roman" w:hAnsi="Times New Roman" w:cs="Times New Roman"/>
          <w:sz w:val="20"/>
          <w:szCs w:val="20"/>
          <w:lang w:eastAsia="en-US"/>
        </w:rPr>
        <w:t>Im ersten Spiegelstrich „oder 636“ ändern in: „, 636 oder 670“.</w:t>
      </w:r>
    </w:p>
    <w:p w:rsidR="009E2B78" w:rsidRPr="00D3287F" w:rsidRDefault="009E2B78" w:rsidP="009E2B78">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i/>
          <w:sz w:val="20"/>
          <w:szCs w:val="20"/>
          <w:lang w:eastAsia="en-US"/>
        </w:rPr>
        <w:t>(</w:t>
      </w:r>
      <w:r w:rsidR="00651FD7" w:rsidRPr="00D3287F">
        <w:rPr>
          <w:rFonts w:ascii="Times New Roman" w:hAnsi="Times New Roman" w:cs="Times New Roman"/>
          <w:i/>
          <w:sz w:val="20"/>
          <w:szCs w:val="20"/>
          <w:lang w:eastAsia="en-US"/>
        </w:rPr>
        <w:t>Referenzdokument</w:t>
      </w:r>
      <w:r w:rsidRPr="00D3287F">
        <w:rPr>
          <w:rFonts w:ascii="Times New Roman" w:hAnsi="Times New Roman" w:cs="Times New Roman"/>
          <w:i/>
          <w:sz w:val="20"/>
          <w:szCs w:val="20"/>
          <w:lang w:eastAsia="en-US"/>
        </w:rPr>
        <w:t>: ECE/TRANS/WP.15/242)</w:t>
      </w:r>
    </w:p>
    <w:p w:rsidR="009E2B78" w:rsidRPr="00D3287F" w:rsidRDefault="009E2B78" w:rsidP="009E2B78">
      <w:pPr>
        <w:pageBreakBefore/>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D3287F">
        <w:rPr>
          <w:rFonts w:ascii="Times New Roman" w:hAnsi="Times New Roman" w:cs="Times New Roman"/>
          <w:b/>
          <w:szCs w:val="20"/>
          <w:lang w:eastAsia="en-US"/>
        </w:rPr>
        <w:lastRenderedPageBreak/>
        <w:tab/>
      </w:r>
      <w:r w:rsidRPr="00D3287F">
        <w:rPr>
          <w:rFonts w:ascii="Times New Roman" w:hAnsi="Times New Roman" w:cs="Times New Roman"/>
          <w:b/>
          <w:szCs w:val="20"/>
          <w:lang w:eastAsia="en-US"/>
        </w:rPr>
        <w:tab/>
        <w:t xml:space="preserve">Kapitel 3.2, </w:t>
      </w:r>
      <w:r w:rsidR="00651FD7" w:rsidRPr="00D3287F">
        <w:rPr>
          <w:rFonts w:ascii="Times New Roman" w:hAnsi="Times New Roman" w:cs="Times New Roman"/>
          <w:b/>
          <w:szCs w:val="20"/>
          <w:lang w:eastAsia="en-US"/>
        </w:rPr>
        <w:t>Tabelle</w:t>
      </w:r>
      <w:r w:rsidRPr="00D3287F">
        <w:rPr>
          <w:rFonts w:ascii="Times New Roman" w:hAnsi="Times New Roman" w:cs="Times New Roman"/>
          <w:b/>
          <w:szCs w:val="20"/>
          <w:lang w:eastAsia="en-US"/>
        </w:rPr>
        <w:t xml:space="preserve"> A</w:t>
      </w:r>
    </w:p>
    <w:p w:rsidR="009E2B78" w:rsidRPr="00D3287F" w:rsidRDefault="00B95784" w:rsidP="009E2B78">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 xml:space="preserve">Bei den UN-Nrn. </w:t>
      </w:r>
      <w:r w:rsidR="009E2B78" w:rsidRPr="00D3287F">
        <w:rPr>
          <w:rFonts w:ascii="Times New Roman" w:hAnsi="Times New Roman" w:cs="Times New Roman"/>
          <w:sz w:val="20"/>
          <w:szCs w:val="20"/>
          <w:lang w:eastAsia="en-US"/>
        </w:rPr>
        <w:t xml:space="preserve">1002, 1006, 1013, 1046, 1056, 1058, 1065, 1066, 1080, 1952, 1956, 2036, 3070, 3163, 3297, 3298 et 3299 </w:t>
      </w:r>
      <w:r w:rsidRPr="00D3287F">
        <w:rPr>
          <w:rFonts w:ascii="Times New Roman" w:hAnsi="Times New Roman" w:cs="Times New Roman"/>
          <w:sz w:val="20"/>
          <w:szCs w:val="20"/>
          <w:lang w:eastAsia="en-US"/>
        </w:rPr>
        <w:t>in Spalte (6), einfügen: „660“</w:t>
      </w:r>
      <w:r w:rsidR="009E2B78" w:rsidRPr="00D3287F">
        <w:rPr>
          <w:rFonts w:ascii="Times New Roman" w:hAnsi="Times New Roman" w:cs="Times New Roman"/>
          <w:sz w:val="20"/>
          <w:szCs w:val="20"/>
          <w:lang w:eastAsia="en-US"/>
        </w:rPr>
        <w:t>.</w:t>
      </w:r>
    </w:p>
    <w:p w:rsidR="009E2B78" w:rsidRPr="00D3287F" w:rsidRDefault="009E2B78" w:rsidP="009E2B78">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i/>
          <w:sz w:val="20"/>
          <w:szCs w:val="20"/>
          <w:lang w:eastAsia="en-US"/>
        </w:rPr>
        <w:t>(</w:t>
      </w:r>
      <w:r w:rsidR="00651FD7" w:rsidRPr="00D3287F">
        <w:rPr>
          <w:rFonts w:ascii="Times New Roman" w:hAnsi="Times New Roman" w:cs="Times New Roman"/>
          <w:i/>
          <w:sz w:val="20"/>
          <w:szCs w:val="20"/>
          <w:lang w:eastAsia="en-US"/>
        </w:rPr>
        <w:t>Referenzdokument</w:t>
      </w:r>
      <w:r w:rsidRPr="00D3287F">
        <w:rPr>
          <w:rFonts w:ascii="Times New Roman" w:hAnsi="Times New Roman" w:cs="Times New Roman"/>
          <w:i/>
          <w:sz w:val="20"/>
          <w:szCs w:val="20"/>
          <w:lang w:eastAsia="en-US"/>
        </w:rPr>
        <w:t>: ECE/TRANS/WP.15/239)</w:t>
      </w:r>
    </w:p>
    <w:p w:rsidR="009E2B78" w:rsidRPr="00D3287F" w:rsidRDefault="009E2B78" w:rsidP="009E2B78">
      <w:pPr>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D3287F">
        <w:rPr>
          <w:rFonts w:ascii="Times New Roman" w:hAnsi="Times New Roman" w:cs="Times New Roman"/>
          <w:b/>
          <w:szCs w:val="20"/>
          <w:lang w:eastAsia="en-US"/>
        </w:rPr>
        <w:tab/>
      </w:r>
      <w:r w:rsidRPr="00D3287F">
        <w:rPr>
          <w:rFonts w:ascii="Times New Roman" w:hAnsi="Times New Roman" w:cs="Times New Roman"/>
          <w:b/>
          <w:szCs w:val="20"/>
          <w:lang w:eastAsia="en-US"/>
        </w:rPr>
        <w:tab/>
        <w:t>Kapitel 5.2</w:t>
      </w:r>
    </w:p>
    <w:p w:rsidR="00B95784" w:rsidRPr="00D3287F" w:rsidRDefault="009E2B78" w:rsidP="00B95784">
      <w:pPr>
        <w:tabs>
          <w:tab w:val="left" w:pos="2268"/>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5.2.1.5</w:t>
      </w:r>
      <w:r w:rsidRPr="00D3287F">
        <w:rPr>
          <w:rFonts w:ascii="Times New Roman" w:hAnsi="Times New Roman" w:cs="Times New Roman"/>
          <w:sz w:val="20"/>
          <w:szCs w:val="20"/>
          <w:lang w:eastAsia="en-US"/>
        </w:rPr>
        <w:tab/>
      </w:r>
      <w:r w:rsidR="00B95784" w:rsidRPr="00D3287F">
        <w:rPr>
          <w:rFonts w:ascii="Times New Roman" w:hAnsi="Times New Roman" w:cs="Times New Roman"/>
          <w:sz w:val="20"/>
          <w:szCs w:val="20"/>
          <w:lang w:eastAsia="en-US"/>
        </w:rPr>
        <w:t>Der zweite Satz erhält folgenden Wortlaut:</w:t>
      </w:r>
    </w:p>
    <w:p w:rsidR="00B95784" w:rsidRPr="00D3287F" w:rsidRDefault="00B95784" w:rsidP="00B95784">
      <w:pPr>
        <w:tabs>
          <w:tab w:val="left" w:pos="2268"/>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„Dieses Kennzeichen muss gut lesbar und unauslöschbar in einer oder mehreren Sprachen angegeben sein, wobei eine dieser Sprachen Französisch, Deutsch oder Englisch sein muss, sofern nicht Vereinbarungen zwischen den von der Beförderung berührten Staaten etwas anderes vorschreiben.“.</w:t>
      </w:r>
    </w:p>
    <w:p w:rsidR="009E2B78" w:rsidRPr="00D3287F" w:rsidRDefault="009E2B78" w:rsidP="009E2B78">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i/>
          <w:sz w:val="20"/>
          <w:szCs w:val="20"/>
          <w:lang w:eastAsia="en-US"/>
        </w:rPr>
        <w:t>(</w:t>
      </w:r>
      <w:r w:rsidR="00651FD7" w:rsidRPr="00D3287F">
        <w:rPr>
          <w:rFonts w:ascii="Times New Roman" w:hAnsi="Times New Roman" w:cs="Times New Roman"/>
          <w:i/>
          <w:sz w:val="20"/>
          <w:szCs w:val="20"/>
          <w:lang w:eastAsia="en-US"/>
        </w:rPr>
        <w:t>Referenzdokument</w:t>
      </w:r>
      <w:r w:rsidRPr="00D3287F">
        <w:rPr>
          <w:rFonts w:ascii="Times New Roman" w:hAnsi="Times New Roman" w:cs="Times New Roman"/>
          <w:i/>
          <w:sz w:val="20"/>
          <w:szCs w:val="20"/>
          <w:lang w:eastAsia="en-US"/>
        </w:rPr>
        <w:t xml:space="preserve">: ECE/TRANS/WP.15/AC.1/150, </w:t>
      </w:r>
      <w:r w:rsidR="00651FD7" w:rsidRPr="00D3287F">
        <w:rPr>
          <w:rFonts w:ascii="Times New Roman" w:hAnsi="Times New Roman" w:cs="Times New Roman"/>
          <w:i/>
          <w:sz w:val="20"/>
          <w:szCs w:val="20"/>
          <w:lang w:eastAsia="en-US"/>
        </w:rPr>
        <w:t>Anlage</w:t>
      </w:r>
      <w:r w:rsidRPr="00D3287F">
        <w:rPr>
          <w:rFonts w:ascii="Times New Roman" w:hAnsi="Times New Roman" w:cs="Times New Roman"/>
          <w:i/>
          <w:sz w:val="20"/>
          <w:szCs w:val="20"/>
          <w:lang w:eastAsia="en-US"/>
        </w:rPr>
        <w:t xml:space="preserve"> II)</w:t>
      </w:r>
    </w:p>
    <w:p w:rsidR="00B95784" w:rsidRPr="00D3287F" w:rsidRDefault="00B95784" w:rsidP="00B95784">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5.2.2.2.1.1.2</w:t>
      </w:r>
      <w:r w:rsidRPr="00D3287F">
        <w:rPr>
          <w:rFonts w:ascii="Times New Roman" w:hAnsi="Times New Roman" w:cs="Times New Roman"/>
          <w:sz w:val="20"/>
          <w:szCs w:val="20"/>
          <w:lang w:eastAsia="en-US"/>
        </w:rPr>
        <w:tab/>
        <w:t>Der zweite und der dritte Satz erhalten folgenden Wortlaut:</w:t>
      </w:r>
    </w:p>
    <w:p w:rsidR="00B95784" w:rsidRPr="00D3287F" w:rsidRDefault="00B95784" w:rsidP="00B95784">
      <w:pPr>
        <w:tabs>
          <w:tab w:val="left" w:pos="2268"/>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„Die Mindestabmessungen müssen 100 mm x 100 mm betragen. Innerhalb des Rands der Raute muss parallel zum Rand eine Linie verlaufen, wobei der Abstand zwischen dieser Linie und dem Rand des Gefahrzettels etwa 5 mm betragen muss.“.</w:t>
      </w:r>
    </w:p>
    <w:p w:rsidR="009E2B78" w:rsidRPr="00D3287F" w:rsidRDefault="009E2B78" w:rsidP="009E2B78">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i/>
          <w:sz w:val="20"/>
          <w:szCs w:val="20"/>
          <w:lang w:eastAsia="en-US"/>
        </w:rPr>
        <w:t>(</w:t>
      </w:r>
      <w:r w:rsidR="00651FD7" w:rsidRPr="00D3287F">
        <w:rPr>
          <w:rFonts w:ascii="Times New Roman" w:hAnsi="Times New Roman" w:cs="Times New Roman"/>
          <w:i/>
          <w:sz w:val="20"/>
          <w:szCs w:val="20"/>
          <w:lang w:eastAsia="en-US"/>
        </w:rPr>
        <w:t>Referenzdokument</w:t>
      </w:r>
      <w:r w:rsidRPr="00D3287F">
        <w:rPr>
          <w:rFonts w:ascii="Times New Roman" w:hAnsi="Times New Roman" w:cs="Times New Roman"/>
          <w:i/>
          <w:sz w:val="20"/>
          <w:szCs w:val="20"/>
          <w:lang w:eastAsia="en-US"/>
        </w:rPr>
        <w:t xml:space="preserve">: ECE/TRANS/WP.15/AC.1/148/Add.1 </w:t>
      </w:r>
      <w:r w:rsidR="00651FD7" w:rsidRPr="00D3287F">
        <w:rPr>
          <w:rFonts w:ascii="Times New Roman" w:hAnsi="Times New Roman" w:cs="Times New Roman"/>
          <w:i/>
          <w:sz w:val="20"/>
          <w:szCs w:val="20"/>
          <w:lang w:eastAsia="en-US"/>
        </w:rPr>
        <w:t>wie durch</w:t>
      </w:r>
      <w:r w:rsidRPr="00D3287F">
        <w:rPr>
          <w:rFonts w:ascii="Times New Roman" w:hAnsi="Times New Roman" w:cs="Times New Roman"/>
          <w:i/>
          <w:sz w:val="20"/>
          <w:szCs w:val="20"/>
          <w:lang w:eastAsia="en-US"/>
        </w:rPr>
        <w:t xml:space="preserve"> </w:t>
      </w:r>
      <w:r w:rsidRPr="00D3287F">
        <w:rPr>
          <w:rFonts w:ascii="Times New Roman" w:hAnsi="Times New Roman" w:cs="Times New Roman"/>
          <w:i/>
          <w:iCs/>
          <w:sz w:val="20"/>
          <w:szCs w:val="20"/>
          <w:lang w:eastAsia="en-US"/>
        </w:rPr>
        <w:t>ECE/TRANS/WP.15/239</w:t>
      </w:r>
      <w:r w:rsidR="00651FD7" w:rsidRPr="00D3287F">
        <w:rPr>
          <w:rFonts w:ascii="Times New Roman" w:hAnsi="Times New Roman" w:cs="Times New Roman"/>
          <w:i/>
          <w:iCs/>
          <w:sz w:val="20"/>
          <w:szCs w:val="20"/>
          <w:lang w:eastAsia="en-US"/>
        </w:rPr>
        <w:t xml:space="preserve"> geändert</w:t>
      </w:r>
      <w:r w:rsidRPr="00D3287F">
        <w:rPr>
          <w:rFonts w:ascii="Times New Roman" w:hAnsi="Times New Roman" w:cs="Times New Roman"/>
          <w:i/>
          <w:sz w:val="20"/>
          <w:szCs w:val="20"/>
          <w:lang w:eastAsia="en-US"/>
        </w:rPr>
        <w:t>)</w:t>
      </w:r>
    </w:p>
    <w:p w:rsidR="00F21475" w:rsidRPr="00D3287F" w:rsidRDefault="009E2B78" w:rsidP="00F21475">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5.2.2.2.1.6</w:t>
      </w:r>
      <w:r w:rsidRPr="00D3287F">
        <w:rPr>
          <w:rFonts w:ascii="Times New Roman" w:hAnsi="Times New Roman" w:cs="Times New Roman"/>
          <w:sz w:val="20"/>
          <w:szCs w:val="20"/>
          <w:lang w:eastAsia="en-US"/>
        </w:rPr>
        <w:tab/>
      </w:r>
      <w:r w:rsidR="00F21475" w:rsidRPr="00D3287F">
        <w:rPr>
          <w:rFonts w:ascii="Times New Roman" w:hAnsi="Times New Roman" w:cs="Times New Roman"/>
          <w:sz w:val="20"/>
          <w:szCs w:val="20"/>
          <w:lang w:eastAsia="en-US"/>
        </w:rPr>
        <w:tab/>
        <w:t>In Absatz d) „für Gase der UN-Nummern 1011, 1075, 1965 und 1978“ ändern in: „für Flüssiggas (LPG)“.</w:t>
      </w:r>
    </w:p>
    <w:p w:rsidR="009E2B78" w:rsidRPr="00D3287F" w:rsidRDefault="009E2B78" w:rsidP="009E2B78">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i/>
          <w:sz w:val="20"/>
          <w:szCs w:val="20"/>
          <w:lang w:eastAsia="en-US"/>
        </w:rPr>
        <w:t>(</w:t>
      </w:r>
      <w:r w:rsidR="00651FD7" w:rsidRPr="00D3287F">
        <w:rPr>
          <w:rFonts w:ascii="Times New Roman" w:hAnsi="Times New Roman" w:cs="Times New Roman"/>
          <w:i/>
          <w:sz w:val="20"/>
          <w:szCs w:val="20"/>
          <w:lang w:eastAsia="en-US"/>
        </w:rPr>
        <w:t>Referenzdokument</w:t>
      </w:r>
      <w:r w:rsidRPr="00D3287F">
        <w:rPr>
          <w:rFonts w:ascii="Times New Roman" w:hAnsi="Times New Roman" w:cs="Times New Roman"/>
          <w:i/>
          <w:sz w:val="20"/>
          <w:szCs w:val="20"/>
          <w:lang w:eastAsia="en-US"/>
        </w:rPr>
        <w:t>: ECE/TRANS/WP.15/242)</w:t>
      </w:r>
    </w:p>
    <w:p w:rsidR="009E2B78" w:rsidRPr="00D3287F" w:rsidRDefault="009E2B78" w:rsidP="009E2B78">
      <w:pPr>
        <w:keepNext/>
        <w:keepLines/>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D3287F">
        <w:rPr>
          <w:rFonts w:ascii="Times New Roman" w:hAnsi="Times New Roman" w:cs="Times New Roman"/>
          <w:b/>
          <w:szCs w:val="20"/>
          <w:lang w:eastAsia="en-US"/>
        </w:rPr>
        <w:tab/>
      </w:r>
      <w:r w:rsidRPr="00D3287F">
        <w:rPr>
          <w:rFonts w:ascii="Times New Roman" w:hAnsi="Times New Roman" w:cs="Times New Roman"/>
          <w:b/>
          <w:szCs w:val="20"/>
          <w:lang w:eastAsia="en-US"/>
        </w:rPr>
        <w:tab/>
        <w:t>Kapitel 5.3</w:t>
      </w:r>
    </w:p>
    <w:p w:rsidR="000B3812" w:rsidRPr="00D3287F" w:rsidRDefault="009E2B78" w:rsidP="00A165EF">
      <w:pPr>
        <w:tabs>
          <w:tab w:val="left" w:pos="2268"/>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5.3.1.7.1</w:t>
      </w:r>
      <w:r w:rsidRPr="00D3287F">
        <w:rPr>
          <w:rFonts w:ascii="Times New Roman" w:hAnsi="Times New Roman" w:cs="Times New Roman"/>
          <w:sz w:val="20"/>
          <w:szCs w:val="20"/>
          <w:lang w:eastAsia="en-US"/>
        </w:rPr>
        <w:tab/>
      </w:r>
      <w:r w:rsidR="000B3812" w:rsidRPr="00D3287F">
        <w:rPr>
          <w:rFonts w:ascii="Times New Roman" w:hAnsi="Times New Roman" w:cs="Times New Roman"/>
          <w:sz w:val="20"/>
          <w:szCs w:val="20"/>
          <w:lang w:eastAsia="en-US"/>
        </w:rPr>
        <w:t>[Die Änderungen zum zweiten Absatz in der französischen Fassung haben keine Auswirkungen auf den deutschen Text.]</w:t>
      </w:r>
    </w:p>
    <w:p w:rsidR="009E2B78" w:rsidRPr="00D3287F" w:rsidRDefault="009E2B78" w:rsidP="000B3812">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i/>
          <w:sz w:val="20"/>
          <w:szCs w:val="20"/>
          <w:lang w:eastAsia="en-US"/>
        </w:rPr>
        <w:t>(</w:t>
      </w:r>
      <w:r w:rsidR="00651FD7" w:rsidRPr="00D3287F">
        <w:rPr>
          <w:rFonts w:ascii="Times New Roman" w:hAnsi="Times New Roman" w:cs="Times New Roman"/>
          <w:i/>
          <w:sz w:val="20"/>
          <w:szCs w:val="20"/>
          <w:lang w:eastAsia="en-US"/>
        </w:rPr>
        <w:t>Referenzdokument</w:t>
      </w:r>
      <w:r w:rsidRPr="00D3287F">
        <w:rPr>
          <w:rFonts w:ascii="Times New Roman" w:hAnsi="Times New Roman" w:cs="Times New Roman"/>
          <w:i/>
          <w:sz w:val="20"/>
          <w:szCs w:val="20"/>
          <w:lang w:eastAsia="en-US"/>
        </w:rPr>
        <w:t xml:space="preserve">: ECE/TRANS/WP.15/AC.1/150, </w:t>
      </w:r>
      <w:r w:rsidR="00651FD7" w:rsidRPr="00D3287F">
        <w:rPr>
          <w:rFonts w:ascii="Times New Roman" w:hAnsi="Times New Roman" w:cs="Times New Roman"/>
          <w:i/>
          <w:sz w:val="20"/>
          <w:szCs w:val="20"/>
          <w:lang w:eastAsia="en-US"/>
        </w:rPr>
        <w:t>Anlage</w:t>
      </w:r>
      <w:r w:rsidRPr="00D3287F">
        <w:rPr>
          <w:rFonts w:ascii="Times New Roman" w:hAnsi="Times New Roman" w:cs="Times New Roman"/>
          <w:i/>
          <w:sz w:val="20"/>
          <w:szCs w:val="20"/>
          <w:lang w:eastAsia="en-US"/>
        </w:rPr>
        <w:t xml:space="preserve"> II)</w:t>
      </w:r>
    </w:p>
    <w:p w:rsidR="000B3812" w:rsidRPr="00D3287F" w:rsidRDefault="009E2B78" w:rsidP="00967018">
      <w:pPr>
        <w:tabs>
          <w:tab w:val="left" w:pos="2268"/>
        </w:tabs>
        <w:suppressAutoHyphens/>
        <w:spacing w:after="120" w:line="240" w:lineRule="atLeast"/>
        <w:ind w:left="1134" w:right="1134"/>
        <w:jc w:val="both"/>
        <w:rPr>
          <w:rFonts w:ascii="Times New Roman" w:hAnsi="Times New Roman" w:cs="Times New Roman"/>
          <w:bCs/>
          <w:sz w:val="20"/>
          <w:szCs w:val="20"/>
          <w:lang w:eastAsia="en-US"/>
        </w:rPr>
      </w:pPr>
      <w:r w:rsidRPr="00D3287F">
        <w:rPr>
          <w:rFonts w:ascii="Times New Roman" w:hAnsi="Times New Roman" w:cs="Times New Roman"/>
          <w:sz w:val="20"/>
          <w:szCs w:val="20"/>
          <w:lang w:eastAsia="en-US"/>
        </w:rPr>
        <w:t>5.3.1.7.1</w:t>
      </w:r>
      <w:r w:rsidRPr="00D3287F">
        <w:rPr>
          <w:rFonts w:ascii="Times New Roman" w:hAnsi="Times New Roman" w:cs="Times New Roman"/>
          <w:sz w:val="20"/>
          <w:szCs w:val="20"/>
          <w:lang w:eastAsia="en-US"/>
        </w:rPr>
        <w:tab/>
      </w:r>
      <w:r w:rsidR="000B3812" w:rsidRPr="00D3287F">
        <w:rPr>
          <w:rFonts w:ascii="Times New Roman" w:hAnsi="Times New Roman" w:cs="Times New Roman"/>
          <w:sz w:val="20"/>
          <w:szCs w:val="20"/>
          <w:lang w:eastAsia="en-US"/>
        </w:rPr>
        <w:t>Am Ende folgenden Satz hinzufügen: „</w:t>
      </w:r>
      <w:r w:rsidR="000B3812" w:rsidRPr="00D3287F">
        <w:rPr>
          <w:rFonts w:ascii="Times New Roman" w:hAnsi="Times New Roman" w:cs="Times New Roman"/>
          <w:bCs/>
          <w:sz w:val="20"/>
          <w:szCs w:val="20"/>
          <w:lang w:eastAsia="en-US"/>
        </w:rPr>
        <w:t>Die in den Absätzen 5.2.2.2.1 Satz 2, 5.2.2.2.1.3 Satz 3 und 5.2.2.2.1.5 geregelten Abweichungen für Gefahrzettel gelten auch für Großzettel (Placards).“.</w:t>
      </w:r>
    </w:p>
    <w:p w:rsidR="009E2B78" w:rsidRPr="00D3287F" w:rsidRDefault="009E2B78" w:rsidP="009E2B78">
      <w:pPr>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i/>
          <w:sz w:val="20"/>
          <w:szCs w:val="20"/>
          <w:lang w:eastAsia="en-US"/>
        </w:rPr>
        <w:t>(</w:t>
      </w:r>
      <w:r w:rsidR="00651FD7" w:rsidRPr="00D3287F">
        <w:rPr>
          <w:rFonts w:ascii="Times New Roman" w:hAnsi="Times New Roman" w:cs="Times New Roman"/>
          <w:i/>
          <w:sz w:val="20"/>
          <w:szCs w:val="20"/>
          <w:lang w:eastAsia="en-US"/>
        </w:rPr>
        <w:t>Referenzdokument</w:t>
      </w:r>
      <w:r w:rsidRPr="00D3287F">
        <w:rPr>
          <w:rFonts w:ascii="Times New Roman" w:hAnsi="Times New Roman" w:cs="Times New Roman"/>
          <w:i/>
          <w:sz w:val="20"/>
          <w:szCs w:val="20"/>
          <w:lang w:eastAsia="en-US"/>
        </w:rPr>
        <w:t xml:space="preserve">: ECE/TRANS/WP.15/AC.1/150, </w:t>
      </w:r>
      <w:r w:rsidR="00651FD7" w:rsidRPr="00D3287F">
        <w:rPr>
          <w:rFonts w:ascii="Times New Roman" w:hAnsi="Times New Roman" w:cs="Times New Roman"/>
          <w:i/>
          <w:sz w:val="20"/>
          <w:szCs w:val="20"/>
          <w:lang w:eastAsia="en-US"/>
        </w:rPr>
        <w:t>Anlage</w:t>
      </w:r>
      <w:r w:rsidRPr="00D3287F">
        <w:rPr>
          <w:rFonts w:ascii="Times New Roman" w:hAnsi="Times New Roman" w:cs="Times New Roman"/>
          <w:i/>
          <w:sz w:val="20"/>
          <w:szCs w:val="20"/>
          <w:lang w:eastAsia="en-US"/>
        </w:rPr>
        <w:t xml:space="preserve"> II)</w:t>
      </w:r>
    </w:p>
    <w:p w:rsidR="00FB2DF9" w:rsidRPr="00D3287F" w:rsidRDefault="009E2B78" w:rsidP="00967018">
      <w:pPr>
        <w:tabs>
          <w:tab w:val="left" w:pos="2268"/>
        </w:tabs>
        <w:suppressAutoHyphens/>
        <w:spacing w:after="120" w:line="240" w:lineRule="atLeast"/>
        <w:ind w:left="1134" w:right="1134"/>
        <w:jc w:val="both"/>
        <w:rPr>
          <w:rFonts w:ascii="Times New Roman" w:hAnsi="Times New Roman" w:cs="Times New Roman"/>
          <w:iCs/>
          <w:sz w:val="20"/>
          <w:szCs w:val="20"/>
          <w:lang w:eastAsia="en-US"/>
        </w:rPr>
      </w:pPr>
      <w:r w:rsidRPr="00D3287F">
        <w:rPr>
          <w:rFonts w:ascii="Times New Roman" w:hAnsi="Times New Roman" w:cs="Times New Roman"/>
          <w:iCs/>
          <w:sz w:val="20"/>
          <w:szCs w:val="20"/>
          <w:lang w:eastAsia="en-US"/>
        </w:rPr>
        <w:t>5.3.2.1.6</w:t>
      </w:r>
      <w:r w:rsidRPr="00D3287F">
        <w:rPr>
          <w:rFonts w:ascii="Times New Roman" w:hAnsi="Times New Roman" w:cs="Times New Roman"/>
          <w:iCs/>
          <w:sz w:val="20"/>
          <w:szCs w:val="20"/>
          <w:lang w:eastAsia="en-US"/>
        </w:rPr>
        <w:tab/>
      </w:r>
      <w:r w:rsidR="00FB2DF9" w:rsidRPr="00D3287F">
        <w:rPr>
          <w:rFonts w:ascii="Times New Roman" w:hAnsi="Times New Roman" w:cs="Times New Roman"/>
          <w:iCs/>
          <w:sz w:val="20"/>
          <w:szCs w:val="20"/>
          <w:lang w:eastAsia="en-US"/>
        </w:rPr>
        <w:t>Der Änderungsvorschlag i</w:t>
      </w:r>
      <w:r w:rsidR="005951C7" w:rsidRPr="00D3287F">
        <w:rPr>
          <w:rFonts w:ascii="Times New Roman" w:hAnsi="Times New Roman" w:cs="Times New Roman"/>
          <w:iCs/>
          <w:sz w:val="20"/>
          <w:szCs w:val="20"/>
          <w:lang w:eastAsia="en-US"/>
        </w:rPr>
        <w:t>n</w:t>
      </w:r>
      <w:r w:rsidR="00FB2DF9" w:rsidRPr="00D3287F">
        <w:rPr>
          <w:rFonts w:ascii="Times New Roman" w:hAnsi="Times New Roman" w:cs="Times New Roman"/>
          <w:iCs/>
          <w:sz w:val="20"/>
          <w:szCs w:val="20"/>
          <w:lang w:eastAsia="en-US"/>
        </w:rPr>
        <w:t xml:space="preserve"> Dokument ECE/TRANS/WP.15/AC.2/2018/2 wurde nicht angenommen (siehe </w:t>
      </w:r>
      <w:r w:rsidR="00967018" w:rsidRPr="00D3287F">
        <w:rPr>
          <w:rFonts w:ascii="Times New Roman" w:hAnsi="Times New Roman" w:cs="Times New Roman"/>
          <w:iCs/>
          <w:sz w:val="20"/>
          <w:szCs w:val="20"/>
          <w:lang w:eastAsia="en-US"/>
        </w:rPr>
        <w:t xml:space="preserve">Protokoll über die 104. Sitzung </w:t>
      </w:r>
      <w:r w:rsidR="00FB2DF9" w:rsidRPr="00D3287F">
        <w:rPr>
          <w:rFonts w:ascii="Times New Roman" w:hAnsi="Times New Roman" w:cs="Times New Roman"/>
          <w:iCs/>
          <w:sz w:val="20"/>
          <w:szCs w:val="20"/>
          <w:lang w:eastAsia="en-US"/>
        </w:rPr>
        <w:t xml:space="preserve">der Arbeitsgruppe „Beförderung gefährlicher Güter“ ECE/TRANS/WP.15/242, </w:t>
      </w:r>
      <w:r w:rsidR="00967018" w:rsidRPr="00D3287F">
        <w:rPr>
          <w:rFonts w:ascii="Times New Roman" w:hAnsi="Times New Roman" w:cs="Times New Roman"/>
          <w:iCs/>
          <w:sz w:val="20"/>
          <w:szCs w:val="20"/>
          <w:lang w:eastAsia="en-US"/>
        </w:rPr>
        <w:t>Nr.</w:t>
      </w:r>
      <w:r w:rsidR="00FB2DF9" w:rsidRPr="00D3287F">
        <w:rPr>
          <w:rFonts w:ascii="Times New Roman" w:hAnsi="Times New Roman" w:cs="Times New Roman"/>
          <w:iCs/>
          <w:sz w:val="20"/>
          <w:szCs w:val="20"/>
          <w:lang w:eastAsia="en-US"/>
        </w:rPr>
        <w:t xml:space="preserve"> 31).</w:t>
      </w:r>
    </w:p>
    <w:p w:rsidR="00F21475" w:rsidRPr="00D3287F" w:rsidRDefault="009E2B78" w:rsidP="00A165EF">
      <w:pPr>
        <w:tabs>
          <w:tab w:val="left" w:pos="2268"/>
        </w:tabs>
        <w:suppressAutoHyphens/>
        <w:spacing w:after="120" w:line="240" w:lineRule="atLeast"/>
        <w:ind w:left="1134" w:right="1134"/>
        <w:jc w:val="both"/>
        <w:rPr>
          <w:rFonts w:ascii="Times New Roman" w:hAnsi="Times New Roman" w:cs="Times New Roman"/>
          <w:iCs/>
          <w:sz w:val="20"/>
          <w:szCs w:val="20"/>
          <w:lang w:eastAsia="en-US"/>
        </w:rPr>
      </w:pPr>
      <w:r w:rsidRPr="00D3287F">
        <w:rPr>
          <w:rFonts w:ascii="Times New Roman" w:hAnsi="Times New Roman" w:cs="Times New Roman"/>
          <w:iCs/>
          <w:sz w:val="20"/>
          <w:szCs w:val="20"/>
          <w:lang w:eastAsia="en-US"/>
        </w:rPr>
        <w:t>5.3.2.3.2</w:t>
      </w:r>
      <w:r w:rsidRPr="00D3287F">
        <w:rPr>
          <w:rFonts w:ascii="Times New Roman" w:hAnsi="Times New Roman" w:cs="Times New Roman"/>
          <w:iCs/>
          <w:sz w:val="20"/>
          <w:szCs w:val="20"/>
          <w:lang w:eastAsia="en-US"/>
        </w:rPr>
        <w:tab/>
      </w:r>
      <w:r w:rsidR="00F21475" w:rsidRPr="00D3287F">
        <w:rPr>
          <w:rFonts w:ascii="Times New Roman" w:hAnsi="Times New Roman" w:cs="Times New Roman"/>
          <w:iCs/>
          <w:sz w:val="20"/>
          <w:szCs w:val="20"/>
          <w:lang w:eastAsia="en-US"/>
        </w:rPr>
        <w:t>[Die Änderungen in der französischen Fassung haben keine Auswirkungen auf den deutschen Text.]</w:t>
      </w:r>
    </w:p>
    <w:p w:rsidR="009E2B78" w:rsidRPr="00D3287F" w:rsidRDefault="009E2B78" w:rsidP="009E2B78">
      <w:pPr>
        <w:suppressAutoHyphens/>
        <w:spacing w:after="120" w:line="240" w:lineRule="atLeast"/>
        <w:ind w:left="1134" w:right="1134"/>
        <w:jc w:val="both"/>
        <w:rPr>
          <w:rFonts w:ascii="Times New Roman" w:hAnsi="Times New Roman" w:cs="Times New Roman"/>
          <w:iCs/>
          <w:sz w:val="20"/>
          <w:szCs w:val="20"/>
          <w:lang w:eastAsia="en-US"/>
        </w:rPr>
      </w:pPr>
      <w:r w:rsidRPr="00D3287F">
        <w:rPr>
          <w:rFonts w:ascii="Times New Roman" w:hAnsi="Times New Roman" w:cs="Times New Roman"/>
          <w:i/>
          <w:sz w:val="20"/>
          <w:szCs w:val="20"/>
          <w:lang w:eastAsia="en-US"/>
        </w:rPr>
        <w:t>(</w:t>
      </w:r>
      <w:r w:rsidR="00651FD7" w:rsidRPr="00D3287F">
        <w:rPr>
          <w:rFonts w:ascii="Times New Roman" w:hAnsi="Times New Roman" w:cs="Times New Roman"/>
          <w:i/>
          <w:sz w:val="20"/>
          <w:szCs w:val="20"/>
          <w:lang w:eastAsia="en-US"/>
        </w:rPr>
        <w:t>Referenzdokument</w:t>
      </w:r>
      <w:r w:rsidRPr="00D3287F">
        <w:rPr>
          <w:rFonts w:ascii="Times New Roman" w:hAnsi="Times New Roman" w:cs="Times New Roman"/>
          <w:i/>
          <w:sz w:val="20"/>
          <w:szCs w:val="20"/>
          <w:lang w:eastAsia="en-US"/>
        </w:rPr>
        <w:t>: ECE/TRANS/WP.15/242)</w:t>
      </w:r>
    </w:p>
    <w:p w:rsidR="00F21475" w:rsidRPr="00D3287F" w:rsidRDefault="009E2B78" w:rsidP="00A165EF">
      <w:pPr>
        <w:tabs>
          <w:tab w:val="left" w:pos="2268"/>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5.3.3</w:t>
      </w:r>
      <w:r w:rsidRPr="00D3287F">
        <w:rPr>
          <w:rFonts w:ascii="Times New Roman" w:hAnsi="Times New Roman" w:cs="Times New Roman"/>
          <w:sz w:val="20"/>
          <w:szCs w:val="20"/>
          <w:lang w:eastAsia="en-US"/>
        </w:rPr>
        <w:tab/>
      </w:r>
      <w:r w:rsidR="00F21475" w:rsidRPr="00D3287F">
        <w:rPr>
          <w:rFonts w:ascii="Times New Roman" w:hAnsi="Times New Roman" w:cs="Times New Roman"/>
          <w:sz w:val="20"/>
          <w:szCs w:val="20"/>
          <w:lang w:eastAsia="en-US"/>
        </w:rPr>
        <w:t>[Die Änderung zum zweiten Satz des zweiten Unterabsatzes in der französischen Fassung hat keine Auswirkungen auf den deutschen Text.]</w:t>
      </w:r>
    </w:p>
    <w:p w:rsidR="00D911E4" w:rsidRPr="00D3287F" w:rsidRDefault="009E2B78" w:rsidP="00A165EF">
      <w:pPr>
        <w:suppressAutoHyphens/>
        <w:spacing w:after="120" w:line="240" w:lineRule="atLeast"/>
        <w:ind w:left="1134" w:right="1134"/>
        <w:jc w:val="both"/>
        <w:rPr>
          <w:rFonts w:ascii="Times New Roman" w:hAnsi="Times New Roman" w:cs="Times New Roman"/>
          <w:b/>
          <w:szCs w:val="20"/>
          <w:lang w:eastAsia="en-US"/>
        </w:rPr>
      </w:pPr>
      <w:r w:rsidRPr="00D3287F">
        <w:rPr>
          <w:rFonts w:ascii="Times New Roman" w:hAnsi="Times New Roman" w:cs="Times New Roman"/>
          <w:i/>
          <w:sz w:val="20"/>
          <w:szCs w:val="20"/>
          <w:lang w:eastAsia="en-US"/>
        </w:rPr>
        <w:t>(</w:t>
      </w:r>
      <w:r w:rsidR="00651FD7" w:rsidRPr="00D3287F">
        <w:rPr>
          <w:rFonts w:ascii="Times New Roman" w:hAnsi="Times New Roman" w:cs="Times New Roman"/>
          <w:i/>
          <w:sz w:val="20"/>
          <w:szCs w:val="20"/>
          <w:lang w:eastAsia="en-US"/>
        </w:rPr>
        <w:t>Referenzdokument</w:t>
      </w:r>
      <w:r w:rsidRPr="00D3287F">
        <w:rPr>
          <w:rFonts w:ascii="Times New Roman" w:hAnsi="Times New Roman" w:cs="Times New Roman"/>
          <w:i/>
          <w:sz w:val="20"/>
          <w:szCs w:val="20"/>
          <w:lang w:eastAsia="en-US"/>
        </w:rPr>
        <w:t xml:space="preserve">: ECE/TRANS/WP.15/AC.1/150, </w:t>
      </w:r>
      <w:r w:rsidR="00651FD7" w:rsidRPr="00D3287F">
        <w:rPr>
          <w:rFonts w:ascii="Times New Roman" w:hAnsi="Times New Roman" w:cs="Times New Roman"/>
          <w:i/>
          <w:sz w:val="20"/>
          <w:szCs w:val="20"/>
          <w:lang w:eastAsia="en-US"/>
        </w:rPr>
        <w:t>Anlage</w:t>
      </w:r>
      <w:r w:rsidRPr="00D3287F">
        <w:rPr>
          <w:rFonts w:ascii="Times New Roman" w:hAnsi="Times New Roman" w:cs="Times New Roman"/>
          <w:i/>
          <w:sz w:val="20"/>
          <w:szCs w:val="20"/>
          <w:lang w:eastAsia="en-US"/>
        </w:rPr>
        <w:t xml:space="preserve"> II)</w:t>
      </w:r>
      <w:r w:rsidRPr="00D3287F">
        <w:rPr>
          <w:rFonts w:ascii="Times New Roman" w:hAnsi="Times New Roman" w:cs="Times New Roman"/>
          <w:b/>
          <w:szCs w:val="20"/>
          <w:lang w:eastAsia="en-US"/>
        </w:rPr>
        <w:tab/>
      </w:r>
    </w:p>
    <w:p w:rsidR="00D911E4" w:rsidRPr="00D3287F" w:rsidRDefault="00D911E4">
      <w:pPr>
        <w:rPr>
          <w:rFonts w:ascii="Times New Roman" w:hAnsi="Times New Roman" w:cs="Times New Roman"/>
          <w:b/>
          <w:szCs w:val="20"/>
          <w:lang w:eastAsia="en-US"/>
        </w:rPr>
      </w:pPr>
      <w:r w:rsidRPr="00D3287F">
        <w:rPr>
          <w:rFonts w:ascii="Times New Roman" w:hAnsi="Times New Roman" w:cs="Times New Roman"/>
          <w:b/>
          <w:szCs w:val="20"/>
          <w:lang w:eastAsia="en-US"/>
        </w:rPr>
        <w:br w:type="page"/>
      </w:r>
    </w:p>
    <w:p w:rsidR="009E2B78" w:rsidRPr="00D3287F" w:rsidRDefault="00D911E4" w:rsidP="009E2B78">
      <w:pPr>
        <w:keepNext/>
        <w:keepLines/>
        <w:tabs>
          <w:tab w:val="right" w:pos="851"/>
        </w:tabs>
        <w:suppressAutoHyphens/>
        <w:spacing w:before="360" w:after="240" w:line="270" w:lineRule="exact"/>
        <w:ind w:left="1134" w:right="1134" w:hanging="1134"/>
        <w:rPr>
          <w:rFonts w:ascii="Times New Roman" w:hAnsi="Times New Roman" w:cs="Times New Roman"/>
          <w:b/>
          <w:szCs w:val="20"/>
          <w:lang w:eastAsia="en-US"/>
        </w:rPr>
      </w:pPr>
      <w:r w:rsidRPr="00D3287F">
        <w:rPr>
          <w:rFonts w:ascii="Times New Roman" w:hAnsi="Times New Roman" w:cs="Times New Roman"/>
          <w:b/>
          <w:szCs w:val="20"/>
          <w:lang w:eastAsia="en-US"/>
        </w:rPr>
        <w:lastRenderedPageBreak/>
        <w:tab/>
      </w:r>
      <w:r w:rsidR="009E2B78" w:rsidRPr="00D3287F">
        <w:rPr>
          <w:rFonts w:ascii="Times New Roman" w:hAnsi="Times New Roman" w:cs="Times New Roman"/>
          <w:b/>
          <w:szCs w:val="20"/>
          <w:lang w:eastAsia="en-US"/>
        </w:rPr>
        <w:tab/>
        <w:t>Kapitel 7.1</w:t>
      </w:r>
    </w:p>
    <w:p w:rsidR="00F6352B" w:rsidRPr="00D3287F" w:rsidRDefault="00F6352B" w:rsidP="00F6352B">
      <w:pPr>
        <w:tabs>
          <w:tab w:val="left" w:pos="1985"/>
        </w:tabs>
        <w:suppressAutoHyphens/>
        <w:spacing w:after="120" w:line="240" w:lineRule="atLeast"/>
        <w:ind w:left="1134" w:right="1134"/>
        <w:jc w:val="both"/>
        <w:rPr>
          <w:rFonts w:ascii="Times New Roman" w:hAnsi="Times New Roman" w:cs="Times New Roman"/>
          <w:sz w:val="20"/>
          <w:szCs w:val="20"/>
          <w:lang w:eastAsia="en-US"/>
        </w:rPr>
      </w:pPr>
      <w:r w:rsidRPr="00D3287F">
        <w:rPr>
          <w:rFonts w:ascii="Times New Roman" w:hAnsi="Times New Roman" w:cs="Times New Roman"/>
          <w:sz w:val="20"/>
          <w:szCs w:val="20"/>
          <w:lang w:eastAsia="en-US"/>
        </w:rPr>
        <w:t>7.1.0.1</w:t>
      </w:r>
      <w:r w:rsidRPr="00D3287F">
        <w:rPr>
          <w:rFonts w:ascii="Times New Roman" w:hAnsi="Times New Roman" w:cs="Times New Roman"/>
          <w:sz w:val="20"/>
          <w:szCs w:val="20"/>
          <w:lang w:eastAsia="en-US"/>
        </w:rPr>
        <w:tab/>
        <w:t>„7.1.6“ ändern in: „7.1.7“.</w:t>
      </w:r>
    </w:p>
    <w:p w:rsidR="00F6352B" w:rsidRPr="00D3287F" w:rsidRDefault="00F6352B" w:rsidP="00F6352B">
      <w:pPr>
        <w:tabs>
          <w:tab w:val="left" w:pos="1701"/>
        </w:tabs>
        <w:suppressAutoHyphens/>
        <w:spacing w:before="120" w:after="120"/>
        <w:ind w:left="1134" w:right="1134"/>
        <w:jc w:val="both"/>
        <w:rPr>
          <w:rFonts w:ascii="Times New Roman" w:hAnsi="Times New Roman" w:cs="Times New Roman"/>
          <w:iCs/>
          <w:sz w:val="20"/>
          <w:szCs w:val="20"/>
          <w:lang w:eastAsia="en-US"/>
        </w:rPr>
      </w:pPr>
      <w:r w:rsidRPr="00D3287F">
        <w:rPr>
          <w:rFonts w:ascii="Times New Roman" w:hAnsi="Times New Roman" w:cs="Times New Roman"/>
          <w:iCs/>
          <w:sz w:val="20"/>
          <w:szCs w:val="20"/>
          <w:lang w:eastAsia="en-US"/>
        </w:rPr>
        <w:t>7.1</w:t>
      </w:r>
      <w:r w:rsidRPr="00D3287F">
        <w:rPr>
          <w:rFonts w:ascii="Times New Roman" w:hAnsi="Times New Roman" w:cs="Times New Roman"/>
          <w:iCs/>
          <w:sz w:val="20"/>
          <w:szCs w:val="20"/>
          <w:lang w:eastAsia="en-US"/>
        </w:rPr>
        <w:tab/>
        <w:t>Folgenden neuen Abschnitt 7.1.7 einfügen:</w:t>
      </w:r>
    </w:p>
    <w:p w:rsidR="00F6352B" w:rsidRPr="00D3287F" w:rsidRDefault="00F6352B" w:rsidP="00F6352B">
      <w:pPr>
        <w:tabs>
          <w:tab w:val="left" w:pos="2268"/>
        </w:tabs>
        <w:spacing w:before="120"/>
        <w:ind w:left="1134" w:right="1134"/>
        <w:jc w:val="both"/>
        <w:rPr>
          <w:rFonts w:ascii="Times New Roman" w:hAnsi="Times New Roman" w:cs="Times New Roman"/>
          <w:b/>
          <w:iCs/>
          <w:sz w:val="20"/>
          <w:szCs w:val="20"/>
        </w:rPr>
      </w:pPr>
      <w:r w:rsidRPr="00D3287F">
        <w:rPr>
          <w:rFonts w:ascii="Times New Roman" w:hAnsi="Times New Roman" w:cs="Times New Roman"/>
          <w:b/>
          <w:iCs/>
          <w:sz w:val="20"/>
          <w:szCs w:val="20"/>
        </w:rPr>
        <w:t>„7.1.7</w:t>
      </w:r>
      <w:r w:rsidRPr="00D3287F">
        <w:rPr>
          <w:rFonts w:ascii="Times New Roman" w:hAnsi="Times New Roman" w:cs="Times New Roman"/>
          <w:b/>
          <w:iCs/>
          <w:sz w:val="20"/>
          <w:szCs w:val="20"/>
        </w:rPr>
        <w:tab/>
        <w:t>Besondere Vorschriften für die Beförderung selbstzersetzlicher Stoffe der Klasse 4.1, organischer Peroxide der Klasse 5.2 und anderer Stoffe (als selbstzersetzliche Stoffe und organische Peroxide), die durch Temperaturkontrolle stabilisiert werden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7.1.7.1</w:t>
      </w:r>
      <w:r w:rsidRPr="00D3287F">
        <w:rPr>
          <w:rFonts w:ascii="Times New Roman" w:hAnsi="Times New Roman" w:cs="Times New Roman"/>
          <w:iCs/>
          <w:sz w:val="20"/>
          <w:szCs w:val="20"/>
        </w:rPr>
        <w:tab/>
        <w:t>Alle selbstzersetzlichen Stoffe, organischen Peroxide und polymerisierenden Stoffe dürfen keiner direkten Sonneneinstrahlung und keinen Wärmequellen ausgesetzt sein und müssen an ausreichend belüfteten Stellen abgestellt sein.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7.1.7.2</w:t>
      </w:r>
      <w:r w:rsidRPr="00D3287F">
        <w:rPr>
          <w:rFonts w:ascii="Times New Roman" w:hAnsi="Times New Roman" w:cs="Times New Roman"/>
          <w:iCs/>
          <w:sz w:val="20"/>
          <w:szCs w:val="20"/>
        </w:rPr>
        <w:tab/>
        <w:t>Wenn in einen Container oder ein geschlossenes Fahrzeug mehrere Versandstücke zusammen verladen werden, darf die Gesamtmenge des Stoffes, die Art und die Anzahl der Versandstücke und die Anordnung in Stapeln keine Explosionsgefahr verursachen.</w:t>
      </w:r>
    </w:p>
    <w:p w:rsidR="00F6352B" w:rsidRPr="00D3287F" w:rsidRDefault="00F6352B" w:rsidP="00F6352B">
      <w:pPr>
        <w:tabs>
          <w:tab w:val="left" w:pos="2268"/>
        </w:tabs>
        <w:spacing w:before="120" w:after="120"/>
        <w:ind w:left="1134" w:right="1134"/>
        <w:jc w:val="both"/>
        <w:rPr>
          <w:rFonts w:ascii="Times New Roman" w:hAnsi="Times New Roman" w:cs="Times New Roman"/>
          <w:b/>
          <w:iCs/>
          <w:sz w:val="20"/>
          <w:szCs w:val="20"/>
        </w:rPr>
      </w:pPr>
      <w:r w:rsidRPr="00D3287F">
        <w:rPr>
          <w:rFonts w:ascii="Times New Roman" w:hAnsi="Times New Roman" w:cs="Times New Roman"/>
          <w:b/>
          <w:iCs/>
          <w:sz w:val="20"/>
          <w:szCs w:val="20"/>
        </w:rPr>
        <w:t>7.1.7.3</w:t>
      </w:r>
      <w:r w:rsidRPr="00D3287F">
        <w:rPr>
          <w:rFonts w:ascii="Times New Roman" w:hAnsi="Times New Roman" w:cs="Times New Roman"/>
          <w:b/>
          <w:iCs/>
          <w:sz w:val="20"/>
          <w:szCs w:val="20"/>
        </w:rPr>
        <w:tab/>
      </w:r>
      <w:r w:rsidRPr="00D3287F">
        <w:rPr>
          <w:rFonts w:ascii="Times New Roman" w:hAnsi="Times New Roman" w:cs="Times New Roman"/>
          <w:b/>
          <w:iCs/>
          <w:sz w:val="20"/>
          <w:szCs w:val="20"/>
        </w:rPr>
        <w:tab/>
        <w:t>Vorschriften für die Temperaturkontrolle</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b/>
          <w:iCs/>
          <w:sz w:val="20"/>
          <w:szCs w:val="20"/>
        </w:rPr>
        <w:t>7</w:t>
      </w:r>
      <w:r w:rsidRPr="00D3287F">
        <w:rPr>
          <w:rFonts w:ascii="Times New Roman" w:hAnsi="Times New Roman" w:cs="Times New Roman"/>
          <w:iCs/>
          <w:sz w:val="20"/>
          <w:szCs w:val="20"/>
        </w:rPr>
        <w:t>.1.7.3.1</w:t>
      </w:r>
      <w:r w:rsidRPr="00D3287F">
        <w:rPr>
          <w:rFonts w:ascii="Times New Roman" w:hAnsi="Times New Roman" w:cs="Times New Roman"/>
          <w:iCs/>
          <w:sz w:val="20"/>
          <w:szCs w:val="20"/>
        </w:rPr>
        <w:tab/>
        <w:t>Diese Vorschriften gelten für bestimmte selbstzersetzliche Stoffe, sofern dies gemäß Absatz 2.2.41.1.17 vorgeschrieben ist, für bestimmte organische Peroxide, sofern dies gemäß Absatz 2.2.52.1.15 vorgeschrieben ist, und für bestimmte polymerisierende Stoffe, sofern dies gemäß Absatz 2.2.41.1.21 oder gemäß Kapitel 3.3 Sondervorschrift 386 vorgeschrieben ist, die nur unter Bedingungen befördert werden dürfen, bei denen die Temperatur kontrolliert wird.</w:t>
      </w:r>
    </w:p>
    <w:p w:rsidR="00F6352B" w:rsidRPr="00D3287F" w:rsidRDefault="00F6352B" w:rsidP="00F6352B">
      <w:pPr>
        <w:tabs>
          <w:tab w:val="left" w:pos="2268"/>
        </w:tabs>
        <w:spacing w:before="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7.1.7.3.2</w:t>
      </w:r>
      <w:r w:rsidRPr="00D3287F">
        <w:rPr>
          <w:rFonts w:ascii="Times New Roman" w:hAnsi="Times New Roman" w:cs="Times New Roman"/>
          <w:iCs/>
          <w:sz w:val="20"/>
          <w:szCs w:val="20"/>
        </w:rPr>
        <w:tab/>
        <w:t>Diese Vorschriften gelten auch für die Beförderung von Stoffen, bei denen:</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a)</w:t>
      </w:r>
      <w:r w:rsidRPr="00D3287F">
        <w:rPr>
          <w:rFonts w:ascii="Times New Roman" w:hAnsi="Times New Roman" w:cs="Times New Roman"/>
          <w:iCs/>
          <w:sz w:val="20"/>
          <w:szCs w:val="20"/>
        </w:rPr>
        <w:tab/>
        <w:t>die offizielle Benennung für die Beförderung in Kapitel 3.2 Tabelle A Spalte (2) oder gemäß Unterabschnitt 3.1.2.6 den Ausdruck „STABILISIERT“ enthält und</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b)</w:t>
      </w:r>
      <w:r w:rsidRPr="00D3287F">
        <w:rPr>
          <w:rFonts w:ascii="Times New Roman" w:hAnsi="Times New Roman" w:cs="Times New Roman"/>
          <w:iCs/>
          <w:sz w:val="20"/>
          <w:szCs w:val="20"/>
        </w:rPr>
        <w:tab/>
        <w:t>die für den Stoff (mit oder ohne chemische Stabilisierung) im zur Beförderung aufgegebenen Zustand bestimmte SADT oder SAPT</w:t>
      </w:r>
    </w:p>
    <w:p w:rsidR="00F6352B" w:rsidRPr="00D3287F" w:rsidRDefault="00F6352B" w:rsidP="00F6352B">
      <w:pPr>
        <w:tabs>
          <w:tab w:val="left" w:pos="1843"/>
          <w:tab w:val="left" w:pos="2268"/>
        </w:tabs>
        <w:spacing w:before="60" w:after="60"/>
        <w:ind w:left="1701" w:right="1134" w:hanging="283"/>
        <w:jc w:val="both"/>
        <w:rPr>
          <w:rFonts w:ascii="Times New Roman" w:hAnsi="Times New Roman" w:cs="Times New Roman"/>
          <w:iCs/>
          <w:sz w:val="20"/>
          <w:szCs w:val="20"/>
        </w:rPr>
      </w:pPr>
      <w:r w:rsidRPr="00D3287F">
        <w:rPr>
          <w:rFonts w:ascii="Times New Roman" w:hAnsi="Times New Roman" w:cs="Times New Roman"/>
          <w:iCs/>
          <w:sz w:val="20"/>
          <w:szCs w:val="20"/>
        </w:rPr>
        <w:t>(i)</w:t>
      </w:r>
      <w:r w:rsidRPr="00D3287F">
        <w:rPr>
          <w:rFonts w:ascii="Times New Roman" w:hAnsi="Times New Roman" w:cs="Times New Roman"/>
          <w:iCs/>
          <w:sz w:val="20"/>
          <w:szCs w:val="20"/>
        </w:rPr>
        <w:tab/>
        <w:t>höchstens 50 °C für Einzelverpackungen und Großpackmittel (IBC) oder</w:t>
      </w:r>
    </w:p>
    <w:p w:rsidR="00F6352B" w:rsidRPr="00D3287F" w:rsidRDefault="00F6352B" w:rsidP="00F6352B">
      <w:pPr>
        <w:tabs>
          <w:tab w:val="left" w:pos="1843"/>
          <w:tab w:val="left" w:pos="2268"/>
        </w:tabs>
        <w:spacing w:before="60" w:after="60"/>
        <w:ind w:left="1701" w:right="1134" w:hanging="283"/>
        <w:jc w:val="both"/>
        <w:rPr>
          <w:rFonts w:ascii="Times New Roman" w:hAnsi="Times New Roman" w:cs="Times New Roman"/>
          <w:iCs/>
          <w:sz w:val="20"/>
          <w:szCs w:val="20"/>
        </w:rPr>
      </w:pPr>
      <w:r w:rsidRPr="00D3287F">
        <w:rPr>
          <w:rFonts w:ascii="Times New Roman" w:hAnsi="Times New Roman" w:cs="Times New Roman"/>
          <w:iCs/>
          <w:sz w:val="20"/>
          <w:szCs w:val="20"/>
        </w:rPr>
        <w:t>(ii)</w:t>
      </w:r>
      <w:r w:rsidRPr="00D3287F">
        <w:rPr>
          <w:rFonts w:ascii="Times New Roman" w:hAnsi="Times New Roman" w:cs="Times New Roman"/>
          <w:iCs/>
          <w:sz w:val="20"/>
          <w:szCs w:val="20"/>
        </w:rPr>
        <w:tab/>
        <w:t>höchstens 45 °C für Tanks</w:t>
      </w:r>
    </w:p>
    <w:p w:rsidR="00F6352B" w:rsidRPr="00D3287F" w:rsidRDefault="00F6352B" w:rsidP="00F6352B">
      <w:pPr>
        <w:tabs>
          <w:tab w:val="left" w:pos="1843"/>
          <w:tab w:val="left" w:pos="2268"/>
        </w:tabs>
        <w:spacing w:before="60" w:after="6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beträgt.</w:t>
      </w:r>
    </w:p>
    <w:p w:rsidR="00F6352B" w:rsidRPr="00D3287F" w:rsidRDefault="00F6352B" w:rsidP="00F6352B">
      <w:pPr>
        <w:tabs>
          <w:tab w:val="left" w:pos="1843"/>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Wenn zur Stabilisierung eines reaktiven Stoffes, der unter normalen Beförderungsbedingungen gefährliche Mengen Wärme und Gase oder Dämpfe erzeugen kann, keine chemische Stabilisierung verwendet wird, muss dieser Stoff unter Temperaturkontrolle befördert werden. Diese Vorschriften gelten nicht für Stoffe, die durch Hinzufügen chemischer Inhibitoren stabilisiert werden, so dass die SADT oder SAPT höher ist als in Absatz b) (i) oder (ii) vorgeschrieben.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7.1.7.3.3</w:t>
      </w:r>
      <w:r w:rsidRPr="00D3287F">
        <w:rPr>
          <w:rFonts w:ascii="Times New Roman" w:hAnsi="Times New Roman" w:cs="Times New Roman"/>
          <w:iCs/>
          <w:sz w:val="20"/>
          <w:szCs w:val="20"/>
        </w:rPr>
        <w:tab/>
        <w:t>Wenn ein selbstzersetzlicher Stoff, ein organisches Peroxid oder ein Stoff, dessen offizielle Benennung für die Beförderung den Ausdruck „STABILISIERT“ enthält und der normalerweise nicht unter Temperaturkontrolle befördert werden muss, unter Bedingungen befördert wird, bei denen die Temperatur 55 °C übersteigen kann, kann darüber hinaus eine Temperaturkontrolle erforderlich sein.</w:t>
      </w:r>
    </w:p>
    <w:p w:rsidR="00F6352B" w:rsidRPr="00D3287F" w:rsidRDefault="00F6352B" w:rsidP="00F6352B">
      <w:pPr>
        <w:tabs>
          <w:tab w:val="left" w:pos="2268"/>
        </w:tabs>
        <w:spacing w:before="120" w:after="120"/>
        <w:ind w:left="1134" w:right="1134"/>
        <w:jc w:val="both"/>
        <w:rPr>
          <w:rFonts w:ascii="Times New Roman" w:hAnsi="Times New Roman" w:cs="Times New Roman"/>
          <w:bCs/>
          <w:iCs/>
          <w:sz w:val="20"/>
          <w:szCs w:val="20"/>
        </w:rPr>
      </w:pPr>
      <w:r w:rsidRPr="00D3287F">
        <w:rPr>
          <w:rFonts w:ascii="Times New Roman" w:hAnsi="Times New Roman" w:cs="Times New Roman"/>
          <w:iCs/>
          <w:sz w:val="20"/>
          <w:szCs w:val="20"/>
        </w:rPr>
        <w:t>7.1.7.3.4</w:t>
      </w:r>
      <w:r w:rsidRPr="00D3287F">
        <w:rPr>
          <w:rFonts w:ascii="Times New Roman" w:hAnsi="Times New Roman" w:cs="Times New Roman"/>
          <w:iCs/>
          <w:sz w:val="20"/>
          <w:szCs w:val="20"/>
        </w:rPr>
        <w:tab/>
      </w:r>
      <w:r w:rsidRPr="00D3287F">
        <w:rPr>
          <w:rFonts w:ascii="Times New Roman" w:hAnsi="Times New Roman" w:cs="Times New Roman"/>
          <w:bCs/>
          <w:iCs/>
          <w:sz w:val="20"/>
          <w:szCs w:val="20"/>
        </w:rPr>
        <w:t>Die „Kontrolltemperatur“ ist die höchste Temperatur, bei der der Stoff sicher befördert werden kann. Es wird davon ausgegangen, dass die Temperatur in der unmittelbaren Umgebung des Versandstücks während der Beförderung 55 °C nicht übersteigt und diesen Wert nur während eines relativ kurzen Zeitraums innerhalb von jeweils 24 Stunden erreicht. Bei Ausfall der Temperaturkontrolle kann es erforderlich werden, Notfallmaßnahmen zu ergreifen. Die „Notfalltemperatur“ ist die Temperatur, bei der diese Maßnahmen einzuleiten sind.</w:t>
      </w:r>
    </w:p>
    <w:p w:rsidR="001833D6" w:rsidRPr="00D3287F" w:rsidRDefault="001833D6">
      <w:pPr>
        <w:rPr>
          <w:rFonts w:ascii="Times New Roman" w:hAnsi="Times New Roman" w:cs="Times New Roman"/>
          <w:b/>
          <w:iCs/>
          <w:sz w:val="20"/>
          <w:szCs w:val="20"/>
        </w:rPr>
      </w:pPr>
      <w:r w:rsidRPr="00D3287F">
        <w:rPr>
          <w:rFonts w:ascii="Times New Roman" w:hAnsi="Times New Roman" w:cs="Times New Roman"/>
          <w:b/>
          <w:iCs/>
          <w:sz w:val="20"/>
          <w:szCs w:val="20"/>
        </w:rPr>
        <w:br w:type="page"/>
      </w:r>
    </w:p>
    <w:p w:rsidR="00F6352B" w:rsidRPr="00D3287F" w:rsidRDefault="00F6352B" w:rsidP="00F6352B">
      <w:pPr>
        <w:tabs>
          <w:tab w:val="left" w:pos="2268"/>
        </w:tabs>
        <w:ind w:left="1134" w:right="1134"/>
        <w:jc w:val="both"/>
        <w:rPr>
          <w:rFonts w:ascii="Times New Roman" w:hAnsi="Times New Roman" w:cs="Times New Roman"/>
          <w:b/>
          <w:bCs/>
          <w:iCs/>
          <w:sz w:val="20"/>
          <w:szCs w:val="20"/>
        </w:rPr>
      </w:pPr>
      <w:r w:rsidRPr="00D3287F">
        <w:rPr>
          <w:rFonts w:ascii="Times New Roman" w:hAnsi="Times New Roman" w:cs="Times New Roman"/>
          <w:b/>
          <w:iCs/>
          <w:sz w:val="20"/>
          <w:szCs w:val="20"/>
        </w:rPr>
        <w:lastRenderedPageBreak/>
        <w:t>7.1.7.3.5</w:t>
      </w:r>
      <w:r w:rsidRPr="00D3287F">
        <w:rPr>
          <w:rFonts w:ascii="Times New Roman" w:hAnsi="Times New Roman" w:cs="Times New Roman"/>
          <w:iCs/>
          <w:sz w:val="20"/>
          <w:szCs w:val="20"/>
        </w:rPr>
        <w:tab/>
      </w:r>
      <w:r w:rsidRPr="00D3287F">
        <w:rPr>
          <w:rFonts w:ascii="Times New Roman" w:hAnsi="Times New Roman" w:cs="Times New Roman"/>
          <w:b/>
          <w:bCs/>
          <w:iCs/>
          <w:sz w:val="20"/>
          <w:szCs w:val="20"/>
        </w:rPr>
        <w:t>Ableitung von Kontroll- und Notfalltemperatur</w:t>
      </w:r>
    </w:p>
    <w:p w:rsidR="00F6352B" w:rsidRPr="00D3287F" w:rsidRDefault="00F6352B" w:rsidP="00F6352B">
      <w:pPr>
        <w:tabs>
          <w:tab w:val="left" w:pos="2268"/>
        </w:tabs>
        <w:ind w:left="1134" w:right="1134"/>
        <w:jc w:val="both"/>
        <w:rPr>
          <w:rFonts w:ascii="Times New Roman" w:hAnsi="Times New Roman" w:cs="Times New Roman"/>
          <w:iCs/>
          <w:sz w:val="20"/>
          <w:szCs w:val="20"/>
        </w:rPr>
      </w:pPr>
    </w:p>
    <w:tbl>
      <w:tblPr>
        <w:tblW w:w="0" w:type="auto"/>
        <w:tblInd w:w="120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843"/>
        <w:gridCol w:w="1456"/>
        <w:gridCol w:w="2282"/>
        <w:gridCol w:w="2272"/>
      </w:tblGrid>
      <w:tr w:rsidR="00F6352B" w:rsidRPr="00D3287F" w:rsidTr="00A22F32">
        <w:tc>
          <w:tcPr>
            <w:tcW w:w="1843" w:type="dxa"/>
            <w:tcBorders>
              <w:top w:val="single" w:sz="6" w:space="0" w:color="auto"/>
              <w:bottom w:val="single" w:sz="6" w:space="0" w:color="auto"/>
              <w:right w:val="single" w:sz="4" w:space="0" w:color="auto"/>
            </w:tcBorders>
          </w:tcPr>
          <w:p w:rsidR="00F6352B" w:rsidRPr="00D3287F" w:rsidRDefault="00F6352B" w:rsidP="00F6352B">
            <w:pPr>
              <w:spacing w:before="180"/>
              <w:jc w:val="both"/>
              <w:rPr>
                <w:rFonts w:ascii="Times New Roman" w:hAnsi="Times New Roman" w:cs="Times New Roman"/>
                <w:b/>
                <w:sz w:val="20"/>
                <w:szCs w:val="20"/>
              </w:rPr>
            </w:pPr>
            <w:r w:rsidRPr="00D3287F">
              <w:rPr>
                <w:rFonts w:ascii="Times New Roman" w:hAnsi="Times New Roman" w:cs="Times New Roman"/>
                <w:b/>
                <w:sz w:val="20"/>
                <w:szCs w:val="20"/>
              </w:rPr>
              <w:t>Art des Gefäßes</w:t>
            </w:r>
          </w:p>
        </w:tc>
        <w:tc>
          <w:tcPr>
            <w:tcW w:w="1456" w:type="dxa"/>
            <w:tcBorders>
              <w:top w:val="single" w:sz="6" w:space="0" w:color="auto"/>
              <w:left w:val="single" w:sz="4" w:space="0" w:color="auto"/>
              <w:bottom w:val="single" w:sz="6" w:space="0" w:color="auto"/>
              <w:right w:val="nil"/>
            </w:tcBorders>
          </w:tcPr>
          <w:p w:rsidR="00F6352B" w:rsidRPr="00D3287F" w:rsidRDefault="00F6352B" w:rsidP="00F6352B">
            <w:pPr>
              <w:spacing w:before="180"/>
              <w:jc w:val="both"/>
              <w:rPr>
                <w:rFonts w:ascii="Times New Roman" w:hAnsi="Times New Roman" w:cs="Times New Roman"/>
                <w:b/>
                <w:sz w:val="20"/>
                <w:szCs w:val="20"/>
              </w:rPr>
            </w:pPr>
            <w:r w:rsidRPr="00D3287F">
              <w:rPr>
                <w:rFonts w:ascii="Times New Roman" w:hAnsi="Times New Roman" w:cs="Times New Roman"/>
                <w:b/>
                <w:sz w:val="20"/>
                <w:szCs w:val="20"/>
              </w:rPr>
              <w:t>SADT</w:t>
            </w:r>
            <w:r w:rsidRPr="00D3287F">
              <w:rPr>
                <w:rFonts w:ascii="Times New Roman" w:hAnsi="Times New Roman" w:cs="Times New Roman"/>
                <w:sz w:val="20"/>
                <w:szCs w:val="20"/>
                <w:vertAlign w:val="superscript"/>
              </w:rPr>
              <w:t>a</w:t>
            </w:r>
            <w:r w:rsidRPr="00D3287F">
              <w:rPr>
                <w:rFonts w:ascii="Times New Roman" w:hAnsi="Times New Roman" w:cs="Times New Roman"/>
                <w:b/>
                <w:sz w:val="20"/>
                <w:szCs w:val="20"/>
              </w:rPr>
              <w:t>/SAPT</w:t>
            </w:r>
            <w:r w:rsidRPr="00D3287F">
              <w:rPr>
                <w:rFonts w:ascii="Times New Roman" w:hAnsi="Times New Roman" w:cs="Times New Roman"/>
                <w:sz w:val="20"/>
                <w:szCs w:val="20"/>
                <w:vertAlign w:val="superscript"/>
              </w:rPr>
              <w:t>a</w:t>
            </w:r>
          </w:p>
        </w:tc>
        <w:tc>
          <w:tcPr>
            <w:tcW w:w="2282" w:type="dxa"/>
            <w:tcBorders>
              <w:top w:val="single" w:sz="6" w:space="0" w:color="auto"/>
              <w:left w:val="single" w:sz="6" w:space="0" w:color="auto"/>
              <w:bottom w:val="nil"/>
              <w:right w:val="nil"/>
            </w:tcBorders>
          </w:tcPr>
          <w:p w:rsidR="00F6352B" w:rsidRPr="00D3287F" w:rsidRDefault="00F6352B" w:rsidP="00F6352B">
            <w:pPr>
              <w:spacing w:before="180"/>
              <w:jc w:val="both"/>
              <w:rPr>
                <w:rFonts w:ascii="Times New Roman" w:hAnsi="Times New Roman" w:cs="Times New Roman"/>
                <w:b/>
                <w:sz w:val="20"/>
                <w:szCs w:val="20"/>
              </w:rPr>
            </w:pPr>
            <w:r w:rsidRPr="00D3287F">
              <w:rPr>
                <w:rFonts w:ascii="Times New Roman" w:hAnsi="Times New Roman" w:cs="Times New Roman"/>
                <w:b/>
                <w:sz w:val="20"/>
                <w:szCs w:val="20"/>
              </w:rPr>
              <w:t>Kontrolltemperatur</w:t>
            </w:r>
          </w:p>
        </w:tc>
        <w:tc>
          <w:tcPr>
            <w:tcW w:w="2272" w:type="dxa"/>
            <w:tcBorders>
              <w:top w:val="single" w:sz="6" w:space="0" w:color="auto"/>
              <w:left w:val="single" w:sz="6" w:space="0" w:color="auto"/>
              <w:bottom w:val="nil"/>
            </w:tcBorders>
          </w:tcPr>
          <w:p w:rsidR="00F6352B" w:rsidRPr="00D3287F" w:rsidRDefault="00F6352B" w:rsidP="00F6352B">
            <w:pPr>
              <w:spacing w:before="180"/>
              <w:jc w:val="both"/>
              <w:rPr>
                <w:rFonts w:ascii="Times New Roman" w:hAnsi="Times New Roman" w:cs="Times New Roman"/>
                <w:b/>
                <w:sz w:val="20"/>
                <w:szCs w:val="20"/>
              </w:rPr>
            </w:pPr>
            <w:r w:rsidRPr="00D3287F">
              <w:rPr>
                <w:rFonts w:ascii="Times New Roman" w:hAnsi="Times New Roman" w:cs="Times New Roman"/>
                <w:b/>
                <w:sz w:val="20"/>
                <w:szCs w:val="20"/>
              </w:rPr>
              <w:t>Notfalltemperatur</w:t>
            </w:r>
          </w:p>
        </w:tc>
      </w:tr>
      <w:tr w:rsidR="00F6352B" w:rsidRPr="00D3287F" w:rsidTr="00A22F32">
        <w:tc>
          <w:tcPr>
            <w:tcW w:w="1843" w:type="dxa"/>
            <w:tcBorders>
              <w:top w:val="single" w:sz="6" w:space="0" w:color="auto"/>
              <w:bottom w:val="single" w:sz="4" w:space="0" w:color="auto"/>
              <w:right w:val="single" w:sz="4" w:space="0" w:color="auto"/>
            </w:tcBorders>
          </w:tcPr>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Einzelverpackungen und Großpackmittel (IBC)</w:t>
            </w:r>
          </w:p>
        </w:tc>
        <w:tc>
          <w:tcPr>
            <w:tcW w:w="1456" w:type="dxa"/>
            <w:tcBorders>
              <w:top w:val="nil"/>
              <w:left w:val="single" w:sz="4" w:space="0" w:color="auto"/>
              <w:bottom w:val="single" w:sz="4" w:space="0" w:color="auto"/>
              <w:right w:val="nil"/>
            </w:tcBorders>
          </w:tcPr>
          <w:p w:rsidR="00F6352B" w:rsidRPr="00D3287F" w:rsidRDefault="00F6352B" w:rsidP="00F6352B">
            <w:pPr>
              <w:spacing w:before="180"/>
              <w:jc w:val="both"/>
              <w:rPr>
                <w:rFonts w:ascii="Times New Roman" w:hAnsi="Times New Roman" w:cs="Times New Roman"/>
                <w:sz w:val="20"/>
                <w:szCs w:val="20"/>
              </w:rPr>
            </w:pPr>
            <w:r w:rsidRPr="00D3287F">
              <w:rPr>
                <w:rFonts w:ascii="Times New Roman" w:hAnsi="Times New Roman" w:cs="Times New Roman"/>
                <w:sz w:val="20"/>
                <w:szCs w:val="20"/>
              </w:rPr>
              <w:t>≤ 20 °C</w:t>
            </w:r>
          </w:p>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br/>
              <w:t>&gt; 20 °C ≤ 35 °C</w:t>
            </w:r>
          </w:p>
          <w:p w:rsidR="00F6352B" w:rsidRPr="00D3287F" w:rsidRDefault="00F6352B" w:rsidP="00F6352B">
            <w:pPr>
              <w:spacing w:before="180"/>
              <w:jc w:val="both"/>
              <w:rPr>
                <w:rFonts w:ascii="Times New Roman" w:hAnsi="Times New Roman" w:cs="Times New Roman"/>
                <w:sz w:val="20"/>
                <w:szCs w:val="20"/>
              </w:rPr>
            </w:pPr>
            <w:r w:rsidRPr="00D3287F">
              <w:rPr>
                <w:rFonts w:ascii="Times New Roman" w:hAnsi="Times New Roman" w:cs="Times New Roman"/>
                <w:sz w:val="20"/>
                <w:szCs w:val="20"/>
              </w:rPr>
              <w:br/>
              <w:t>&gt; 35 °C</w:t>
            </w:r>
          </w:p>
        </w:tc>
        <w:tc>
          <w:tcPr>
            <w:tcW w:w="2282" w:type="dxa"/>
            <w:tcBorders>
              <w:top w:val="single" w:sz="6" w:space="0" w:color="auto"/>
              <w:left w:val="single" w:sz="6" w:space="0" w:color="auto"/>
              <w:bottom w:val="single" w:sz="4" w:space="0" w:color="auto"/>
              <w:right w:val="nil"/>
            </w:tcBorders>
          </w:tcPr>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20 °C unter SADT/SAPT</w:t>
            </w:r>
          </w:p>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15 °C unter SADT/SAPT</w:t>
            </w:r>
          </w:p>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10 °C unter SADT/SAPT</w:t>
            </w:r>
          </w:p>
        </w:tc>
        <w:tc>
          <w:tcPr>
            <w:tcW w:w="2272" w:type="dxa"/>
            <w:tcBorders>
              <w:top w:val="single" w:sz="6" w:space="0" w:color="auto"/>
              <w:left w:val="single" w:sz="6" w:space="0" w:color="auto"/>
              <w:bottom w:val="single" w:sz="4" w:space="0" w:color="auto"/>
            </w:tcBorders>
          </w:tcPr>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10 °C unter SADT/SAPT</w:t>
            </w:r>
          </w:p>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10 °C unter SADT/SAPT</w:t>
            </w:r>
          </w:p>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5 °C unter SADT/SAPT</w:t>
            </w:r>
          </w:p>
        </w:tc>
      </w:tr>
      <w:tr w:rsidR="00F6352B" w:rsidRPr="00D3287F" w:rsidTr="00A22F32">
        <w:tc>
          <w:tcPr>
            <w:tcW w:w="1843" w:type="dxa"/>
            <w:tcBorders>
              <w:top w:val="single" w:sz="4" w:space="0" w:color="auto"/>
              <w:bottom w:val="single" w:sz="4" w:space="0" w:color="auto"/>
              <w:right w:val="single" w:sz="4" w:space="0" w:color="auto"/>
            </w:tcBorders>
          </w:tcPr>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Tanks</w:t>
            </w:r>
          </w:p>
        </w:tc>
        <w:tc>
          <w:tcPr>
            <w:tcW w:w="1456" w:type="dxa"/>
            <w:tcBorders>
              <w:top w:val="single" w:sz="4" w:space="0" w:color="auto"/>
              <w:left w:val="single" w:sz="4" w:space="0" w:color="auto"/>
              <w:bottom w:val="single" w:sz="4" w:space="0" w:color="auto"/>
              <w:right w:val="nil"/>
            </w:tcBorders>
          </w:tcPr>
          <w:p w:rsidR="00F6352B" w:rsidRPr="00D3287F" w:rsidRDefault="00F6352B" w:rsidP="00F6352B">
            <w:pPr>
              <w:spacing w:before="180"/>
              <w:jc w:val="both"/>
              <w:rPr>
                <w:rFonts w:ascii="Times New Roman" w:hAnsi="Times New Roman" w:cs="Times New Roman"/>
                <w:sz w:val="20"/>
                <w:szCs w:val="20"/>
              </w:rPr>
            </w:pPr>
            <w:r w:rsidRPr="00D3287F">
              <w:rPr>
                <w:rFonts w:ascii="Times New Roman" w:hAnsi="Times New Roman" w:cs="Times New Roman"/>
                <w:sz w:val="20"/>
                <w:szCs w:val="20"/>
              </w:rPr>
              <w:t>≤ 45 °C</w:t>
            </w:r>
          </w:p>
        </w:tc>
        <w:tc>
          <w:tcPr>
            <w:tcW w:w="2282" w:type="dxa"/>
            <w:tcBorders>
              <w:top w:val="single" w:sz="4" w:space="0" w:color="auto"/>
              <w:left w:val="single" w:sz="6" w:space="0" w:color="auto"/>
              <w:bottom w:val="single" w:sz="4" w:space="0" w:color="auto"/>
              <w:right w:val="nil"/>
            </w:tcBorders>
          </w:tcPr>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10 °C unter SADT/SAPT</w:t>
            </w:r>
          </w:p>
        </w:tc>
        <w:tc>
          <w:tcPr>
            <w:tcW w:w="2272" w:type="dxa"/>
            <w:tcBorders>
              <w:top w:val="single" w:sz="4" w:space="0" w:color="auto"/>
              <w:left w:val="single" w:sz="6" w:space="0" w:color="auto"/>
              <w:bottom w:val="single" w:sz="4" w:space="0" w:color="auto"/>
            </w:tcBorders>
          </w:tcPr>
          <w:p w:rsidR="00F6352B" w:rsidRPr="00D3287F" w:rsidRDefault="00F6352B" w:rsidP="00F6352B">
            <w:pPr>
              <w:spacing w:before="180"/>
              <w:rPr>
                <w:rFonts w:ascii="Times New Roman" w:hAnsi="Times New Roman" w:cs="Times New Roman"/>
                <w:sz w:val="20"/>
                <w:szCs w:val="20"/>
              </w:rPr>
            </w:pPr>
            <w:r w:rsidRPr="00D3287F">
              <w:rPr>
                <w:rFonts w:ascii="Times New Roman" w:hAnsi="Times New Roman" w:cs="Times New Roman"/>
                <w:sz w:val="20"/>
                <w:szCs w:val="20"/>
              </w:rPr>
              <w:t>5 °C unter SADT/SAPT</w:t>
            </w:r>
          </w:p>
        </w:tc>
      </w:tr>
    </w:tbl>
    <w:p w:rsidR="00F6352B" w:rsidRPr="00D3287F" w:rsidRDefault="00F6352B" w:rsidP="00F6352B">
      <w:pPr>
        <w:tabs>
          <w:tab w:val="left" w:pos="2268"/>
        </w:tabs>
        <w:ind w:left="1134" w:right="1134"/>
        <w:jc w:val="both"/>
        <w:rPr>
          <w:rFonts w:ascii="Times New Roman" w:hAnsi="Times New Roman" w:cs="Times New Roman"/>
          <w:iCs/>
          <w:sz w:val="20"/>
          <w:szCs w:val="20"/>
        </w:rPr>
      </w:pPr>
    </w:p>
    <w:p w:rsidR="00F6352B" w:rsidRPr="00D3287F" w:rsidRDefault="00F6352B" w:rsidP="00F6352B">
      <w:pPr>
        <w:tabs>
          <w:tab w:val="left" w:pos="1701"/>
          <w:tab w:val="left" w:pos="2268"/>
        </w:tabs>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vertAlign w:val="superscript"/>
        </w:rPr>
        <w:t>a</w:t>
      </w:r>
      <w:r w:rsidRPr="00D3287F">
        <w:rPr>
          <w:rFonts w:ascii="Times New Roman" w:hAnsi="Times New Roman" w:cs="Times New Roman"/>
          <w:iCs/>
          <w:sz w:val="20"/>
          <w:szCs w:val="20"/>
        </w:rPr>
        <w:tab/>
        <w:t>Die Temperatur der selbstbeschleunigenden Zersetzung (SADT) oder die Temperatur der selbstbeschleunigenden Polymerisation (SAPT) des für die Beförderung verpackten Stoffes.</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7.1.7.3.6</w:t>
      </w:r>
      <w:r w:rsidRPr="00D3287F">
        <w:rPr>
          <w:rFonts w:ascii="Times New Roman" w:hAnsi="Times New Roman" w:cs="Times New Roman"/>
          <w:iCs/>
          <w:sz w:val="20"/>
          <w:szCs w:val="20"/>
        </w:rPr>
        <w:tab/>
        <w:t>Die Kontrolltemperatur und die Notfalltemperatur werden unter Verwendung der Tabelle in Absatz 7.1.7.3.5 von der SADT oder der SAPT abgeleitet, die als die niedrigsten Temperaturen definiert sind, bei denen bei einem Stoff in den für die Beförderung verwendeten Verpackungen, Großpackmitteln (IBC) oder Tanks eine selbstbeschleunigende Zersetzung oder Polymerisation auftreten kann. Die SADT oder SAPT wird ermittelt, um zu entscheiden, ob ein Stoff unter Temperaturkontrolle befördert werden muss. Vorschriften für die Bestimmung der SADT und der SAPT sind im Handbuch Prüfung und Kriterien Teil II Abschnitt 28 enthalten.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7.1.7.3.7</w:t>
      </w:r>
      <w:r w:rsidRPr="00D3287F">
        <w:rPr>
          <w:rFonts w:ascii="Times New Roman" w:hAnsi="Times New Roman" w:cs="Times New Roman"/>
          <w:iCs/>
          <w:sz w:val="20"/>
          <w:szCs w:val="20"/>
        </w:rPr>
        <w:tab/>
        <w:t>Kontroll- und Notfalltemperaturen sind, sofern zutreffend, für die momentan zugeordneten selbstzersetzlichen Stoffe in Unterabschnitt 2.2.41.4 und für die momentan zugeordneten Zubereitungen organischer Peroxide in Unterabschnitt 2.2.52.4 angegeben.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7.1.7.3.8</w:t>
      </w:r>
      <w:r w:rsidRPr="00D3287F">
        <w:rPr>
          <w:rFonts w:ascii="Times New Roman" w:hAnsi="Times New Roman" w:cs="Times New Roman"/>
          <w:iCs/>
          <w:sz w:val="20"/>
          <w:szCs w:val="20"/>
        </w:rPr>
        <w:tab/>
        <w:t>Die tatsächliche Beförderungstemperatur darf niedriger als die Kontrolltemperatur sein, muss aber so gewählt werden, dass eine gefährliche Phasentrennung vermieden wird.</w:t>
      </w:r>
    </w:p>
    <w:p w:rsidR="00F6352B" w:rsidRPr="00D3287F" w:rsidRDefault="00F6352B" w:rsidP="00F6352B">
      <w:pPr>
        <w:tabs>
          <w:tab w:val="left" w:pos="2268"/>
        </w:tabs>
        <w:spacing w:before="120" w:after="120"/>
        <w:ind w:left="1134" w:right="1134"/>
        <w:jc w:val="both"/>
        <w:rPr>
          <w:rFonts w:ascii="Times New Roman" w:hAnsi="Times New Roman" w:cs="Times New Roman"/>
          <w:b/>
          <w:iCs/>
          <w:sz w:val="20"/>
          <w:szCs w:val="20"/>
        </w:rPr>
      </w:pPr>
      <w:r w:rsidRPr="00D3287F">
        <w:rPr>
          <w:rFonts w:ascii="Times New Roman" w:hAnsi="Times New Roman" w:cs="Times New Roman"/>
          <w:b/>
          <w:iCs/>
          <w:sz w:val="20"/>
          <w:szCs w:val="20"/>
        </w:rPr>
        <w:t>7.1.7.4</w:t>
      </w:r>
      <w:r w:rsidRPr="00D3287F">
        <w:rPr>
          <w:rFonts w:ascii="Times New Roman" w:hAnsi="Times New Roman" w:cs="Times New Roman"/>
          <w:iCs/>
          <w:sz w:val="20"/>
          <w:szCs w:val="20"/>
        </w:rPr>
        <w:tab/>
      </w:r>
      <w:r w:rsidRPr="00D3287F">
        <w:rPr>
          <w:rFonts w:ascii="Times New Roman" w:hAnsi="Times New Roman" w:cs="Times New Roman"/>
          <w:b/>
          <w:iCs/>
          <w:sz w:val="20"/>
          <w:szCs w:val="20"/>
        </w:rPr>
        <w:t>Beförderung unter Temperaturkontrolle</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7.1.7.4.1</w:t>
      </w:r>
      <w:r w:rsidRPr="00D3287F">
        <w:rPr>
          <w:rFonts w:ascii="Times New Roman" w:hAnsi="Times New Roman" w:cs="Times New Roman"/>
          <w:iCs/>
          <w:sz w:val="20"/>
          <w:szCs w:val="20"/>
        </w:rPr>
        <w:tab/>
        <w:t>Die Aufrechterhaltung der vorgeschriebenen Temperatur ist von wesentlicher Bedeutung für die sichere Beförderung von Stoffen, die durch Temperaturkontrolle stabilisiert werden. Im Allgemeinen ist Folgendes erforderlich:</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a)</w:t>
      </w:r>
      <w:r w:rsidRPr="00D3287F">
        <w:rPr>
          <w:rFonts w:ascii="Times New Roman" w:hAnsi="Times New Roman" w:cs="Times New Roman"/>
          <w:iCs/>
          <w:sz w:val="20"/>
          <w:szCs w:val="20"/>
        </w:rPr>
        <w:tab/>
        <w:t>eine sorgfältige Inspektion der Güterbeförderungseinheit vor dem Beladen;</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b)</w:t>
      </w:r>
      <w:r w:rsidRPr="00D3287F">
        <w:rPr>
          <w:rFonts w:ascii="Times New Roman" w:hAnsi="Times New Roman" w:cs="Times New Roman"/>
          <w:iCs/>
          <w:sz w:val="20"/>
          <w:szCs w:val="20"/>
        </w:rPr>
        <w:tab/>
        <w:t>Hinweise für den Beförderer über den Betrieb des Kühlsystems</w:t>
      </w:r>
      <w:r w:rsidRPr="00D3287F">
        <w:rPr>
          <w:rFonts w:ascii="Times New Roman" w:hAnsi="Times New Roman" w:cs="Times New Roman"/>
          <w:sz w:val="20"/>
          <w:szCs w:val="20"/>
        </w:rPr>
        <w:t>, einschließlich einer Liste der an der Fahrstrecke gelegenen Kühlmittellieferanten</w:t>
      </w:r>
      <w:r w:rsidRPr="00D3287F">
        <w:rPr>
          <w:rFonts w:ascii="Times New Roman" w:hAnsi="Times New Roman" w:cs="Times New Roman"/>
          <w:iCs/>
          <w:sz w:val="20"/>
          <w:szCs w:val="20"/>
        </w:rPr>
        <w:t>;</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c)</w:t>
      </w:r>
      <w:r w:rsidRPr="00D3287F">
        <w:rPr>
          <w:rFonts w:ascii="Times New Roman" w:hAnsi="Times New Roman" w:cs="Times New Roman"/>
          <w:iCs/>
          <w:sz w:val="20"/>
          <w:szCs w:val="20"/>
        </w:rPr>
        <w:tab/>
        <w:t>Verfahren, die bei Ausfall der Temperaturkontrolle zu befolgen sind;</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d)</w:t>
      </w:r>
      <w:r w:rsidRPr="00D3287F">
        <w:rPr>
          <w:rFonts w:ascii="Times New Roman" w:hAnsi="Times New Roman" w:cs="Times New Roman"/>
          <w:iCs/>
          <w:sz w:val="20"/>
          <w:szCs w:val="20"/>
        </w:rPr>
        <w:tab/>
        <w:t>die regelmäßige Überwachung der Betriebstemperaturen und</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e)</w:t>
      </w:r>
      <w:r w:rsidRPr="00D3287F">
        <w:rPr>
          <w:rFonts w:ascii="Times New Roman" w:hAnsi="Times New Roman" w:cs="Times New Roman"/>
          <w:iCs/>
          <w:sz w:val="20"/>
          <w:szCs w:val="20"/>
        </w:rPr>
        <w:tab/>
        <w:t>die Verfügbarkeit eines Reservekühlsystems oder von Ersatzteilen.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7.1.7.4.2</w:t>
      </w:r>
      <w:r w:rsidRPr="00D3287F">
        <w:rPr>
          <w:rFonts w:ascii="Times New Roman" w:hAnsi="Times New Roman" w:cs="Times New Roman"/>
          <w:iCs/>
          <w:sz w:val="20"/>
          <w:szCs w:val="20"/>
        </w:rPr>
        <w:tab/>
        <w:t>Alle Kontrolleinrichtungen und Temperaturmesseinrichtungen des Kühlsystems müssen leicht zugänglich und alle elektrischen Verbindungen müssen witterungsbeständig sein. Die Lufttemperatur im Inneren der Güterbeförderungseinheit muss mit zwei voneinander unabhängigen Messfühlern gemessen werden und die Daten müssen so aufgezeichnet werden, dass jede Temperaturänderung leicht festgestellt werden kann. Die Temperatur muss alle vier bis sechs Stunden kontrolliert und aufgezeichnet werden. Wenn Stoffe mit einer Kontrolltemperatur von weniger als +25 °C befördert werden, muss die Güterbeförderungseinheit mit einem optischen und akustischen Alarm ausgerüstet sein, der unabhängig vom Kühlsystem mit Energie versorgt wird und bei oder unter der Kontrolltemperatur anspricht.</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lastRenderedPageBreak/>
        <w:t>7.1.7.4.3</w:t>
      </w:r>
      <w:r w:rsidRPr="00D3287F">
        <w:rPr>
          <w:rFonts w:ascii="Times New Roman" w:hAnsi="Times New Roman" w:cs="Times New Roman"/>
          <w:iCs/>
          <w:sz w:val="20"/>
          <w:szCs w:val="20"/>
        </w:rPr>
        <w:tab/>
        <w:t>Wenn während der Beförderung die Kontrolltemperatur überschritten wird, muss ein Alarmverfahren eingeleitet werden, das gegebenenfalls eine notwendige Reparatur der Kühlanlage oder eine Erhöhung der Kühlkapazität (z. B. durch Hinzufügen flüssiger oder fester Kühlmittel) umfasst. Außerdem muss die Temperatur häufig kontrolliert werden und es müssen Vorkehrungen für Notfallmaßnahmen getroffen werden. Wird die Notfalltemperatur erreicht, müssen die Notfallmaßnahmen eingeleitet werden.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7.1.7.4.4</w:t>
      </w:r>
      <w:r w:rsidRPr="00D3287F">
        <w:rPr>
          <w:rFonts w:ascii="Times New Roman" w:hAnsi="Times New Roman" w:cs="Times New Roman"/>
          <w:iCs/>
          <w:sz w:val="20"/>
          <w:szCs w:val="20"/>
        </w:rPr>
        <w:tab/>
        <w:t>Die Eignung einer bestimmten Temperaturkontrolleinrichtung für die Beförderung ist abhängig von verschiedenen Faktoren. Zu betrachtende Faktoren sind unter anderem:</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a)</w:t>
      </w:r>
      <w:r w:rsidRPr="00D3287F">
        <w:rPr>
          <w:rFonts w:ascii="Times New Roman" w:hAnsi="Times New Roman" w:cs="Times New Roman"/>
          <w:iCs/>
          <w:sz w:val="20"/>
          <w:szCs w:val="20"/>
        </w:rPr>
        <w:tab/>
        <w:t>die Kontrolltemperatur(en) des (der) zu befördernden Stoffes (Stoffe);</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b)</w:t>
      </w:r>
      <w:r w:rsidRPr="00D3287F">
        <w:rPr>
          <w:rFonts w:ascii="Times New Roman" w:hAnsi="Times New Roman" w:cs="Times New Roman"/>
          <w:iCs/>
          <w:sz w:val="20"/>
          <w:szCs w:val="20"/>
        </w:rPr>
        <w:tab/>
        <w:t>die Differenz zwischen der Kontrolltemperatur und den zu erwartenden Umgebungstemperaturbedingungen;</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c)</w:t>
      </w:r>
      <w:r w:rsidRPr="00D3287F">
        <w:rPr>
          <w:rFonts w:ascii="Times New Roman" w:hAnsi="Times New Roman" w:cs="Times New Roman"/>
          <w:iCs/>
          <w:sz w:val="20"/>
          <w:szCs w:val="20"/>
        </w:rPr>
        <w:tab/>
        <w:t>die Wirksamkeit der Wärmedämmung;</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iCs/>
          <w:sz w:val="20"/>
          <w:szCs w:val="20"/>
        </w:rPr>
      </w:pPr>
      <w:r w:rsidRPr="00D3287F">
        <w:rPr>
          <w:rFonts w:ascii="Times New Roman" w:hAnsi="Times New Roman" w:cs="Times New Roman"/>
          <w:iCs/>
          <w:sz w:val="20"/>
          <w:szCs w:val="20"/>
        </w:rPr>
        <w:t>d)</w:t>
      </w:r>
      <w:r w:rsidRPr="00D3287F">
        <w:rPr>
          <w:rFonts w:ascii="Times New Roman" w:hAnsi="Times New Roman" w:cs="Times New Roman"/>
          <w:iCs/>
          <w:sz w:val="20"/>
          <w:szCs w:val="20"/>
        </w:rPr>
        <w:tab/>
        <w:t>die Beförderungsdauer und</w:t>
      </w:r>
    </w:p>
    <w:p w:rsidR="00F6352B" w:rsidRPr="00D3287F" w:rsidRDefault="00F6352B" w:rsidP="00F6352B">
      <w:pPr>
        <w:tabs>
          <w:tab w:val="left" w:pos="1843"/>
          <w:tab w:val="left" w:pos="2268"/>
        </w:tabs>
        <w:spacing w:before="60" w:after="60"/>
        <w:ind w:left="1418" w:right="1134" w:hanging="284"/>
        <w:jc w:val="both"/>
        <w:rPr>
          <w:rFonts w:ascii="Times New Roman" w:hAnsi="Times New Roman" w:cs="Times New Roman"/>
          <w:bCs/>
          <w:iCs/>
          <w:sz w:val="20"/>
          <w:szCs w:val="20"/>
        </w:rPr>
      </w:pPr>
      <w:r w:rsidRPr="00D3287F">
        <w:rPr>
          <w:rFonts w:ascii="Times New Roman" w:hAnsi="Times New Roman" w:cs="Times New Roman"/>
          <w:iCs/>
          <w:sz w:val="20"/>
          <w:szCs w:val="20"/>
        </w:rPr>
        <w:t>e)</w:t>
      </w:r>
      <w:r w:rsidRPr="00D3287F">
        <w:rPr>
          <w:rFonts w:ascii="Times New Roman" w:hAnsi="Times New Roman" w:cs="Times New Roman"/>
          <w:iCs/>
          <w:sz w:val="20"/>
          <w:szCs w:val="20"/>
        </w:rPr>
        <w:tab/>
        <w:t>die Berücksichtigung einer Sicherheitsreserve für Verzögerungen</w:t>
      </w:r>
      <w:r w:rsidRPr="00D3287F">
        <w:rPr>
          <w:rFonts w:ascii="Times New Roman" w:hAnsi="Times New Roman" w:cs="Times New Roman"/>
          <w:bCs/>
          <w:iCs/>
          <w:sz w:val="20"/>
          <w:szCs w:val="20"/>
        </w:rPr>
        <w:t>.</w:t>
      </w:r>
    </w:p>
    <w:p w:rsidR="00F6352B" w:rsidRPr="00D3287F" w:rsidRDefault="00F6352B" w:rsidP="00F6352B">
      <w:pPr>
        <w:tabs>
          <w:tab w:val="left" w:pos="2268"/>
        </w:tabs>
        <w:spacing w:before="120" w:after="120"/>
        <w:ind w:left="1134" w:right="1134"/>
        <w:jc w:val="both"/>
        <w:rPr>
          <w:rFonts w:ascii="Times New Roman" w:hAnsi="Times New Roman" w:cs="Times New Roman"/>
          <w:bCs/>
          <w:iCs/>
          <w:sz w:val="20"/>
          <w:szCs w:val="20"/>
        </w:rPr>
      </w:pPr>
      <w:r w:rsidRPr="00D3287F">
        <w:rPr>
          <w:rFonts w:ascii="Times New Roman" w:hAnsi="Times New Roman" w:cs="Times New Roman"/>
          <w:bCs/>
          <w:iCs/>
          <w:sz w:val="20"/>
          <w:szCs w:val="20"/>
        </w:rPr>
        <w:t>7.1.7.4.5</w:t>
      </w:r>
      <w:r w:rsidRPr="00D3287F">
        <w:rPr>
          <w:rFonts w:ascii="Times New Roman" w:hAnsi="Times New Roman" w:cs="Times New Roman"/>
          <w:bCs/>
          <w:iCs/>
          <w:sz w:val="20"/>
          <w:szCs w:val="20"/>
        </w:rPr>
        <w:tab/>
        <w:t>Geeignete Methoden zur Vermeidung der Überschreitung der Kontrolltemperatur sind in der Reihenfolge zunehmender Wirksamkeit:</w:t>
      </w:r>
    </w:p>
    <w:p w:rsidR="00F6352B" w:rsidRPr="00D3287F" w:rsidRDefault="00F6352B" w:rsidP="00F6352B">
      <w:pPr>
        <w:spacing w:before="120" w:after="120"/>
        <w:ind w:left="1418" w:right="1134" w:hanging="284"/>
        <w:jc w:val="both"/>
        <w:rPr>
          <w:rFonts w:ascii="Times New Roman" w:hAnsi="Times New Roman" w:cs="Times New Roman"/>
          <w:bCs/>
          <w:iCs/>
          <w:sz w:val="20"/>
          <w:szCs w:val="20"/>
        </w:rPr>
      </w:pPr>
      <w:r w:rsidRPr="00D3287F">
        <w:rPr>
          <w:rFonts w:ascii="Times New Roman" w:hAnsi="Times New Roman" w:cs="Times New Roman"/>
          <w:iCs/>
          <w:sz w:val="20"/>
          <w:szCs w:val="20"/>
        </w:rPr>
        <w:t>a)</w:t>
      </w:r>
      <w:r w:rsidRPr="00D3287F">
        <w:rPr>
          <w:rFonts w:ascii="Times New Roman" w:hAnsi="Times New Roman" w:cs="Times New Roman"/>
          <w:iCs/>
          <w:sz w:val="20"/>
          <w:szCs w:val="20"/>
        </w:rPr>
        <w:tab/>
      </w:r>
      <w:r w:rsidRPr="00D3287F">
        <w:rPr>
          <w:rFonts w:ascii="Times New Roman" w:hAnsi="Times New Roman" w:cs="Times New Roman"/>
          <w:bCs/>
          <w:iCs/>
          <w:sz w:val="20"/>
          <w:szCs w:val="20"/>
        </w:rPr>
        <w:t>Wärmedämmung, vorausgesetzt, die Anfangstemperatur des (der) zu befördernden Stoffes (Stoffe) liegt in ausreichendem Maße unter der Kontrolltemperatur;</w:t>
      </w:r>
    </w:p>
    <w:p w:rsidR="00F6352B" w:rsidRPr="00D3287F" w:rsidRDefault="00F6352B" w:rsidP="00F6352B">
      <w:pPr>
        <w:spacing w:before="120" w:after="120"/>
        <w:ind w:left="1418" w:right="1134" w:hanging="284"/>
        <w:jc w:val="both"/>
        <w:rPr>
          <w:rFonts w:ascii="Times New Roman" w:hAnsi="Times New Roman" w:cs="Times New Roman"/>
          <w:bCs/>
          <w:iCs/>
          <w:sz w:val="20"/>
          <w:szCs w:val="20"/>
        </w:rPr>
      </w:pPr>
      <w:r w:rsidRPr="00D3287F">
        <w:rPr>
          <w:rFonts w:ascii="Times New Roman" w:hAnsi="Times New Roman" w:cs="Times New Roman"/>
          <w:bCs/>
          <w:iCs/>
          <w:sz w:val="20"/>
          <w:szCs w:val="20"/>
        </w:rPr>
        <w:t>b)</w:t>
      </w:r>
      <w:r w:rsidRPr="00D3287F">
        <w:rPr>
          <w:rFonts w:ascii="Times New Roman" w:hAnsi="Times New Roman" w:cs="Times New Roman"/>
          <w:bCs/>
          <w:iCs/>
          <w:sz w:val="20"/>
          <w:szCs w:val="20"/>
        </w:rPr>
        <w:tab/>
        <w:t>Wärmedämmung mit Kältespeicher, vorausgesetzt:</w:t>
      </w:r>
    </w:p>
    <w:p w:rsidR="00F6352B" w:rsidRPr="00D3287F" w:rsidRDefault="00F6352B" w:rsidP="00F6352B">
      <w:pPr>
        <w:tabs>
          <w:tab w:val="left" w:pos="1843"/>
          <w:tab w:val="left" w:pos="2268"/>
        </w:tabs>
        <w:spacing w:before="60" w:after="60"/>
        <w:ind w:left="1843" w:right="1134" w:hanging="425"/>
        <w:jc w:val="both"/>
        <w:rPr>
          <w:rFonts w:ascii="Times New Roman" w:hAnsi="Times New Roman" w:cs="Times New Roman"/>
          <w:iCs/>
          <w:sz w:val="20"/>
          <w:szCs w:val="20"/>
        </w:rPr>
      </w:pPr>
      <w:r w:rsidRPr="00D3287F">
        <w:rPr>
          <w:rFonts w:ascii="Times New Roman" w:hAnsi="Times New Roman" w:cs="Times New Roman"/>
          <w:iCs/>
          <w:sz w:val="20"/>
          <w:szCs w:val="20"/>
        </w:rPr>
        <w:t>(i)</w:t>
      </w:r>
      <w:r w:rsidRPr="00D3287F">
        <w:rPr>
          <w:rFonts w:ascii="Times New Roman" w:hAnsi="Times New Roman" w:cs="Times New Roman"/>
          <w:iCs/>
          <w:sz w:val="20"/>
          <w:szCs w:val="20"/>
        </w:rPr>
        <w:tab/>
        <w:t>eine ausreichende Menge nicht entzündbaren Kühlmittels (z. B. flüssiger Stickstoff oder Trockeneis) unter Berücksichtigung einer angemessenen Reserve für Verzögerungen wird mitgeführt oder eine Nachschubmöglichkeit ist sichergestellt;</w:t>
      </w:r>
    </w:p>
    <w:p w:rsidR="00F6352B" w:rsidRPr="00D3287F" w:rsidRDefault="00F6352B" w:rsidP="00F6352B">
      <w:pPr>
        <w:tabs>
          <w:tab w:val="left" w:pos="1843"/>
          <w:tab w:val="left" w:pos="2268"/>
        </w:tabs>
        <w:spacing w:before="60" w:after="60"/>
        <w:ind w:left="1843" w:right="1134" w:hanging="425"/>
        <w:jc w:val="both"/>
        <w:rPr>
          <w:rFonts w:ascii="Times New Roman" w:hAnsi="Times New Roman" w:cs="Times New Roman"/>
          <w:iCs/>
          <w:sz w:val="20"/>
          <w:szCs w:val="20"/>
        </w:rPr>
      </w:pPr>
      <w:r w:rsidRPr="00D3287F">
        <w:rPr>
          <w:rFonts w:ascii="Times New Roman" w:hAnsi="Times New Roman" w:cs="Times New Roman"/>
          <w:iCs/>
          <w:sz w:val="20"/>
          <w:szCs w:val="20"/>
        </w:rPr>
        <w:t>(ii)</w:t>
      </w:r>
      <w:r w:rsidRPr="00D3287F">
        <w:rPr>
          <w:rFonts w:ascii="Times New Roman" w:hAnsi="Times New Roman" w:cs="Times New Roman"/>
          <w:iCs/>
          <w:sz w:val="20"/>
          <w:szCs w:val="20"/>
        </w:rPr>
        <w:tab/>
        <w:t>als Kühlmittel wird weder flüssiger Sauerstoff noch flüssige Luft verwendet;</w:t>
      </w:r>
    </w:p>
    <w:p w:rsidR="00F6352B" w:rsidRPr="00D3287F" w:rsidRDefault="00F6352B" w:rsidP="00F6352B">
      <w:pPr>
        <w:tabs>
          <w:tab w:val="left" w:pos="1843"/>
          <w:tab w:val="left" w:pos="2268"/>
        </w:tabs>
        <w:spacing w:before="60" w:after="60"/>
        <w:ind w:left="1843" w:right="1134" w:hanging="425"/>
        <w:jc w:val="both"/>
        <w:rPr>
          <w:rFonts w:ascii="Times New Roman" w:hAnsi="Times New Roman" w:cs="Times New Roman"/>
          <w:iCs/>
          <w:sz w:val="20"/>
          <w:szCs w:val="20"/>
        </w:rPr>
      </w:pPr>
      <w:r w:rsidRPr="00D3287F">
        <w:rPr>
          <w:rFonts w:ascii="Times New Roman" w:hAnsi="Times New Roman" w:cs="Times New Roman"/>
          <w:iCs/>
          <w:sz w:val="20"/>
          <w:szCs w:val="20"/>
        </w:rPr>
        <w:t>(iii)</w:t>
      </w:r>
      <w:r w:rsidRPr="00D3287F">
        <w:rPr>
          <w:rFonts w:ascii="Times New Roman" w:hAnsi="Times New Roman" w:cs="Times New Roman"/>
          <w:iCs/>
          <w:sz w:val="20"/>
          <w:szCs w:val="20"/>
        </w:rPr>
        <w:tab/>
        <w:t>eine gleichbleibende Kühlwirkung ist auch dann gewährleistet, wenn der größte Teil des Kühlmittels verbraucht ist, und</w:t>
      </w:r>
    </w:p>
    <w:p w:rsidR="00F6352B" w:rsidRPr="00D3287F" w:rsidRDefault="00F6352B" w:rsidP="00F6352B">
      <w:pPr>
        <w:tabs>
          <w:tab w:val="left" w:pos="1843"/>
          <w:tab w:val="left" w:pos="2268"/>
        </w:tabs>
        <w:spacing w:before="60" w:after="60"/>
        <w:ind w:left="1843" w:right="1134" w:hanging="425"/>
        <w:jc w:val="both"/>
        <w:rPr>
          <w:rFonts w:ascii="Times New Roman" w:hAnsi="Times New Roman" w:cs="Times New Roman"/>
          <w:bCs/>
          <w:iCs/>
          <w:sz w:val="20"/>
          <w:szCs w:val="20"/>
        </w:rPr>
      </w:pPr>
      <w:r w:rsidRPr="00D3287F">
        <w:rPr>
          <w:rFonts w:ascii="Times New Roman" w:hAnsi="Times New Roman" w:cs="Times New Roman"/>
          <w:bCs/>
          <w:iCs/>
          <w:sz w:val="20"/>
          <w:szCs w:val="20"/>
        </w:rPr>
        <w:t>(iv)</w:t>
      </w:r>
      <w:r w:rsidRPr="00D3287F">
        <w:rPr>
          <w:rFonts w:ascii="Times New Roman" w:hAnsi="Times New Roman" w:cs="Times New Roman"/>
          <w:bCs/>
          <w:iCs/>
          <w:sz w:val="20"/>
          <w:szCs w:val="20"/>
        </w:rPr>
        <w:tab/>
        <w:t>auf der Tür (den Türen) der Beförderungseinheit befindet sich ein deutlich sichtbarer Warnhinweis, dass die Beförderungseinheit vor dem Betreten belüftet werden muss;</w:t>
      </w:r>
    </w:p>
    <w:p w:rsidR="00F6352B" w:rsidRPr="00D3287F" w:rsidRDefault="00F6352B" w:rsidP="00F6352B">
      <w:pPr>
        <w:tabs>
          <w:tab w:val="left" w:pos="1843"/>
          <w:tab w:val="left" w:pos="2268"/>
        </w:tabs>
        <w:spacing w:before="120" w:after="120"/>
        <w:ind w:left="1418" w:right="1134" w:hanging="284"/>
        <w:jc w:val="both"/>
        <w:rPr>
          <w:rFonts w:ascii="Times New Roman" w:hAnsi="Times New Roman" w:cs="Times New Roman"/>
          <w:bCs/>
          <w:iCs/>
          <w:sz w:val="20"/>
          <w:szCs w:val="20"/>
        </w:rPr>
      </w:pPr>
      <w:r w:rsidRPr="00D3287F">
        <w:rPr>
          <w:rFonts w:ascii="Times New Roman" w:hAnsi="Times New Roman" w:cs="Times New Roman"/>
          <w:iCs/>
          <w:sz w:val="20"/>
          <w:szCs w:val="20"/>
        </w:rPr>
        <w:t>c)</w:t>
      </w:r>
      <w:r w:rsidRPr="00D3287F">
        <w:rPr>
          <w:rFonts w:ascii="Times New Roman" w:hAnsi="Times New Roman" w:cs="Times New Roman"/>
          <w:iCs/>
          <w:sz w:val="20"/>
          <w:szCs w:val="20"/>
        </w:rPr>
        <w:tab/>
      </w:r>
      <w:r w:rsidRPr="00D3287F">
        <w:rPr>
          <w:rFonts w:ascii="Times New Roman" w:hAnsi="Times New Roman" w:cs="Times New Roman"/>
          <w:bCs/>
          <w:iCs/>
          <w:sz w:val="20"/>
          <w:szCs w:val="20"/>
        </w:rPr>
        <w:t>Wärmedämmung und eine einzelne Kühlmaschine, vorausgesetzt, für zu befördernde Stoffe mit einem Flammpunkt, der niedriger ist als die um 5 °C erhöhte Notfalltemperatur, wird innerhalb des Kühlraums eine explo</w:t>
      </w:r>
      <w:r w:rsidRPr="00D3287F">
        <w:rPr>
          <w:rFonts w:ascii="Times New Roman" w:hAnsi="Times New Roman" w:cs="Times New Roman"/>
          <w:bCs/>
          <w:iCs/>
          <w:sz w:val="20"/>
          <w:szCs w:val="20"/>
        </w:rPr>
        <w:softHyphen/>
        <w:t>sionsgeschützte elektrische Ausrüstung EEx IIB T3 verwendet, um die Entzündung der von den Stoffen freigesetzten entzündbaren Dämpfe zu vermeiden;</w:t>
      </w:r>
    </w:p>
    <w:p w:rsidR="00021F97" w:rsidRDefault="00021F97">
      <w:pPr>
        <w:rPr>
          <w:rFonts w:ascii="Times New Roman" w:hAnsi="Times New Roman" w:cs="Times New Roman"/>
          <w:bCs/>
          <w:iCs/>
          <w:sz w:val="20"/>
          <w:szCs w:val="20"/>
        </w:rPr>
      </w:pPr>
      <w:r>
        <w:rPr>
          <w:rFonts w:ascii="Times New Roman" w:hAnsi="Times New Roman" w:cs="Times New Roman"/>
          <w:bCs/>
          <w:iCs/>
          <w:sz w:val="20"/>
          <w:szCs w:val="20"/>
        </w:rPr>
        <w:br w:type="page"/>
      </w:r>
    </w:p>
    <w:p w:rsidR="00F6352B" w:rsidRPr="00D3287F" w:rsidRDefault="00F6352B" w:rsidP="00F6352B">
      <w:pPr>
        <w:tabs>
          <w:tab w:val="left" w:pos="1843"/>
          <w:tab w:val="left" w:pos="2268"/>
        </w:tabs>
        <w:spacing w:before="120" w:after="120"/>
        <w:ind w:left="1418" w:right="1134" w:hanging="284"/>
        <w:jc w:val="both"/>
        <w:rPr>
          <w:rFonts w:ascii="Times New Roman" w:hAnsi="Times New Roman" w:cs="Times New Roman"/>
          <w:bCs/>
          <w:iCs/>
          <w:sz w:val="20"/>
          <w:szCs w:val="20"/>
        </w:rPr>
      </w:pPr>
      <w:r w:rsidRPr="00D3287F">
        <w:rPr>
          <w:rFonts w:ascii="Times New Roman" w:hAnsi="Times New Roman" w:cs="Times New Roman"/>
          <w:bCs/>
          <w:iCs/>
          <w:sz w:val="20"/>
          <w:szCs w:val="20"/>
        </w:rPr>
        <w:lastRenderedPageBreak/>
        <w:t>d)</w:t>
      </w:r>
      <w:r w:rsidRPr="00D3287F">
        <w:rPr>
          <w:rFonts w:ascii="Times New Roman" w:hAnsi="Times New Roman" w:cs="Times New Roman"/>
          <w:bCs/>
          <w:iCs/>
          <w:sz w:val="20"/>
          <w:szCs w:val="20"/>
        </w:rPr>
        <w:tab/>
        <w:t>Wärmedämmung und eine Kombination aus einer Kältemaschine und einem Kältespeicher, vorausgesetzt,</w:t>
      </w:r>
    </w:p>
    <w:p w:rsidR="00F6352B" w:rsidRPr="00D3287F" w:rsidRDefault="00F6352B" w:rsidP="00F6352B">
      <w:pPr>
        <w:tabs>
          <w:tab w:val="left" w:pos="1843"/>
          <w:tab w:val="left" w:pos="2268"/>
        </w:tabs>
        <w:spacing w:before="120" w:after="120"/>
        <w:ind w:left="1843" w:right="1134" w:hanging="425"/>
        <w:jc w:val="both"/>
        <w:rPr>
          <w:rFonts w:ascii="Times New Roman" w:hAnsi="Times New Roman" w:cs="Times New Roman"/>
          <w:iCs/>
          <w:sz w:val="20"/>
          <w:szCs w:val="20"/>
        </w:rPr>
      </w:pPr>
      <w:r w:rsidRPr="00D3287F">
        <w:rPr>
          <w:rFonts w:ascii="Times New Roman" w:hAnsi="Times New Roman" w:cs="Times New Roman"/>
          <w:iCs/>
          <w:sz w:val="20"/>
          <w:szCs w:val="20"/>
        </w:rPr>
        <w:t>(i)</w:t>
      </w:r>
      <w:r w:rsidRPr="00D3287F">
        <w:rPr>
          <w:rFonts w:ascii="Times New Roman" w:hAnsi="Times New Roman" w:cs="Times New Roman"/>
          <w:iCs/>
          <w:sz w:val="20"/>
          <w:szCs w:val="20"/>
        </w:rPr>
        <w:tab/>
        <w:t>die beiden Systeme sind voneinander unabhängig und</w:t>
      </w:r>
    </w:p>
    <w:p w:rsidR="00F6352B" w:rsidRPr="00D3287F" w:rsidRDefault="00F6352B" w:rsidP="00F6352B">
      <w:pPr>
        <w:tabs>
          <w:tab w:val="left" w:pos="1843"/>
          <w:tab w:val="left" w:pos="2268"/>
        </w:tabs>
        <w:spacing w:before="120" w:after="120"/>
        <w:ind w:left="1843" w:right="1134" w:hanging="425"/>
        <w:jc w:val="both"/>
        <w:rPr>
          <w:rFonts w:ascii="Times New Roman" w:hAnsi="Times New Roman" w:cs="Times New Roman"/>
          <w:bCs/>
          <w:iCs/>
          <w:sz w:val="20"/>
          <w:szCs w:val="20"/>
        </w:rPr>
      </w:pPr>
      <w:r w:rsidRPr="00D3287F">
        <w:rPr>
          <w:rFonts w:ascii="Times New Roman" w:hAnsi="Times New Roman" w:cs="Times New Roman"/>
          <w:bCs/>
          <w:iCs/>
          <w:sz w:val="20"/>
          <w:szCs w:val="20"/>
        </w:rPr>
        <w:t>(ii)</w:t>
      </w:r>
      <w:r w:rsidRPr="00D3287F">
        <w:rPr>
          <w:rFonts w:ascii="Times New Roman" w:hAnsi="Times New Roman" w:cs="Times New Roman"/>
          <w:bCs/>
          <w:iCs/>
          <w:sz w:val="20"/>
          <w:szCs w:val="20"/>
        </w:rPr>
        <w:tab/>
        <w:t>die Vorschriften der Absätze b) und c) sind erfüllt;</w:t>
      </w:r>
    </w:p>
    <w:p w:rsidR="00F6352B" w:rsidRPr="00D3287F" w:rsidRDefault="00F6352B" w:rsidP="00F6352B">
      <w:pPr>
        <w:tabs>
          <w:tab w:val="left" w:pos="1843"/>
          <w:tab w:val="left" w:pos="2268"/>
        </w:tabs>
        <w:spacing w:before="120" w:after="120"/>
        <w:ind w:left="1418" w:right="1134" w:hanging="284"/>
        <w:jc w:val="both"/>
        <w:rPr>
          <w:rFonts w:ascii="Times New Roman" w:hAnsi="Times New Roman" w:cs="Times New Roman"/>
          <w:bCs/>
          <w:iCs/>
          <w:sz w:val="20"/>
          <w:szCs w:val="20"/>
        </w:rPr>
      </w:pPr>
      <w:r w:rsidRPr="00D3287F">
        <w:rPr>
          <w:rFonts w:ascii="Times New Roman" w:hAnsi="Times New Roman" w:cs="Times New Roman"/>
          <w:bCs/>
          <w:iCs/>
          <w:sz w:val="20"/>
          <w:szCs w:val="20"/>
        </w:rPr>
        <w:t>e)</w:t>
      </w:r>
      <w:r w:rsidRPr="00D3287F">
        <w:rPr>
          <w:rFonts w:ascii="Times New Roman" w:hAnsi="Times New Roman" w:cs="Times New Roman"/>
          <w:bCs/>
          <w:iCs/>
          <w:sz w:val="20"/>
          <w:szCs w:val="20"/>
        </w:rPr>
        <w:tab/>
        <w:t>Wärmedämmung und doppelt vorhandene Kältemaschinen, vorausgesetzt,</w:t>
      </w:r>
    </w:p>
    <w:p w:rsidR="00F6352B" w:rsidRPr="00D3287F" w:rsidRDefault="00F6352B" w:rsidP="00F6352B">
      <w:pPr>
        <w:tabs>
          <w:tab w:val="left" w:pos="1843"/>
          <w:tab w:val="left" w:pos="2268"/>
        </w:tabs>
        <w:spacing w:before="120" w:after="120"/>
        <w:ind w:left="1843" w:right="1134" w:hanging="425"/>
        <w:jc w:val="both"/>
        <w:rPr>
          <w:rFonts w:ascii="Times New Roman" w:hAnsi="Times New Roman" w:cs="Times New Roman"/>
          <w:iCs/>
          <w:sz w:val="20"/>
          <w:szCs w:val="20"/>
        </w:rPr>
      </w:pPr>
      <w:r w:rsidRPr="00D3287F">
        <w:rPr>
          <w:rFonts w:ascii="Times New Roman" w:hAnsi="Times New Roman" w:cs="Times New Roman"/>
          <w:bCs/>
          <w:iCs/>
          <w:sz w:val="20"/>
          <w:szCs w:val="20"/>
        </w:rPr>
        <w:t>(</w:t>
      </w:r>
      <w:r w:rsidRPr="00D3287F">
        <w:rPr>
          <w:rFonts w:ascii="Times New Roman" w:hAnsi="Times New Roman" w:cs="Times New Roman"/>
          <w:iCs/>
          <w:sz w:val="20"/>
          <w:szCs w:val="20"/>
        </w:rPr>
        <w:t>i)</w:t>
      </w:r>
      <w:r w:rsidRPr="00D3287F">
        <w:rPr>
          <w:rFonts w:ascii="Times New Roman" w:hAnsi="Times New Roman" w:cs="Times New Roman"/>
          <w:iCs/>
          <w:sz w:val="20"/>
          <w:szCs w:val="20"/>
        </w:rPr>
        <w:tab/>
        <w:t>beide Systeme sind, abgesehen von der gemeinsamen Stromversorgung, voneinander unabhängig;</w:t>
      </w:r>
    </w:p>
    <w:p w:rsidR="00F6352B" w:rsidRPr="00D3287F" w:rsidRDefault="00F6352B" w:rsidP="00F6352B">
      <w:pPr>
        <w:tabs>
          <w:tab w:val="left" w:pos="1843"/>
          <w:tab w:val="left" w:pos="2268"/>
        </w:tabs>
        <w:spacing w:before="120" w:after="120"/>
        <w:ind w:left="1843" w:right="1134" w:hanging="425"/>
        <w:jc w:val="both"/>
        <w:rPr>
          <w:rFonts w:ascii="Times New Roman" w:hAnsi="Times New Roman" w:cs="Times New Roman"/>
          <w:iCs/>
          <w:sz w:val="20"/>
          <w:szCs w:val="20"/>
        </w:rPr>
      </w:pPr>
      <w:r w:rsidRPr="00D3287F">
        <w:rPr>
          <w:rFonts w:ascii="Times New Roman" w:hAnsi="Times New Roman" w:cs="Times New Roman"/>
          <w:iCs/>
          <w:sz w:val="20"/>
          <w:szCs w:val="20"/>
        </w:rPr>
        <w:t>(ii)</w:t>
      </w:r>
      <w:r w:rsidRPr="00D3287F">
        <w:rPr>
          <w:rFonts w:ascii="Times New Roman" w:hAnsi="Times New Roman" w:cs="Times New Roman"/>
          <w:iCs/>
          <w:sz w:val="20"/>
          <w:szCs w:val="20"/>
        </w:rPr>
        <w:tab/>
        <w:t>jedes System kann allein eine ausreichende Temperaturkontrolle aufrechterhalten und</w:t>
      </w:r>
    </w:p>
    <w:p w:rsidR="00F6352B" w:rsidRPr="00D3287F" w:rsidRDefault="00F6352B" w:rsidP="00F6352B">
      <w:pPr>
        <w:tabs>
          <w:tab w:val="left" w:pos="1843"/>
          <w:tab w:val="left" w:pos="2268"/>
        </w:tabs>
        <w:spacing w:before="120" w:after="120"/>
        <w:ind w:left="1843" w:right="1134" w:hanging="425"/>
        <w:jc w:val="both"/>
        <w:rPr>
          <w:rFonts w:ascii="Times New Roman" w:hAnsi="Times New Roman" w:cs="Times New Roman"/>
          <w:iCs/>
          <w:sz w:val="20"/>
          <w:szCs w:val="20"/>
        </w:rPr>
      </w:pPr>
      <w:r w:rsidRPr="00D3287F">
        <w:rPr>
          <w:rFonts w:ascii="Times New Roman" w:hAnsi="Times New Roman" w:cs="Times New Roman"/>
          <w:iCs/>
          <w:sz w:val="20"/>
          <w:szCs w:val="20"/>
        </w:rPr>
        <w:t>(iii)</w:t>
      </w:r>
      <w:r w:rsidRPr="00D3287F">
        <w:rPr>
          <w:rFonts w:ascii="Times New Roman" w:hAnsi="Times New Roman" w:cs="Times New Roman"/>
          <w:iCs/>
          <w:sz w:val="20"/>
          <w:szCs w:val="20"/>
        </w:rPr>
        <w:tab/>
        <w:t>für zu befördernde Stoffe mit einem Flammpunkt, der niedriger ist als die um 5 °C erhöhte Notfalltemperatur, wird innerhalb des Kühlraums eine explosionsgeschützte elektrische Ausrüstung EEx IIB T3 verwendet, um die Entzündung der von den Stoffen freigesetzten entzündbaren Dämpfe zu vermeiden.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7.1.7.4.6</w:t>
      </w:r>
      <w:r w:rsidRPr="00D3287F">
        <w:rPr>
          <w:rFonts w:ascii="Times New Roman" w:hAnsi="Times New Roman" w:cs="Times New Roman"/>
          <w:iCs/>
          <w:sz w:val="20"/>
          <w:szCs w:val="20"/>
        </w:rPr>
        <w:tab/>
        <w:t>Die in Absatz 7.1.7.4.5 d) und e) beschriebenen Methoden dürfen für alle organischen Peroxide, selbstzersetzlichen Stoffe und polymerisierenden Stoffe angewendet werden.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ab/>
        <w:t>Die in Absatz 7.1.7.4.5 c) beschriebene Methode darf für organische Peroxide und selbstzersetzliche Stoffe der Typen C, D, E und F und, wenn die zu erwartende höchste Umgebungstemperatur während der Beförderung die Kontrolltemperatur um nicht mehr als 10 °C übersteigt, für organische Peroxide und selbstzersetzliche Stoffe des Typs B sowie für polymerisierende Stoffe angewendet werden.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ab/>
        <w:t>Die in Absatz 7.1.7.4.5 b) beschriebene Methode darf für organische Peroxide und selbstzersetzliche Stoffe der Typen C, D, E und F sowie für polymerisierende Stoffe angewendet werden, wenn die während der Beförderung zu erwartende höchste Umgebungstemperatur die Kontrolltemperatur um nicht mehr als 30 °C übersteigt.</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ab/>
        <w:t>Die in Absatz 7.1.7.4.5 a) beschriebene Methode darf für organische Peroxide und selbstzersetzliche Stoffe der Typen C, D, E und F sowie für polymerisierende Stoffe angewendet werden, wenn die zu während der Beförderung zu erwartende höchste Umgebungstemperatur mindestens 10 °C niedriger ist als die Kontrolltemperatur.</w:t>
      </w:r>
    </w:p>
    <w:p w:rsidR="00F6352B" w:rsidRPr="00D3287F" w:rsidRDefault="00F6352B" w:rsidP="00F6352B">
      <w:pPr>
        <w:tabs>
          <w:tab w:val="left" w:pos="2268"/>
        </w:tabs>
        <w:spacing w:before="120" w:after="120"/>
        <w:ind w:left="1134" w:right="1134"/>
        <w:jc w:val="both"/>
        <w:rPr>
          <w:rFonts w:ascii="Times New Roman" w:hAnsi="Times New Roman" w:cs="Times New Roman"/>
          <w:sz w:val="20"/>
          <w:szCs w:val="20"/>
        </w:rPr>
      </w:pPr>
      <w:r w:rsidRPr="00D3287F">
        <w:rPr>
          <w:rFonts w:ascii="Times New Roman" w:hAnsi="Times New Roman" w:cs="Times New Roman"/>
          <w:iCs/>
          <w:sz w:val="20"/>
          <w:szCs w:val="20"/>
        </w:rPr>
        <w:t>7.1.7.4.7</w:t>
      </w:r>
      <w:r w:rsidRPr="00D3287F">
        <w:rPr>
          <w:rFonts w:ascii="Times New Roman" w:hAnsi="Times New Roman" w:cs="Times New Roman"/>
          <w:iCs/>
          <w:sz w:val="20"/>
          <w:szCs w:val="20"/>
        </w:rPr>
        <w:tab/>
      </w:r>
      <w:r w:rsidRPr="00D3287F">
        <w:rPr>
          <w:rFonts w:ascii="Times New Roman" w:hAnsi="Times New Roman" w:cs="Times New Roman"/>
          <w:sz w:val="20"/>
          <w:szCs w:val="20"/>
        </w:rPr>
        <w:t xml:space="preserve">Wenn die Stoffe in Fahrzeugen oder Containern mit Wärmedämmung, Kältespeicher oder Kälte-/Kühlmaschine befördert werden müssen, müssen diese Fahrzeuge oder Container den Vorschriften des Kapitels 9.6 </w:t>
      </w:r>
      <w:r w:rsidR="001833D6" w:rsidRPr="00D3287F">
        <w:rPr>
          <w:rFonts w:ascii="Times New Roman" w:hAnsi="Times New Roman" w:cs="Times New Roman"/>
          <w:sz w:val="20"/>
          <w:szCs w:val="20"/>
        </w:rPr>
        <w:t xml:space="preserve">des </w:t>
      </w:r>
      <w:r w:rsidRPr="00D3287F">
        <w:rPr>
          <w:rFonts w:ascii="Times New Roman" w:hAnsi="Times New Roman" w:cs="Times New Roman"/>
          <w:sz w:val="20"/>
          <w:szCs w:val="20"/>
        </w:rPr>
        <w:t>ADR entsprechen.</w:t>
      </w:r>
    </w:p>
    <w:p w:rsidR="00F6352B" w:rsidRPr="00D3287F" w:rsidRDefault="00F6352B" w:rsidP="00F6352B">
      <w:pPr>
        <w:tabs>
          <w:tab w:val="left" w:pos="2268"/>
        </w:tabs>
        <w:spacing w:before="120" w:after="120"/>
        <w:ind w:left="1134" w:right="1134"/>
        <w:jc w:val="both"/>
        <w:rPr>
          <w:rFonts w:ascii="Times New Roman" w:hAnsi="Times New Roman" w:cs="Times New Roman"/>
          <w:iCs/>
          <w:sz w:val="20"/>
          <w:szCs w:val="20"/>
        </w:rPr>
      </w:pPr>
      <w:r w:rsidRPr="00D3287F">
        <w:rPr>
          <w:rFonts w:ascii="Times New Roman" w:hAnsi="Times New Roman" w:cs="Times New Roman"/>
          <w:iCs/>
          <w:sz w:val="20"/>
          <w:szCs w:val="20"/>
        </w:rPr>
        <w:t>7.1.7.4.8</w:t>
      </w:r>
      <w:r w:rsidRPr="00D3287F">
        <w:rPr>
          <w:rFonts w:ascii="Times New Roman" w:hAnsi="Times New Roman" w:cs="Times New Roman"/>
          <w:iCs/>
          <w:sz w:val="20"/>
          <w:szCs w:val="20"/>
        </w:rPr>
        <w:tab/>
      </w:r>
      <w:r w:rsidRPr="00D3287F">
        <w:rPr>
          <w:rFonts w:ascii="Times New Roman" w:hAnsi="Times New Roman" w:cs="Times New Roman"/>
          <w:snapToGrid w:val="0"/>
          <w:sz w:val="20"/>
          <w:szCs w:val="20"/>
        </w:rPr>
        <w:t>Wenn die Stoffe in mit Kühlmitteln befüllten Schutzverpackungen enthalten sind, sind sie in gedeckte oder bedeckte Fahrzeuge oder in geschlossene oder bedeckte Container zu verladen. Bei Verwendung von gedeckten Fahrzeugen oder geschlossenen Containern muss eine ausreichende Belüftung sichergestellt sein. Bedeckte Fahrzeuge und Container müssen mit Seitenwänden und einer Rückwand versehen sein. Die Plane dieser Fahrzeuge und Container muss aus einem undurchlässigen und nicht brennbaren Werkstoff bestehen.“.</w:t>
      </w:r>
    </w:p>
    <w:p w:rsidR="009E2B78" w:rsidRPr="00D3287F" w:rsidRDefault="009E2B78" w:rsidP="009E2B78">
      <w:pPr>
        <w:suppressAutoHyphens/>
        <w:spacing w:after="120" w:line="240" w:lineRule="atLeast"/>
        <w:ind w:left="1134" w:right="1134"/>
        <w:jc w:val="both"/>
        <w:rPr>
          <w:rFonts w:ascii="Times New Roman" w:hAnsi="Times New Roman" w:cs="Times New Roman"/>
          <w:bCs/>
          <w:sz w:val="20"/>
          <w:szCs w:val="20"/>
          <w:lang w:eastAsia="en-US"/>
        </w:rPr>
      </w:pPr>
      <w:r w:rsidRPr="00D3287F">
        <w:rPr>
          <w:rFonts w:ascii="Times New Roman" w:hAnsi="Times New Roman" w:cs="Times New Roman"/>
          <w:i/>
          <w:iCs/>
          <w:sz w:val="20"/>
          <w:szCs w:val="20"/>
          <w:lang w:eastAsia="en-US"/>
        </w:rPr>
        <w:t>(</w:t>
      </w:r>
      <w:r w:rsidR="00651FD7" w:rsidRPr="00D3287F">
        <w:rPr>
          <w:rFonts w:ascii="Times New Roman" w:hAnsi="Times New Roman" w:cs="Times New Roman"/>
          <w:i/>
          <w:iCs/>
          <w:sz w:val="20"/>
          <w:szCs w:val="20"/>
          <w:lang w:eastAsia="en-US"/>
        </w:rPr>
        <w:t>Referenzdokument</w:t>
      </w:r>
      <w:r w:rsidRPr="00D3287F">
        <w:rPr>
          <w:rFonts w:ascii="Times New Roman" w:hAnsi="Times New Roman" w:cs="Times New Roman"/>
          <w:i/>
          <w:iCs/>
          <w:sz w:val="20"/>
          <w:szCs w:val="20"/>
          <w:lang w:eastAsia="en-US"/>
        </w:rPr>
        <w:t>: ECE/TRANS/WP.15/AC.2/2018/</w:t>
      </w:r>
      <w:r w:rsidR="00370728" w:rsidRPr="00D3287F">
        <w:rPr>
          <w:rFonts w:ascii="Times New Roman" w:hAnsi="Times New Roman" w:cs="Times New Roman"/>
          <w:i/>
          <w:iCs/>
          <w:sz w:val="20"/>
          <w:szCs w:val="20"/>
          <w:lang w:eastAsia="en-US"/>
        </w:rPr>
        <w:t>1</w:t>
      </w:r>
      <w:r w:rsidRPr="00D3287F">
        <w:rPr>
          <w:rFonts w:ascii="Times New Roman" w:hAnsi="Times New Roman" w:cs="Times New Roman"/>
          <w:i/>
          <w:iCs/>
          <w:sz w:val="20"/>
          <w:szCs w:val="20"/>
          <w:lang w:eastAsia="en-US"/>
        </w:rPr>
        <w:t xml:space="preserve"> </w:t>
      </w:r>
      <w:r w:rsidR="00651FD7" w:rsidRPr="00D3287F">
        <w:rPr>
          <w:rFonts w:ascii="Times New Roman" w:hAnsi="Times New Roman" w:cs="Times New Roman"/>
          <w:i/>
          <w:iCs/>
          <w:sz w:val="20"/>
          <w:szCs w:val="20"/>
          <w:lang w:eastAsia="en-US"/>
        </w:rPr>
        <w:t>wie durch</w:t>
      </w:r>
      <w:r w:rsidRPr="00D3287F">
        <w:rPr>
          <w:rFonts w:ascii="Times New Roman" w:hAnsi="Times New Roman" w:cs="Times New Roman"/>
          <w:i/>
          <w:iCs/>
          <w:sz w:val="20"/>
          <w:szCs w:val="20"/>
          <w:lang w:eastAsia="en-US"/>
        </w:rPr>
        <w:t xml:space="preserve"> ECE/TRANS/WP.15/240</w:t>
      </w:r>
      <w:r w:rsidR="00651FD7" w:rsidRPr="00D3287F">
        <w:rPr>
          <w:rFonts w:ascii="Times New Roman" w:hAnsi="Times New Roman" w:cs="Times New Roman"/>
          <w:i/>
          <w:iCs/>
          <w:sz w:val="20"/>
          <w:szCs w:val="20"/>
          <w:lang w:eastAsia="en-US"/>
        </w:rPr>
        <w:t xml:space="preserve"> geändert</w:t>
      </w:r>
      <w:r w:rsidRPr="00D3287F">
        <w:rPr>
          <w:rFonts w:ascii="Times New Roman" w:hAnsi="Times New Roman" w:cs="Times New Roman"/>
          <w:i/>
          <w:iCs/>
          <w:sz w:val="20"/>
          <w:szCs w:val="20"/>
          <w:lang w:eastAsia="en-US"/>
        </w:rPr>
        <w:t>)</w:t>
      </w:r>
    </w:p>
    <w:p w:rsidR="00651FD7" w:rsidRPr="00651FD7" w:rsidRDefault="009E2B78" w:rsidP="00651FD7">
      <w:pPr>
        <w:suppressAutoHyphens/>
        <w:spacing w:before="240" w:line="240" w:lineRule="atLeast"/>
        <w:ind w:left="1134" w:right="1134"/>
        <w:jc w:val="center"/>
        <w:rPr>
          <w:rFonts w:ascii="Times New Roman" w:hAnsi="Times New Roman" w:cs="Times New Roman"/>
          <w:sz w:val="20"/>
          <w:szCs w:val="20"/>
          <w:lang w:eastAsia="en-US"/>
        </w:rPr>
      </w:pPr>
      <w:r w:rsidRPr="00D3287F">
        <w:rPr>
          <w:rFonts w:ascii="Times New Roman" w:hAnsi="Times New Roman" w:cs="Times New Roman"/>
          <w:sz w:val="20"/>
          <w:szCs w:val="20"/>
          <w:lang w:eastAsia="en-US"/>
        </w:rPr>
        <w:tab/>
      </w:r>
      <w:r w:rsidR="00651FD7" w:rsidRPr="00D3287F">
        <w:rPr>
          <w:rFonts w:ascii="Times New Roman" w:hAnsi="Times New Roman" w:cs="Times New Roman"/>
          <w:sz w:val="20"/>
          <w:szCs w:val="20"/>
          <w:lang w:eastAsia="en-US"/>
        </w:rPr>
        <w:t>***</w:t>
      </w:r>
    </w:p>
    <w:sectPr w:rsidR="00651FD7" w:rsidRPr="00651FD7" w:rsidSect="009F3F20">
      <w:headerReference w:type="even" r:id="rId9"/>
      <w:headerReference w:type="default" r:id="rId10"/>
      <w:footerReference w:type="even" r:id="rId11"/>
      <w:footerReference w:type="default" r:id="rId12"/>
      <w:pgSz w:w="11907" w:h="16840" w:code="9"/>
      <w:pgMar w:top="1418" w:right="1418" w:bottom="1418" w:left="1418"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E62" w:rsidRDefault="00E10E62">
      <w:r>
        <w:separator/>
      </w:r>
    </w:p>
  </w:endnote>
  <w:endnote w:type="continuationSeparator" w:id="0">
    <w:p w:rsidR="00E10E62" w:rsidRDefault="00E1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4D2CB1" w:rsidRDefault="0059123A" w:rsidP="004D2CB1">
    <w:pPr>
      <w:pStyle w:val="Header"/>
      <w:tabs>
        <w:tab w:val="right" w:pos="3856"/>
        <w:tab w:val="left" w:pos="5387"/>
      </w:tabs>
      <w:jc w:val="right"/>
      <w:rPr>
        <w:sz w:val="12"/>
        <w:szCs w:val="12"/>
      </w:rPr>
    </w:pPr>
    <w:r w:rsidRPr="004D2CB1">
      <w:rPr>
        <w:sz w:val="12"/>
        <w:szCs w:val="12"/>
      </w:rPr>
      <w:t>mm/adn/wp15ac2/</w:t>
    </w:r>
    <w:r w:rsidR="001132DA" w:rsidRPr="004D2CB1">
      <w:rPr>
        <w:sz w:val="12"/>
        <w:szCs w:val="12"/>
      </w:rPr>
      <w:t>2</w:t>
    </w:r>
    <w:r w:rsidR="00B52421" w:rsidRPr="004D2CB1">
      <w:rPr>
        <w:sz w:val="12"/>
        <w:szCs w:val="12"/>
      </w:rPr>
      <w:t>01</w:t>
    </w:r>
    <w:r w:rsidR="003A3A3A">
      <w:rPr>
        <w:sz w:val="12"/>
        <w:szCs w:val="12"/>
      </w:rPr>
      <w:t>8</w:t>
    </w:r>
    <w:r w:rsidR="001132DA" w:rsidRPr="004D2CB1">
      <w:rPr>
        <w:sz w:val="12"/>
        <w:szCs w:val="12"/>
      </w:rPr>
      <w:t>/</w:t>
    </w:r>
    <w:r w:rsidR="00BB7AA6">
      <w:rPr>
        <w:sz w:val="12"/>
        <w:szCs w:val="12"/>
      </w:rPr>
      <w:t>2</w:t>
    </w:r>
    <w:r w:rsidR="004410F4">
      <w:rPr>
        <w:sz w:val="12"/>
        <w:szCs w:val="12"/>
      </w:rPr>
      <w:t>4</w:t>
    </w:r>
    <w:r w:rsidRPr="004D2CB1">
      <w:rPr>
        <w:rFonts w:eastAsia="Arial"/>
        <w:sz w:val="12"/>
        <w:szCs w:val="12"/>
      </w:rPr>
      <w:t>d</w:t>
    </w:r>
    <w:r w:rsidR="00C547E5" w:rsidRPr="004D2CB1">
      <w:rPr>
        <w:rFonts w:eastAsia="Arial"/>
        <w:sz w:val="12"/>
        <w:szCs w:val="12"/>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4D2CB1" w:rsidRDefault="00076F11" w:rsidP="004D2CB1">
    <w:pPr>
      <w:pStyle w:val="Header"/>
      <w:tabs>
        <w:tab w:val="right" w:pos="3856"/>
        <w:tab w:val="left" w:pos="5387"/>
      </w:tabs>
      <w:jc w:val="right"/>
      <w:rPr>
        <w:sz w:val="12"/>
        <w:szCs w:val="12"/>
      </w:rPr>
    </w:pPr>
    <w:r w:rsidRPr="004D2CB1">
      <w:rPr>
        <w:sz w:val="12"/>
        <w:szCs w:val="12"/>
      </w:rPr>
      <w:t>mm/adn/wp15ac2/201</w:t>
    </w:r>
    <w:r w:rsidR="003A3A3A">
      <w:rPr>
        <w:sz w:val="12"/>
        <w:szCs w:val="12"/>
      </w:rPr>
      <w:t>8</w:t>
    </w:r>
    <w:r w:rsidRPr="004D2CB1">
      <w:rPr>
        <w:sz w:val="12"/>
        <w:szCs w:val="12"/>
      </w:rPr>
      <w:t>/</w:t>
    </w:r>
    <w:r w:rsidR="00BB7AA6">
      <w:rPr>
        <w:sz w:val="12"/>
        <w:szCs w:val="12"/>
      </w:rPr>
      <w:t>2</w:t>
    </w:r>
    <w:r w:rsidR="004410F4">
      <w:rPr>
        <w:sz w:val="12"/>
        <w:szCs w:val="12"/>
      </w:rPr>
      <w:t>4</w:t>
    </w:r>
    <w:r w:rsidRPr="004D2CB1">
      <w:rPr>
        <w:rFonts w:eastAsia="Arial"/>
        <w:sz w:val="12"/>
        <w:szCs w:val="12"/>
      </w:rPr>
      <w:t>d</w:t>
    </w:r>
    <w:r w:rsidR="00C547E5" w:rsidRPr="004D2CB1">
      <w:rPr>
        <w:rFonts w:eastAsia="Arial"/>
        <w:sz w:val="12"/>
        <w:szCs w:val="12"/>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E62" w:rsidRDefault="00E10E62">
      <w:r>
        <w:separator/>
      </w:r>
    </w:p>
  </w:footnote>
  <w:footnote w:type="continuationSeparator" w:id="0">
    <w:p w:rsidR="00E10E62" w:rsidRDefault="00E10E62">
      <w:r>
        <w:continuationSeparator/>
      </w:r>
    </w:p>
  </w:footnote>
  <w:footnote w:id="1">
    <w:p w:rsidR="00BB7AA6" w:rsidRPr="00D911E4" w:rsidRDefault="00BB7AA6" w:rsidP="00BB7AA6">
      <w:pPr>
        <w:pStyle w:val="FootnoteText"/>
        <w:ind w:left="284" w:hanging="284"/>
        <w:rPr>
          <w:rFonts w:ascii="Times New Roman" w:hAnsi="Times New Roman" w:cs="Times New Roman"/>
          <w:sz w:val="16"/>
          <w:szCs w:val="16"/>
        </w:rPr>
      </w:pPr>
      <w:r w:rsidRPr="00D911E4">
        <w:rPr>
          <w:rStyle w:val="FootnoteReference"/>
        </w:rPr>
        <w:t>*</w:t>
      </w:r>
      <w:r w:rsidRPr="00D911E4">
        <w:rPr>
          <w:rFonts w:ascii="Times New Roman" w:hAnsi="Times New Roman" w:cs="Times New Roman"/>
          <w:sz w:val="16"/>
          <w:szCs w:val="16"/>
        </w:rPr>
        <w:t xml:space="preserve"> </w:t>
      </w:r>
      <w:r w:rsidRPr="00D911E4">
        <w:rPr>
          <w:rFonts w:ascii="Times New Roman" w:hAnsi="Times New Roman" w:cs="Times New Roman"/>
          <w:sz w:val="16"/>
          <w:szCs w:val="16"/>
        </w:rPr>
        <w:tab/>
        <w:t>Von der UN-ECE in Englisch, Französisch und Russisch unter dem Aktenzeichen ECE/TRANS/WP.15/AC.2/2018/2</w:t>
      </w:r>
      <w:r w:rsidR="004410F4" w:rsidRPr="00D911E4">
        <w:rPr>
          <w:rFonts w:ascii="Times New Roman" w:hAnsi="Times New Roman" w:cs="Times New Roman"/>
          <w:sz w:val="16"/>
          <w:szCs w:val="16"/>
        </w:rPr>
        <w:t>4</w:t>
      </w:r>
      <w:r w:rsidRPr="00D911E4">
        <w:rPr>
          <w:rFonts w:ascii="Times New Roman" w:hAnsi="Times New Roman" w:cs="Times New Roman"/>
          <w:sz w:val="16"/>
          <w:szCs w:val="16"/>
        </w:rPr>
        <w:t xml:space="preserve"> verteilt.</w:t>
      </w:r>
    </w:p>
  </w:footnote>
  <w:footnote w:id="2">
    <w:p w:rsidR="00BB7AA6" w:rsidRPr="004D2CB1" w:rsidRDefault="00BB7AA6" w:rsidP="00BB7AA6">
      <w:pPr>
        <w:pStyle w:val="FootnoteText"/>
        <w:tabs>
          <w:tab w:val="left" w:pos="284"/>
        </w:tabs>
        <w:ind w:left="284" w:hanging="284"/>
        <w:rPr>
          <w:rFonts w:ascii="Times New Roman" w:hAnsi="Times New Roman" w:cs="Times New Roman"/>
          <w:sz w:val="16"/>
          <w:szCs w:val="16"/>
        </w:rPr>
      </w:pPr>
      <w:r w:rsidRPr="00D911E4">
        <w:rPr>
          <w:rStyle w:val="FootnoteReference"/>
        </w:rPr>
        <w:t>**</w:t>
      </w:r>
      <w:r w:rsidRPr="00D911E4">
        <w:rPr>
          <w:rFonts w:ascii="Times New Roman" w:hAnsi="Times New Roman" w:cs="Times New Roman"/>
          <w:sz w:val="16"/>
          <w:szCs w:val="16"/>
        </w:rPr>
        <w:t xml:space="preserve"> </w:t>
      </w:r>
      <w:r w:rsidRPr="00D911E4">
        <w:rPr>
          <w:rFonts w:ascii="Times New Roman" w:hAnsi="Times New Roman" w:cs="Times New Roman"/>
          <w:sz w:val="16"/>
          <w:szCs w:val="16"/>
        </w:rPr>
        <w:tab/>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4D2CB1" w:rsidRDefault="0059123A" w:rsidP="004D2CB1">
    <w:pPr>
      <w:tabs>
        <w:tab w:val="center" w:pos="4320"/>
        <w:tab w:val="right" w:pos="8640"/>
      </w:tabs>
      <w:rPr>
        <w:sz w:val="16"/>
        <w:szCs w:val="16"/>
        <w:lang w:val="en-GB" w:eastAsia="en-US"/>
      </w:rPr>
    </w:pPr>
    <w:r w:rsidRPr="004D2CB1">
      <w:rPr>
        <w:sz w:val="16"/>
        <w:szCs w:val="16"/>
        <w:lang w:val="en-GB" w:eastAsia="en-US"/>
      </w:rPr>
      <w:t>CCNR-ZKR/ADN/WP.15/AC.2/</w:t>
    </w:r>
    <w:r w:rsidR="00C23542" w:rsidRPr="004D2CB1">
      <w:rPr>
        <w:sz w:val="16"/>
        <w:szCs w:val="16"/>
        <w:lang w:val="en-GB" w:eastAsia="en-US"/>
      </w:rPr>
      <w:t>201</w:t>
    </w:r>
    <w:r w:rsidR="003A3A3A">
      <w:rPr>
        <w:sz w:val="16"/>
        <w:szCs w:val="16"/>
        <w:lang w:val="en-GB" w:eastAsia="en-US"/>
      </w:rPr>
      <w:t>8</w:t>
    </w:r>
    <w:r w:rsidR="001132DA" w:rsidRPr="004D2CB1">
      <w:rPr>
        <w:sz w:val="16"/>
        <w:szCs w:val="16"/>
        <w:lang w:val="en-GB" w:eastAsia="en-US"/>
      </w:rPr>
      <w:t>/</w:t>
    </w:r>
    <w:r w:rsidR="00BB7AA6">
      <w:rPr>
        <w:sz w:val="16"/>
        <w:szCs w:val="16"/>
        <w:lang w:val="en-GB" w:eastAsia="en-US"/>
      </w:rPr>
      <w:t>2</w:t>
    </w:r>
    <w:r w:rsidR="004410F4">
      <w:rPr>
        <w:sz w:val="16"/>
        <w:szCs w:val="16"/>
        <w:lang w:val="en-GB" w:eastAsia="en-US"/>
      </w:rPr>
      <w:t>4</w:t>
    </w:r>
  </w:p>
  <w:p w:rsidR="0059123A" w:rsidRPr="004D2CB1" w:rsidRDefault="0059123A" w:rsidP="004D2CB1">
    <w:pPr>
      <w:tabs>
        <w:tab w:val="center" w:pos="4320"/>
        <w:tab w:val="right" w:pos="8640"/>
      </w:tabs>
      <w:rPr>
        <w:sz w:val="16"/>
        <w:szCs w:val="16"/>
        <w:lang w:val="en-GB" w:eastAsia="en-US"/>
      </w:rPr>
    </w:pPr>
    <w:r w:rsidRPr="004D2CB1">
      <w:rPr>
        <w:sz w:val="16"/>
        <w:szCs w:val="16"/>
        <w:lang w:val="en-GB" w:eastAsia="en-US"/>
      </w:rPr>
      <w:t xml:space="preserve">Seite </w:t>
    </w:r>
    <w:r w:rsidRPr="004D2CB1">
      <w:rPr>
        <w:sz w:val="16"/>
        <w:szCs w:val="16"/>
        <w:lang w:val="en-GB" w:eastAsia="en-US"/>
      </w:rPr>
      <w:fldChar w:fldCharType="begin"/>
    </w:r>
    <w:r w:rsidRPr="004D2CB1">
      <w:rPr>
        <w:sz w:val="16"/>
        <w:szCs w:val="16"/>
        <w:lang w:val="en-GB" w:eastAsia="en-US"/>
      </w:rPr>
      <w:instrText xml:space="preserve"> PAGE  \* MERGEFORMAT </w:instrText>
    </w:r>
    <w:r w:rsidRPr="004D2CB1">
      <w:rPr>
        <w:sz w:val="16"/>
        <w:szCs w:val="16"/>
        <w:lang w:val="en-GB" w:eastAsia="en-US"/>
      </w:rPr>
      <w:fldChar w:fldCharType="separate"/>
    </w:r>
    <w:r w:rsidR="00BC5302">
      <w:rPr>
        <w:noProof/>
        <w:sz w:val="16"/>
        <w:szCs w:val="16"/>
        <w:lang w:val="en-GB" w:eastAsia="en-US"/>
      </w:rPr>
      <w:t>2</w:t>
    </w:r>
    <w:r w:rsidRPr="004D2CB1">
      <w:rPr>
        <w:sz w:val="16"/>
        <w:szCs w:val="16"/>
        <w:lang w:val="en-GB"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F11" w:rsidRPr="004D2CB1" w:rsidRDefault="00076F11" w:rsidP="004D2CB1">
    <w:pPr>
      <w:pStyle w:val="Header"/>
      <w:jc w:val="right"/>
      <w:rPr>
        <w:sz w:val="16"/>
        <w:szCs w:val="16"/>
        <w:lang w:val="en-GB" w:eastAsia="en-US"/>
      </w:rPr>
    </w:pPr>
    <w:r w:rsidRPr="004D2CB1">
      <w:rPr>
        <w:sz w:val="16"/>
        <w:szCs w:val="16"/>
        <w:lang w:val="en-GB" w:eastAsia="en-US"/>
      </w:rPr>
      <w:t>CCNR-ZKR/ADN/WP.15/AC.2/201</w:t>
    </w:r>
    <w:r w:rsidR="0097438B">
      <w:rPr>
        <w:sz w:val="16"/>
        <w:szCs w:val="16"/>
        <w:lang w:val="en-GB" w:eastAsia="en-US"/>
      </w:rPr>
      <w:t>8</w:t>
    </w:r>
    <w:r w:rsidRPr="004D2CB1">
      <w:rPr>
        <w:sz w:val="16"/>
        <w:szCs w:val="16"/>
        <w:lang w:val="en-GB" w:eastAsia="en-US"/>
      </w:rPr>
      <w:t>/</w:t>
    </w:r>
    <w:r w:rsidR="00BB7AA6">
      <w:rPr>
        <w:sz w:val="16"/>
        <w:szCs w:val="16"/>
        <w:lang w:val="en-GB" w:eastAsia="en-US"/>
      </w:rPr>
      <w:t>2</w:t>
    </w:r>
    <w:r w:rsidR="004410F4">
      <w:rPr>
        <w:sz w:val="16"/>
        <w:szCs w:val="16"/>
        <w:lang w:val="en-GB" w:eastAsia="en-US"/>
      </w:rPr>
      <w:t>4</w:t>
    </w:r>
  </w:p>
  <w:p w:rsidR="0059123A" w:rsidRPr="004D2CB1" w:rsidRDefault="00076F11" w:rsidP="004D2CB1">
    <w:pPr>
      <w:pStyle w:val="Header"/>
      <w:jc w:val="right"/>
      <w:rPr>
        <w:sz w:val="16"/>
        <w:szCs w:val="16"/>
        <w:lang w:val="en-GB" w:eastAsia="en-US"/>
      </w:rPr>
    </w:pPr>
    <w:r w:rsidRPr="004D2CB1">
      <w:rPr>
        <w:sz w:val="16"/>
        <w:szCs w:val="16"/>
        <w:lang w:val="en-GB" w:eastAsia="en-US"/>
      </w:rPr>
      <w:t xml:space="preserve">Seite </w:t>
    </w:r>
    <w:r w:rsidRPr="004D2CB1">
      <w:rPr>
        <w:sz w:val="16"/>
        <w:szCs w:val="16"/>
        <w:lang w:val="en-GB" w:eastAsia="en-US"/>
      </w:rPr>
      <w:fldChar w:fldCharType="begin"/>
    </w:r>
    <w:r w:rsidRPr="004D2CB1">
      <w:rPr>
        <w:sz w:val="16"/>
        <w:szCs w:val="16"/>
        <w:lang w:val="en-GB" w:eastAsia="en-US"/>
      </w:rPr>
      <w:instrText xml:space="preserve"> PAGE  \* MERGEFORMAT </w:instrText>
    </w:r>
    <w:r w:rsidRPr="004D2CB1">
      <w:rPr>
        <w:sz w:val="16"/>
        <w:szCs w:val="16"/>
        <w:lang w:val="en-GB" w:eastAsia="en-US"/>
      </w:rPr>
      <w:fldChar w:fldCharType="separate"/>
    </w:r>
    <w:r w:rsidR="00BC5302">
      <w:rPr>
        <w:noProof/>
        <w:sz w:val="16"/>
        <w:szCs w:val="16"/>
        <w:lang w:val="en-GB" w:eastAsia="en-US"/>
      </w:rPr>
      <w:t>7</w:t>
    </w:r>
    <w:r w:rsidRPr="004D2CB1">
      <w:rPr>
        <w:sz w:val="16"/>
        <w:szCs w:val="16"/>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AA28CD"/>
    <w:multiLevelType w:val="hybridMultilevel"/>
    <w:tmpl w:val="DFC4FE60"/>
    <w:lvl w:ilvl="0" w:tplc="040C0017">
      <w:start w:val="1"/>
      <w:numFmt w:val="lowerLetter"/>
      <w:lvlText w:val="%1)"/>
      <w:lvlJc w:val="left"/>
      <w:pPr>
        <w:ind w:left="3905" w:hanging="360"/>
      </w:pPr>
      <w:rPr>
        <w:rFonts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3" w15:restartNumberingAfterBreak="0">
    <w:nsid w:val="0CF8293C"/>
    <w:multiLevelType w:val="hybridMultilevel"/>
    <w:tmpl w:val="223001A4"/>
    <w:lvl w:ilvl="0" w:tplc="040C0017">
      <w:start w:val="1"/>
      <w:numFmt w:val="lowerLetter"/>
      <w:lvlText w:val="%1)"/>
      <w:lvlJc w:val="left"/>
      <w:pPr>
        <w:ind w:left="1287" w:hanging="360"/>
      </w:pPr>
      <w:rPr>
        <w:rFonts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2A45DC2"/>
    <w:multiLevelType w:val="hybridMultilevel"/>
    <w:tmpl w:val="CE809392"/>
    <w:lvl w:ilvl="0" w:tplc="EBD00BD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18CD2FA4"/>
    <w:multiLevelType w:val="hybridMultilevel"/>
    <w:tmpl w:val="B1361968"/>
    <w:lvl w:ilvl="0" w:tplc="80442CEC">
      <w:start w:val="1"/>
      <w:numFmt w:val="bullet"/>
      <w:lvlText w:val="•"/>
      <w:lvlJc w:val="left"/>
      <w:pPr>
        <w:ind w:left="720" w:hanging="360"/>
      </w:pPr>
      <w:rPr>
        <w:rFonts w:ascii="Times New Roman" w:hAnsi="Times New Roman" w:cs="Times New Roman"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C547B"/>
    <w:multiLevelType w:val="hybridMultilevel"/>
    <w:tmpl w:val="8B244A98"/>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9" w15:restartNumberingAfterBreak="0">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5E33AD"/>
    <w:multiLevelType w:val="hybridMultilevel"/>
    <w:tmpl w:val="689457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2658A1"/>
    <w:multiLevelType w:val="hybridMultilevel"/>
    <w:tmpl w:val="BBCC16E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6" w15:restartNumberingAfterBreak="0">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19" w15:restartNumberingAfterBreak="0">
    <w:nsid w:val="5E0244F5"/>
    <w:multiLevelType w:val="hybridMultilevel"/>
    <w:tmpl w:val="22080F92"/>
    <w:lvl w:ilvl="0" w:tplc="92069678">
      <w:start w:val="1"/>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4AC5ED4"/>
    <w:multiLevelType w:val="hybridMultilevel"/>
    <w:tmpl w:val="5C3E0E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2" w15:restartNumberingAfterBreak="0">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24" w15:restartNumberingAfterBreak="0">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0"/>
  </w:num>
  <w:num w:numId="3">
    <w:abstractNumId w:val="6"/>
  </w:num>
  <w:num w:numId="4">
    <w:abstractNumId w:val="9"/>
  </w:num>
  <w:num w:numId="5">
    <w:abstractNumId w:val="12"/>
  </w:num>
  <w:num w:numId="6">
    <w:abstractNumId w:val="22"/>
  </w:num>
  <w:num w:numId="7">
    <w:abstractNumId w:val="24"/>
  </w:num>
  <w:num w:numId="8">
    <w:abstractNumId w:val="11"/>
  </w:num>
  <w:num w:numId="9">
    <w:abstractNumId w:val="27"/>
  </w:num>
  <w:num w:numId="10">
    <w:abstractNumId w:val="26"/>
  </w:num>
  <w:num w:numId="11">
    <w:abstractNumId w:val="20"/>
  </w:num>
  <w:num w:numId="12">
    <w:abstractNumId w:val="10"/>
  </w:num>
  <w:num w:numId="13">
    <w:abstractNumId w:val="18"/>
  </w:num>
  <w:num w:numId="14">
    <w:abstractNumId w:val="1"/>
  </w:num>
  <w:num w:numId="15">
    <w:abstractNumId w:val="25"/>
  </w:num>
  <w:num w:numId="16">
    <w:abstractNumId w:val="17"/>
  </w:num>
  <w:num w:numId="17">
    <w:abstractNumId w:val="14"/>
  </w:num>
  <w:num w:numId="18">
    <w:abstractNumId w:val="11"/>
  </w:num>
  <w:num w:numId="19">
    <w:abstractNumId w:val="11"/>
  </w:num>
  <w:num w:numId="20">
    <w:abstractNumId w:val="23"/>
  </w:num>
  <w:num w:numId="21">
    <w:abstractNumId w:val="11"/>
  </w:num>
  <w:num w:numId="22">
    <w:abstractNumId w:val="11"/>
  </w:num>
  <w:num w:numId="23">
    <w:abstractNumId w:val="11"/>
  </w:num>
  <w:num w:numId="24">
    <w:abstractNumId w:val="4"/>
  </w:num>
  <w:num w:numId="25">
    <w:abstractNumId w:val="15"/>
  </w:num>
  <w:num w:numId="26">
    <w:abstractNumId w:val="5"/>
  </w:num>
  <w:num w:numId="27">
    <w:abstractNumId w:val="19"/>
  </w:num>
  <w:num w:numId="28">
    <w:abstractNumId w:val="21"/>
  </w:num>
  <w:num w:numId="29">
    <w:abstractNumId w:val="13"/>
  </w:num>
  <w:num w:numId="30">
    <w:abstractNumId w:val="8"/>
  </w:num>
  <w:num w:numId="31">
    <w:abstractNumId w:val="3"/>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1E"/>
    <w:rsid w:val="00006AF8"/>
    <w:rsid w:val="00010F4E"/>
    <w:rsid w:val="00011839"/>
    <w:rsid w:val="00012BA6"/>
    <w:rsid w:val="000132F7"/>
    <w:rsid w:val="000146DB"/>
    <w:rsid w:val="00021F97"/>
    <w:rsid w:val="00022F21"/>
    <w:rsid w:val="00025844"/>
    <w:rsid w:val="000259B2"/>
    <w:rsid w:val="00025FDF"/>
    <w:rsid w:val="000261A7"/>
    <w:rsid w:val="000270F0"/>
    <w:rsid w:val="000300CF"/>
    <w:rsid w:val="00032823"/>
    <w:rsid w:val="0003294B"/>
    <w:rsid w:val="00042AC4"/>
    <w:rsid w:val="000434ED"/>
    <w:rsid w:val="00044369"/>
    <w:rsid w:val="00044B03"/>
    <w:rsid w:val="0004500B"/>
    <w:rsid w:val="00045F71"/>
    <w:rsid w:val="00053296"/>
    <w:rsid w:val="0005494C"/>
    <w:rsid w:val="00054A29"/>
    <w:rsid w:val="00055F9E"/>
    <w:rsid w:val="000567A5"/>
    <w:rsid w:val="00070BC6"/>
    <w:rsid w:val="00070DD1"/>
    <w:rsid w:val="000716F8"/>
    <w:rsid w:val="0007217F"/>
    <w:rsid w:val="00076DD3"/>
    <w:rsid w:val="00076F11"/>
    <w:rsid w:val="0007778F"/>
    <w:rsid w:val="00077EF0"/>
    <w:rsid w:val="0008097E"/>
    <w:rsid w:val="00082AE1"/>
    <w:rsid w:val="0008316D"/>
    <w:rsid w:val="000864C6"/>
    <w:rsid w:val="00090717"/>
    <w:rsid w:val="00090F08"/>
    <w:rsid w:val="00093F3F"/>
    <w:rsid w:val="000A3FBE"/>
    <w:rsid w:val="000A7979"/>
    <w:rsid w:val="000B3812"/>
    <w:rsid w:val="000B4A24"/>
    <w:rsid w:val="000B4B5F"/>
    <w:rsid w:val="000C1401"/>
    <w:rsid w:val="000C1FC0"/>
    <w:rsid w:val="000C44F3"/>
    <w:rsid w:val="000C4A46"/>
    <w:rsid w:val="000C4DAE"/>
    <w:rsid w:val="000D23EB"/>
    <w:rsid w:val="000D5521"/>
    <w:rsid w:val="000D6DD2"/>
    <w:rsid w:val="000E287F"/>
    <w:rsid w:val="000F1645"/>
    <w:rsid w:val="000F1B45"/>
    <w:rsid w:val="000F288E"/>
    <w:rsid w:val="0010623F"/>
    <w:rsid w:val="00107973"/>
    <w:rsid w:val="00107F81"/>
    <w:rsid w:val="001111A0"/>
    <w:rsid w:val="00112DDD"/>
    <w:rsid w:val="001132DA"/>
    <w:rsid w:val="00114A90"/>
    <w:rsid w:val="001153C0"/>
    <w:rsid w:val="00121FAF"/>
    <w:rsid w:val="0012341C"/>
    <w:rsid w:val="0012380B"/>
    <w:rsid w:val="00124763"/>
    <w:rsid w:val="0013071E"/>
    <w:rsid w:val="00135FE0"/>
    <w:rsid w:val="0013609A"/>
    <w:rsid w:val="0014147E"/>
    <w:rsid w:val="001418C3"/>
    <w:rsid w:val="00141D42"/>
    <w:rsid w:val="00144942"/>
    <w:rsid w:val="00145847"/>
    <w:rsid w:val="00146411"/>
    <w:rsid w:val="00146869"/>
    <w:rsid w:val="00146DC4"/>
    <w:rsid w:val="00150C17"/>
    <w:rsid w:val="00153E0F"/>
    <w:rsid w:val="00155493"/>
    <w:rsid w:val="00155C6D"/>
    <w:rsid w:val="00160BB2"/>
    <w:rsid w:val="00165B09"/>
    <w:rsid w:val="00170680"/>
    <w:rsid w:val="0017301E"/>
    <w:rsid w:val="0017386F"/>
    <w:rsid w:val="00173F05"/>
    <w:rsid w:val="00174074"/>
    <w:rsid w:val="00174E6F"/>
    <w:rsid w:val="0017592D"/>
    <w:rsid w:val="00176323"/>
    <w:rsid w:val="00182EA6"/>
    <w:rsid w:val="001833D6"/>
    <w:rsid w:val="00183FF1"/>
    <w:rsid w:val="00185E7E"/>
    <w:rsid w:val="0018710B"/>
    <w:rsid w:val="001917D5"/>
    <w:rsid w:val="00191BF3"/>
    <w:rsid w:val="00192632"/>
    <w:rsid w:val="0019507E"/>
    <w:rsid w:val="001A0381"/>
    <w:rsid w:val="001A36D4"/>
    <w:rsid w:val="001A3D4A"/>
    <w:rsid w:val="001A7D52"/>
    <w:rsid w:val="001B24A4"/>
    <w:rsid w:val="001B5C16"/>
    <w:rsid w:val="001B6511"/>
    <w:rsid w:val="001B7C90"/>
    <w:rsid w:val="001C3025"/>
    <w:rsid w:val="001C6291"/>
    <w:rsid w:val="001C7EB5"/>
    <w:rsid w:val="001D1451"/>
    <w:rsid w:val="001D1B61"/>
    <w:rsid w:val="001D245B"/>
    <w:rsid w:val="001D3B4B"/>
    <w:rsid w:val="001D3F45"/>
    <w:rsid w:val="001D445D"/>
    <w:rsid w:val="001D49F0"/>
    <w:rsid w:val="001E0DCD"/>
    <w:rsid w:val="001E12C1"/>
    <w:rsid w:val="001E2DF1"/>
    <w:rsid w:val="001E71D3"/>
    <w:rsid w:val="001F1FA2"/>
    <w:rsid w:val="001F2665"/>
    <w:rsid w:val="001F2FBE"/>
    <w:rsid w:val="001F32D1"/>
    <w:rsid w:val="001F35BA"/>
    <w:rsid w:val="001F56C8"/>
    <w:rsid w:val="001F75EB"/>
    <w:rsid w:val="002030E7"/>
    <w:rsid w:val="0020333D"/>
    <w:rsid w:val="002035CD"/>
    <w:rsid w:val="002036C8"/>
    <w:rsid w:val="002054CD"/>
    <w:rsid w:val="00206165"/>
    <w:rsid w:val="00206FD6"/>
    <w:rsid w:val="0021278B"/>
    <w:rsid w:val="00213767"/>
    <w:rsid w:val="002145E2"/>
    <w:rsid w:val="0021472B"/>
    <w:rsid w:val="00216452"/>
    <w:rsid w:val="0021655A"/>
    <w:rsid w:val="002255DC"/>
    <w:rsid w:val="002353E2"/>
    <w:rsid w:val="002368BC"/>
    <w:rsid w:val="00236DE2"/>
    <w:rsid w:val="0024116D"/>
    <w:rsid w:val="00241739"/>
    <w:rsid w:val="00241B8F"/>
    <w:rsid w:val="0024493F"/>
    <w:rsid w:val="002507D6"/>
    <w:rsid w:val="002507D8"/>
    <w:rsid w:val="00252984"/>
    <w:rsid w:val="00255E1E"/>
    <w:rsid w:val="00256BA2"/>
    <w:rsid w:val="00260BFA"/>
    <w:rsid w:val="00260F14"/>
    <w:rsid w:val="0026153B"/>
    <w:rsid w:val="00261B9D"/>
    <w:rsid w:val="00261EC0"/>
    <w:rsid w:val="00265222"/>
    <w:rsid w:val="00272254"/>
    <w:rsid w:val="00272A74"/>
    <w:rsid w:val="0027353E"/>
    <w:rsid w:val="0027663E"/>
    <w:rsid w:val="00291383"/>
    <w:rsid w:val="00292891"/>
    <w:rsid w:val="002963E1"/>
    <w:rsid w:val="002A25D6"/>
    <w:rsid w:val="002A3A2D"/>
    <w:rsid w:val="002A3F70"/>
    <w:rsid w:val="002A6C03"/>
    <w:rsid w:val="002A7198"/>
    <w:rsid w:val="002B30FB"/>
    <w:rsid w:val="002B5FF9"/>
    <w:rsid w:val="002C0BB1"/>
    <w:rsid w:val="002C3380"/>
    <w:rsid w:val="002C4E34"/>
    <w:rsid w:val="002D02ED"/>
    <w:rsid w:val="002D16A7"/>
    <w:rsid w:val="002D1A45"/>
    <w:rsid w:val="002D2E03"/>
    <w:rsid w:val="002D2F78"/>
    <w:rsid w:val="002D3768"/>
    <w:rsid w:val="002D401D"/>
    <w:rsid w:val="002D4D56"/>
    <w:rsid w:val="002D7068"/>
    <w:rsid w:val="002D7FDD"/>
    <w:rsid w:val="002E077E"/>
    <w:rsid w:val="002E3667"/>
    <w:rsid w:val="002E4D36"/>
    <w:rsid w:val="002F10EE"/>
    <w:rsid w:val="002F1891"/>
    <w:rsid w:val="002F2A7C"/>
    <w:rsid w:val="002F42B6"/>
    <w:rsid w:val="002F4A2A"/>
    <w:rsid w:val="002F5219"/>
    <w:rsid w:val="002F62D7"/>
    <w:rsid w:val="00301DE5"/>
    <w:rsid w:val="00305FC0"/>
    <w:rsid w:val="00315443"/>
    <w:rsid w:val="00315E5F"/>
    <w:rsid w:val="00316775"/>
    <w:rsid w:val="003220FB"/>
    <w:rsid w:val="00324AC1"/>
    <w:rsid w:val="003261CE"/>
    <w:rsid w:val="00326982"/>
    <w:rsid w:val="003270B3"/>
    <w:rsid w:val="003272A9"/>
    <w:rsid w:val="003275AF"/>
    <w:rsid w:val="00333384"/>
    <w:rsid w:val="00352AAA"/>
    <w:rsid w:val="003542DB"/>
    <w:rsid w:val="003543E0"/>
    <w:rsid w:val="00355D13"/>
    <w:rsid w:val="00362241"/>
    <w:rsid w:val="003638F9"/>
    <w:rsid w:val="00363AA6"/>
    <w:rsid w:val="00363F1F"/>
    <w:rsid w:val="0036453D"/>
    <w:rsid w:val="00364C93"/>
    <w:rsid w:val="00365907"/>
    <w:rsid w:val="0036751E"/>
    <w:rsid w:val="00370728"/>
    <w:rsid w:val="00374ABF"/>
    <w:rsid w:val="003751E3"/>
    <w:rsid w:val="00375F07"/>
    <w:rsid w:val="00382702"/>
    <w:rsid w:val="00386EBF"/>
    <w:rsid w:val="00387595"/>
    <w:rsid w:val="00394C29"/>
    <w:rsid w:val="00397F10"/>
    <w:rsid w:val="003A2724"/>
    <w:rsid w:val="003A3A3A"/>
    <w:rsid w:val="003A3B1D"/>
    <w:rsid w:val="003A4624"/>
    <w:rsid w:val="003A4E3E"/>
    <w:rsid w:val="003A648D"/>
    <w:rsid w:val="003B00CF"/>
    <w:rsid w:val="003B1C86"/>
    <w:rsid w:val="003B2380"/>
    <w:rsid w:val="003B2BBC"/>
    <w:rsid w:val="003B6A28"/>
    <w:rsid w:val="003B6CBC"/>
    <w:rsid w:val="003B6EC0"/>
    <w:rsid w:val="003B7713"/>
    <w:rsid w:val="003C6BD8"/>
    <w:rsid w:val="003D04A3"/>
    <w:rsid w:val="003D0A76"/>
    <w:rsid w:val="003D2ED8"/>
    <w:rsid w:val="003D5F24"/>
    <w:rsid w:val="003E214F"/>
    <w:rsid w:val="003E2185"/>
    <w:rsid w:val="003E2D10"/>
    <w:rsid w:val="003E64BC"/>
    <w:rsid w:val="003E74E5"/>
    <w:rsid w:val="003E761E"/>
    <w:rsid w:val="003F07F4"/>
    <w:rsid w:val="003F1B3F"/>
    <w:rsid w:val="003F2233"/>
    <w:rsid w:val="00401B41"/>
    <w:rsid w:val="004037E9"/>
    <w:rsid w:val="00404F24"/>
    <w:rsid w:val="0040583E"/>
    <w:rsid w:val="00405C12"/>
    <w:rsid w:val="00405F4A"/>
    <w:rsid w:val="00410F05"/>
    <w:rsid w:val="00413012"/>
    <w:rsid w:val="00413C31"/>
    <w:rsid w:val="004216B4"/>
    <w:rsid w:val="004221ED"/>
    <w:rsid w:val="00431F5C"/>
    <w:rsid w:val="00433BFE"/>
    <w:rsid w:val="004404CF"/>
    <w:rsid w:val="004410F4"/>
    <w:rsid w:val="00443666"/>
    <w:rsid w:val="00443D12"/>
    <w:rsid w:val="004450B8"/>
    <w:rsid w:val="00450BB6"/>
    <w:rsid w:val="00456C16"/>
    <w:rsid w:val="00457D95"/>
    <w:rsid w:val="00460944"/>
    <w:rsid w:val="004642C3"/>
    <w:rsid w:val="004650DA"/>
    <w:rsid w:val="004673B6"/>
    <w:rsid w:val="00467B47"/>
    <w:rsid w:val="0047327B"/>
    <w:rsid w:val="004739F4"/>
    <w:rsid w:val="0047541C"/>
    <w:rsid w:val="00475D52"/>
    <w:rsid w:val="004760AC"/>
    <w:rsid w:val="00476453"/>
    <w:rsid w:val="004765D3"/>
    <w:rsid w:val="00476C46"/>
    <w:rsid w:val="004774AA"/>
    <w:rsid w:val="00480108"/>
    <w:rsid w:val="00481F58"/>
    <w:rsid w:val="0048469E"/>
    <w:rsid w:val="004846E9"/>
    <w:rsid w:val="0048531C"/>
    <w:rsid w:val="004857C3"/>
    <w:rsid w:val="00491F76"/>
    <w:rsid w:val="00494230"/>
    <w:rsid w:val="0049629F"/>
    <w:rsid w:val="004970EE"/>
    <w:rsid w:val="004B0E21"/>
    <w:rsid w:val="004B6273"/>
    <w:rsid w:val="004B6DFA"/>
    <w:rsid w:val="004B716B"/>
    <w:rsid w:val="004C2786"/>
    <w:rsid w:val="004C2B2F"/>
    <w:rsid w:val="004C2D16"/>
    <w:rsid w:val="004C357F"/>
    <w:rsid w:val="004C531A"/>
    <w:rsid w:val="004C7666"/>
    <w:rsid w:val="004C7698"/>
    <w:rsid w:val="004D04FF"/>
    <w:rsid w:val="004D2CB1"/>
    <w:rsid w:val="004E1965"/>
    <w:rsid w:val="004E55C6"/>
    <w:rsid w:val="004F4012"/>
    <w:rsid w:val="004F424B"/>
    <w:rsid w:val="004F75ED"/>
    <w:rsid w:val="00500427"/>
    <w:rsid w:val="0050105F"/>
    <w:rsid w:val="0050388A"/>
    <w:rsid w:val="00505236"/>
    <w:rsid w:val="00510736"/>
    <w:rsid w:val="0051159A"/>
    <w:rsid w:val="005121D9"/>
    <w:rsid w:val="0052018D"/>
    <w:rsid w:val="00520F60"/>
    <w:rsid w:val="005228CB"/>
    <w:rsid w:val="005239B9"/>
    <w:rsid w:val="00526A1A"/>
    <w:rsid w:val="00526AEC"/>
    <w:rsid w:val="005278EF"/>
    <w:rsid w:val="00531E72"/>
    <w:rsid w:val="00533B91"/>
    <w:rsid w:val="0053727C"/>
    <w:rsid w:val="00537B92"/>
    <w:rsid w:val="00542E25"/>
    <w:rsid w:val="0054328A"/>
    <w:rsid w:val="00546E7D"/>
    <w:rsid w:val="00554187"/>
    <w:rsid w:val="005541B1"/>
    <w:rsid w:val="00560F32"/>
    <w:rsid w:val="00563433"/>
    <w:rsid w:val="00567309"/>
    <w:rsid w:val="00571996"/>
    <w:rsid w:val="00572243"/>
    <w:rsid w:val="00575B24"/>
    <w:rsid w:val="00577FB9"/>
    <w:rsid w:val="005804FC"/>
    <w:rsid w:val="00580E9E"/>
    <w:rsid w:val="005818B8"/>
    <w:rsid w:val="00583CED"/>
    <w:rsid w:val="005844EB"/>
    <w:rsid w:val="005848F6"/>
    <w:rsid w:val="005858A2"/>
    <w:rsid w:val="0058686B"/>
    <w:rsid w:val="00591153"/>
    <w:rsid w:val="0059123A"/>
    <w:rsid w:val="00592329"/>
    <w:rsid w:val="00593340"/>
    <w:rsid w:val="005945A2"/>
    <w:rsid w:val="00594859"/>
    <w:rsid w:val="00594E9B"/>
    <w:rsid w:val="005951C7"/>
    <w:rsid w:val="005A3FDD"/>
    <w:rsid w:val="005B07E1"/>
    <w:rsid w:val="005B3059"/>
    <w:rsid w:val="005B7094"/>
    <w:rsid w:val="005B7348"/>
    <w:rsid w:val="005C1B9D"/>
    <w:rsid w:val="005C664B"/>
    <w:rsid w:val="005C7BD3"/>
    <w:rsid w:val="005D0E46"/>
    <w:rsid w:val="005D16A0"/>
    <w:rsid w:val="005D6A8C"/>
    <w:rsid w:val="005D780D"/>
    <w:rsid w:val="005E11BE"/>
    <w:rsid w:val="005E2179"/>
    <w:rsid w:val="005E32C5"/>
    <w:rsid w:val="005E5ACA"/>
    <w:rsid w:val="005F08E2"/>
    <w:rsid w:val="005F1292"/>
    <w:rsid w:val="00602A95"/>
    <w:rsid w:val="00603322"/>
    <w:rsid w:val="0060357B"/>
    <w:rsid w:val="0061161C"/>
    <w:rsid w:val="00614FB6"/>
    <w:rsid w:val="0061638E"/>
    <w:rsid w:val="0062044E"/>
    <w:rsid w:val="00623156"/>
    <w:rsid w:val="00623E5B"/>
    <w:rsid w:val="006275AC"/>
    <w:rsid w:val="00634A0E"/>
    <w:rsid w:val="00634B19"/>
    <w:rsid w:val="00635F2B"/>
    <w:rsid w:val="00637AA4"/>
    <w:rsid w:val="00640A0D"/>
    <w:rsid w:val="00643CF6"/>
    <w:rsid w:val="0064495D"/>
    <w:rsid w:val="00646D94"/>
    <w:rsid w:val="00651FD7"/>
    <w:rsid w:val="00652440"/>
    <w:rsid w:val="006541C2"/>
    <w:rsid w:val="00654B5E"/>
    <w:rsid w:val="00655ABA"/>
    <w:rsid w:val="00655E2A"/>
    <w:rsid w:val="00660403"/>
    <w:rsid w:val="00662861"/>
    <w:rsid w:val="0066407A"/>
    <w:rsid w:val="00666A5E"/>
    <w:rsid w:val="0067080B"/>
    <w:rsid w:val="006723B1"/>
    <w:rsid w:val="0067310B"/>
    <w:rsid w:val="00674B24"/>
    <w:rsid w:val="0067599A"/>
    <w:rsid w:val="00680A19"/>
    <w:rsid w:val="00680C4B"/>
    <w:rsid w:val="00680DE4"/>
    <w:rsid w:val="00681158"/>
    <w:rsid w:val="006818C0"/>
    <w:rsid w:val="0068368E"/>
    <w:rsid w:val="00686973"/>
    <w:rsid w:val="00686DED"/>
    <w:rsid w:val="00692CCE"/>
    <w:rsid w:val="006931A4"/>
    <w:rsid w:val="00693F96"/>
    <w:rsid w:val="006972CD"/>
    <w:rsid w:val="006A0188"/>
    <w:rsid w:val="006A20F8"/>
    <w:rsid w:val="006A328D"/>
    <w:rsid w:val="006A36B3"/>
    <w:rsid w:val="006A3BBB"/>
    <w:rsid w:val="006A7DB2"/>
    <w:rsid w:val="006B2584"/>
    <w:rsid w:val="006B2B1E"/>
    <w:rsid w:val="006B60F1"/>
    <w:rsid w:val="006B7DE2"/>
    <w:rsid w:val="006C09C3"/>
    <w:rsid w:val="006C3065"/>
    <w:rsid w:val="006C617A"/>
    <w:rsid w:val="006D6170"/>
    <w:rsid w:val="006D6237"/>
    <w:rsid w:val="006E0B04"/>
    <w:rsid w:val="006E0D6B"/>
    <w:rsid w:val="006E5BC9"/>
    <w:rsid w:val="006F2FFB"/>
    <w:rsid w:val="006F4FC8"/>
    <w:rsid w:val="006F5C6F"/>
    <w:rsid w:val="006F5E56"/>
    <w:rsid w:val="0070105E"/>
    <w:rsid w:val="00703A40"/>
    <w:rsid w:val="007103AA"/>
    <w:rsid w:val="00710F8D"/>
    <w:rsid w:val="00720324"/>
    <w:rsid w:val="007205F6"/>
    <w:rsid w:val="007220CE"/>
    <w:rsid w:val="00722199"/>
    <w:rsid w:val="0072266A"/>
    <w:rsid w:val="007237AF"/>
    <w:rsid w:val="00726208"/>
    <w:rsid w:val="00740B66"/>
    <w:rsid w:val="0074487F"/>
    <w:rsid w:val="00745C3D"/>
    <w:rsid w:val="00751502"/>
    <w:rsid w:val="007551D1"/>
    <w:rsid w:val="007555B2"/>
    <w:rsid w:val="00756483"/>
    <w:rsid w:val="0075783E"/>
    <w:rsid w:val="007578C0"/>
    <w:rsid w:val="0076355A"/>
    <w:rsid w:val="00767010"/>
    <w:rsid w:val="007702B5"/>
    <w:rsid w:val="00771CA6"/>
    <w:rsid w:val="00772145"/>
    <w:rsid w:val="00774508"/>
    <w:rsid w:val="00775A49"/>
    <w:rsid w:val="00777BDF"/>
    <w:rsid w:val="007800E0"/>
    <w:rsid w:val="0078563F"/>
    <w:rsid w:val="00785B7B"/>
    <w:rsid w:val="0079041D"/>
    <w:rsid w:val="007904D0"/>
    <w:rsid w:val="0079404E"/>
    <w:rsid w:val="00795CF9"/>
    <w:rsid w:val="007A3650"/>
    <w:rsid w:val="007A472A"/>
    <w:rsid w:val="007A6D5B"/>
    <w:rsid w:val="007A77E0"/>
    <w:rsid w:val="007B559E"/>
    <w:rsid w:val="007B723A"/>
    <w:rsid w:val="007C53A1"/>
    <w:rsid w:val="007C64F6"/>
    <w:rsid w:val="007C7E5A"/>
    <w:rsid w:val="007D59FB"/>
    <w:rsid w:val="007D7CE5"/>
    <w:rsid w:val="007F69CB"/>
    <w:rsid w:val="00801F8C"/>
    <w:rsid w:val="00803870"/>
    <w:rsid w:val="00803F7D"/>
    <w:rsid w:val="00804401"/>
    <w:rsid w:val="00806B30"/>
    <w:rsid w:val="00810E70"/>
    <w:rsid w:val="00817902"/>
    <w:rsid w:val="00820863"/>
    <w:rsid w:val="00823118"/>
    <w:rsid w:val="008236F0"/>
    <w:rsid w:val="008243CE"/>
    <w:rsid w:val="0082544F"/>
    <w:rsid w:val="008259D3"/>
    <w:rsid w:val="00833459"/>
    <w:rsid w:val="0083462B"/>
    <w:rsid w:val="0083677F"/>
    <w:rsid w:val="00837C5B"/>
    <w:rsid w:val="00840248"/>
    <w:rsid w:val="00846959"/>
    <w:rsid w:val="00851FCC"/>
    <w:rsid w:val="00852519"/>
    <w:rsid w:val="008560C6"/>
    <w:rsid w:val="008564C5"/>
    <w:rsid w:val="00861C2F"/>
    <w:rsid w:val="00865931"/>
    <w:rsid w:val="00871939"/>
    <w:rsid w:val="008746C3"/>
    <w:rsid w:val="00875D32"/>
    <w:rsid w:val="00876AD1"/>
    <w:rsid w:val="00880DF8"/>
    <w:rsid w:val="0088112A"/>
    <w:rsid w:val="008851C8"/>
    <w:rsid w:val="00886998"/>
    <w:rsid w:val="00892E7D"/>
    <w:rsid w:val="0089503B"/>
    <w:rsid w:val="00895951"/>
    <w:rsid w:val="0089698C"/>
    <w:rsid w:val="008A0DC2"/>
    <w:rsid w:val="008A6B3D"/>
    <w:rsid w:val="008B0044"/>
    <w:rsid w:val="008B2617"/>
    <w:rsid w:val="008B4E3C"/>
    <w:rsid w:val="008C1A16"/>
    <w:rsid w:val="008C2D9D"/>
    <w:rsid w:val="008C3BE1"/>
    <w:rsid w:val="008C4745"/>
    <w:rsid w:val="008C7D1D"/>
    <w:rsid w:val="008D2008"/>
    <w:rsid w:val="008D2953"/>
    <w:rsid w:val="008D769B"/>
    <w:rsid w:val="008E1990"/>
    <w:rsid w:val="008E4D62"/>
    <w:rsid w:val="008E7E5C"/>
    <w:rsid w:val="008F0069"/>
    <w:rsid w:val="008F18D4"/>
    <w:rsid w:val="008F2234"/>
    <w:rsid w:val="008F2578"/>
    <w:rsid w:val="008F588E"/>
    <w:rsid w:val="008F64DF"/>
    <w:rsid w:val="00903D09"/>
    <w:rsid w:val="009050EC"/>
    <w:rsid w:val="009057EC"/>
    <w:rsid w:val="009061E8"/>
    <w:rsid w:val="0090678B"/>
    <w:rsid w:val="00907186"/>
    <w:rsid w:val="009102DF"/>
    <w:rsid w:val="00912B4F"/>
    <w:rsid w:val="009134E7"/>
    <w:rsid w:val="00914CF2"/>
    <w:rsid w:val="00914FFA"/>
    <w:rsid w:val="0092068F"/>
    <w:rsid w:val="00930D43"/>
    <w:rsid w:val="009366B2"/>
    <w:rsid w:val="00936F35"/>
    <w:rsid w:val="00937D6C"/>
    <w:rsid w:val="00942304"/>
    <w:rsid w:val="00943D04"/>
    <w:rsid w:val="00944AFA"/>
    <w:rsid w:val="0094519E"/>
    <w:rsid w:val="00947A01"/>
    <w:rsid w:val="00950067"/>
    <w:rsid w:val="00950728"/>
    <w:rsid w:val="00951593"/>
    <w:rsid w:val="00952EC7"/>
    <w:rsid w:val="00955BCD"/>
    <w:rsid w:val="00956636"/>
    <w:rsid w:val="00964232"/>
    <w:rsid w:val="00967018"/>
    <w:rsid w:val="0097438B"/>
    <w:rsid w:val="0098394C"/>
    <w:rsid w:val="009842C5"/>
    <w:rsid w:val="00984564"/>
    <w:rsid w:val="00991C57"/>
    <w:rsid w:val="00993B56"/>
    <w:rsid w:val="009949E4"/>
    <w:rsid w:val="00994E9A"/>
    <w:rsid w:val="009A19D6"/>
    <w:rsid w:val="009A1E87"/>
    <w:rsid w:val="009A4F28"/>
    <w:rsid w:val="009B126A"/>
    <w:rsid w:val="009B3428"/>
    <w:rsid w:val="009B7517"/>
    <w:rsid w:val="009C0501"/>
    <w:rsid w:val="009C1117"/>
    <w:rsid w:val="009D0A76"/>
    <w:rsid w:val="009E2B78"/>
    <w:rsid w:val="009F1CD1"/>
    <w:rsid w:val="009F2D9A"/>
    <w:rsid w:val="009F3F20"/>
    <w:rsid w:val="009F41F5"/>
    <w:rsid w:val="00A00023"/>
    <w:rsid w:val="00A0159C"/>
    <w:rsid w:val="00A02203"/>
    <w:rsid w:val="00A03B0F"/>
    <w:rsid w:val="00A0436E"/>
    <w:rsid w:val="00A05BFA"/>
    <w:rsid w:val="00A1058D"/>
    <w:rsid w:val="00A12707"/>
    <w:rsid w:val="00A12DC2"/>
    <w:rsid w:val="00A165EF"/>
    <w:rsid w:val="00A17587"/>
    <w:rsid w:val="00A22E66"/>
    <w:rsid w:val="00A230CE"/>
    <w:rsid w:val="00A23DB6"/>
    <w:rsid w:val="00A254D7"/>
    <w:rsid w:val="00A31AC4"/>
    <w:rsid w:val="00A32335"/>
    <w:rsid w:val="00A335C0"/>
    <w:rsid w:val="00A34025"/>
    <w:rsid w:val="00A34D40"/>
    <w:rsid w:val="00A3655E"/>
    <w:rsid w:val="00A42C58"/>
    <w:rsid w:val="00A4321F"/>
    <w:rsid w:val="00A46B38"/>
    <w:rsid w:val="00A671E2"/>
    <w:rsid w:val="00A6761A"/>
    <w:rsid w:val="00A67CA0"/>
    <w:rsid w:val="00A71AE7"/>
    <w:rsid w:val="00A83224"/>
    <w:rsid w:val="00A835C5"/>
    <w:rsid w:val="00A86586"/>
    <w:rsid w:val="00A871D1"/>
    <w:rsid w:val="00A90073"/>
    <w:rsid w:val="00A90A44"/>
    <w:rsid w:val="00A93742"/>
    <w:rsid w:val="00A94997"/>
    <w:rsid w:val="00A95CB3"/>
    <w:rsid w:val="00AA423A"/>
    <w:rsid w:val="00AA685F"/>
    <w:rsid w:val="00AB106E"/>
    <w:rsid w:val="00AB5D3F"/>
    <w:rsid w:val="00AC1558"/>
    <w:rsid w:val="00AC45F3"/>
    <w:rsid w:val="00AD51A0"/>
    <w:rsid w:val="00AD7C4D"/>
    <w:rsid w:val="00AE2732"/>
    <w:rsid w:val="00AE30CF"/>
    <w:rsid w:val="00AE34C0"/>
    <w:rsid w:val="00AE689F"/>
    <w:rsid w:val="00AF1111"/>
    <w:rsid w:val="00AF28DB"/>
    <w:rsid w:val="00B0024A"/>
    <w:rsid w:val="00B01AEF"/>
    <w:rsid w:val="00B0299F"/>
    <w:rsid w:val="00B039F6"/>
    <w:rsid w:val="00B04C19"/>
    <w:rsid w:val="00B06FA3"/>
    <w:rsid w:val="00B1159D"/>
    <w:rsid w:val="00B22971"/>
    <w:rsid w:val="00B257AD"/>
    <w:rsid w:val="00B25853"/>
    <w:rsid w:val="00B2606F"/>
    <w:rsid w:val="00B30856"/>
    <w:rsid w:val="00B3167C"/>
    <w:rsid w:val="00B32807"/>
    <w:rsid w:val="00B404B7"/>
    <w:rsid w:val="00B5210A"/>
    <w:rsid w:val="00B52133"/>
    <w:rsid w:val="00B52421"/>
    <w:rsid w:val="00B53C68"/>
    <w:rsid w:val="00B5429E"/>
    <w:rsid w:val="00B55BC1"/>
    <w:rsid w:val="00B56375"/>
    <w:rsid w:val="00B57B58"/>
    <w:rsid w:val="00B62066"/>
    <w:rsid w:val="00B658CD"/>
    <w:rsid w:val="00B66C70"/>
    <w:rsid w:val="00B701A2"/>
    <w:rsid w:val="00B7299C"/>
    <w:rsid w:val="00B81E80"/>
    <w:rsid w:val="00B8594D"/>
    <w:rsid w:val="00B91121"/>
    <w:rsid w:val="00B93CE5"/>
    <w:rsid w:val="00B949C9"/>
    <w:rsid w:val="00B94ADB"/>
    <w:rsid w:val="00B95784"/>
    <w:rsid w:val="00B95C42"/>
    <w:rsid w:val="00BA2369"/>
    <w:rsid w:val="00BA5744"/>
    <w:rsid w:val="00BA6B9A"/>
    <w:rsid w:val="00BB0155"/>
    <w:rsid w:val="00BB17CB"/>
    <w:rsid w:val="00BB18CA"/>
    <w:rsid w:val="00BB5CA9"/>
    <w:rsid w:val="00BB6365"/>
    <w:rsid w:val="00BB7AA6"/>
    <w:rsid w:val="00BC5302"/>
    <w:rsid w:val="00BC63EC"/>
    <w:rsid w:val="00BD0540"/>
    <w:rsid w:val="00BD137E"/>
    <w:rsid w:val="00BD1BA9"/>
    <w:rsid w:val="00BD263F"/>
    <w:rsid w:val="00BD2E90"/>
    <w:rsid w:val="00BD3A6A"/>
    <w:rsid w:val="00BD3BCA"/>
    <w:rsid w:val="00BD47DB"/>
    <w:rsid w:val="00BD4D98"/>
    <w:rsid w:val="00BD5FA3"/>
    <w:rsid w:val="00BE0BAF"/>
    <w:rsid w:val="00BE26B4"/>
    <w:rsid w:val="00BE50F7"/>
    <w:rsid w:val="00BE5B94"/>
    <w:rsid w:val="00BF3A54"/>
    <w:rsid w:val="00BF42A2"/>
    <w:rsid w:val="00BF5EFB"/>
    <w:rsid w:val="00BF71F8"/>
    <w:rsid w:val="00BF7CC0"/>
    <w:rsid w:val="00C03AEA"/>
    <w:rsid w:val="00C04D70"/>
    <w:rsid w:val="00C05475"/>
    <w:rsid w:val="00C21FB6"/>
    <w:rsid w:val="00C223DC"/>
    <w:rsid w:val="00C224D9"/>
    <w:rsid w:val="00C22997"/>
    <w:rsid w:val="00C23542"/>
    <w:rsid w:val="00C23E00"/>
    <w:rsid w:val="00C274C0"/>
    <w:rsid w:val="00C27A58"/>
    <w:rsid w:val="00C31EED"/>
    <w:rsid w:val="00C36B21"/>
    <w:rsid w:val="00C40BC0"/>
    <w:rsid w:val="00C46FC4"/>
    <w:rsid w:val="00C472BC"/>
    <w:rsid w:val="00C531CD"/>
    <w:rsid w:val="00C547E5"/>
    <w:rsid w:val="00C55963"/>
    <w:rsid w:val="00C60472"/>
    <w:rsid w:val="00C63CF2"/>
    <w:rsid w:val="00C668F9"/>
    <w:rsid w:val="00C70413"/>
    <w:rsid w:val="00C734AF"/>
    <w:rsid w:val="00C77229"/>
    <w:rsid w:val="00C773A5"/>
    <w:rsid w:val="00C77741"/>
    <w:rsid w:val="00C85AD5"/>
    <w:rsid w:val="00C86189"/>
    <w:rsid w:val="00C954AA"/>
    <w:rsid w:val="00C9667E"/>
    <w:rsid w:val="00CA0684"/>
    <w:rsid w:val="00CA5246"/>
    <w:rsid w:val="00CA6748"/>
    <w:rsid w:val="00CB1551"/>
    <w:rsid w:val="00CB1EA7"/>
    <w:rsid w:val="00CB49F3"/>
    <w:rsid w:val="00CB532D"/>
    <w:rsid w:val="00CB76D6"/>
    <w:rsid w:val="00CC0ECE"/>
    <w:rsid w:val="00CC253B"/>
    <w:rsid w:val="00CC31D7"/>
    <w:rsid w:val="00CC50C8"/>
    <w:rsid w:val="00CD0E5C"/>
    <w:rsid w:val="00CD1867"/>
    <w:rsid w:val="00CD2D1C"/>
    <w:rsid w:val="00CD565A"/>
    <w:rsid w:val="00CD6F13"/>
    <w:rsid w:val="00CD7395"/>
    <w:rsid w:val="00CD755C"/>
    <w:rsid w:val="00CE025C"/>
    <w:rsid w:val="00CE4920"/>
    <w:rsid w:val="00CE5CA8"/>
    <w:rsid w:val="00CF1BA9"/>
    <w:rsid w:val="00CF22CD"/>
    <w:rsid w:val="00CF22D6"/>
    <w:rsid w:val="00CF4B26"/>
    <w:rsid w:val="00CF60E7"/>
    <w:rsid w:val="00CF74F6"/>
    <w:rsid w:val="00D007B5"/>
    <w:rsid w:val="00D01355"/>
    <w:rsid w:val="00D02725"/>
    <w:rsid w:val="00D06776"/>
    <w:rsid w:val="00D076F2"/>
    <w:rsid w:val="00D07B27"/>
    <w:rsid w:val="00D122F8"/>
    <w:rsid w:val="00D13192"/>
    <w:rsid w:val="00D22590"/>
    <w:rsid w:val="00D308B8"/>
    <w:rsid w:val="00D30B3E"/>
    <w:rsid w:val="00D3287F"/>
    <w:rsid w:val="00D35315"/>
    <w:rsid w:val="00D35901"/>
    <w:rsid w:val="00D35CD9"/>
    <w:rsid w:val="00D366E1"/>
    <w:rsid w:val="00D36F09"/>
    <w:rsid w:val="00D40BED"/>
    <w:rsid w:val="00D45A66"/>
    <w:rsid w:val="00D57885"/>
    <w:rsid w:val="00D6252A"/>
    <w:rsid w:val="00D665FD"/>
    <w:rsid w:val="00D6786A"/>
    <w:rsid w:val="00D71FB8"/>
    <w:rsid w:val="00D73252"/>
    <w:rsid w:val="00D80F55"/>
    <w:rsid w:val="00D82D37"/>
    <w:rsid w:val="00D87771"/>
    <w:rsid w:val="00D87F83"/>
    <w:rsid w:val="00D911E4"/>
    <w:rsid w:val="00D93E52"/>
    <w:rsid w:val="00D93F2B"/>
    <w:rsid w:val="00D9439B"/>
    <w:rsid w:val="00D9593E"/>
    <w:rsid w:val="00D96EB2"/>
    <w:rsid w:val="00D97346"/>
    <w:rsid w:val="00DA1158"/>
    <w:rsid w:val="00DA1EAE"/>
    <w:rsid w:val="00DA25C7"/>
    <w:rsid w:val="00DA4BE9"/>
    <w:rsid w:val="00DA575E"/>
    <w:rsid w:val="00DB0ADF"/>
    <w:rsid w:val="00DB7E49"/>
    <w:rsid w:val="00DC0542"/>
    <w:rsid w:val="00DC20C8"/>
    <w:rsid w:val="00DC51A6"/>
    <w:rsid w:val="00DC54C1"/>
    <w:rsid w:val="00DC562D"/>
    <w:rsid w:val="00DC58AB"/>
    <w:rsid w:val="00DC6E58"/>
    <w:rsid w:val="00DD417A"/>
    <w:rsid w:val="00DD520E"/>
    <w:rsid w:val="00DD6680"/>
    <w:rsid w:val="00DD6E46"/>
    <w:rsid w:val="00DE26B2"/>
    <w:rsid w:val="00DE3780"/>
    <w:rsid w:val="00DE6AEB"/>
    <w:rsid w:val="00DF4437"/>
    <w:rsid w:val="00DF5253"/>
    <w:rsid w:val="00E00BF2"/>
    <w:rsid w:val="00E01AA0"/>
    <w:rsid w:val="00E035F9"/>
    <w:rsid w:val="00E03636"/>
    <w:rsid w:val="00E04F85"/>
    <w:rsid w:val="00E05E5B"/>
    <w:rsid w:val="00E10C69"/>
    <w:rsid w:val="00E10E62"/>
    <w:rsid w:val="00E12DBE"/>
    <w:rsid w:val="00E14B53"/>
    <w:rsid w:val="00E16271"/>
    <w:rsid w:val="00E16A83"/>
    <w:rsid w:val="00E17FA5"/>
    <w:rsid w:val="00E25BA2"/>
    <w:rsid w:val="00E277D9"/>
    <w:rsid w:val="00E30CF0"/>
    <w:rsid w:val="00E31396"/>
    <w:rsid w:val="00E317BF"/>
    <w:rsid w:val="00E33697"/>
    <w:rsid w:val="00E343A5"/>
    <w:rsid w:val="00E34A3A"/>
    <w:rsid w:val="00E354BB"/>
    <w:rsid w:val="00E36E2A"/>
    <w:rsid w:val="00E3799E"/>
    <w:rsid w:val="00E435E5"/>
    <w:rsid w:val="00E443CC"/>
    <w:rsid w:val="00E5136C"/>
    <w:rsid w:val="00E550A4"/>
    <w:rsid w:val="00E57158"/>
    <w:rsid w:val="00E57E5E"/>
    <w:rsid w:val="00E60204"/>
    <w:rsid w:val="00E64015"/>
    <w:rsid w:val="00E64330"/>
    <w:rsid w:val="00E64F49"/>
    <w:rsid w:val="00E654B3"/>
    <w:rsid w:val="00E6585D"/>
    <w:rsid w:val="00E65EC3"/>
    <w:rsid w:val="00E708FC"/>
    <w:rsid w:val="00E71A7D"/>
    <w:rsid w:val="00E762EC"/>
    <w:rsid w:val="00E76E58"/>
    <w:rsid w:val="00E817A5"/>
    <w:rsid w:val="00E829A1"/>
    <w:rsid w:val="00E84AEB"/>
    <w:rsid w:val="00E8707E"/>
    <w:rsid w:val="00E879CE"/>
    <w:rsid w:val="00E87AA8"/>
    <w:rsid w:val="00E9380C"/>
    <w:rsid w:val="00E94CA6"/>
    <w:rsid w:val="00E95062"/>
    <w:rsid w:val="00E95778"/>
    <w:rsid w:val="00E969A6"/>
    <w:rsid w:val="00EA14B1"/>
    <w:rsid w:val="00EA3086"/>
    <w:rsid w:val="00EA4050"/>
    <w:rsid w:val="00EA45B4"/>
    <w:rsid w:val="00EB156D"/>
    <w:rsid w:val="00EC0858"/>
    <w:rsid w:val="00EC46A9"/>
    <w:rsid w:val="00EC5BFC"/>
    <w:rsid w:val="00ED0A56"/>
    <w:rsid w:val="00ED4790"/>
    <w:rsid w:val="00ED4BEF"/>
    <w:rsid w:val="00ED6B0C"/>
    <w:rsid w:val="00ED7A2B"/>
    <w:rsid w:val="00EE0184"/>
    <w:rsid w:val="00EE14D0"/>
    <w:rsid w:val="00EE2050"/>
    <w:rsid w:val="00EE5B38"/>
    <w:rsid w:val="00EF047C"/>
    <w:rsid w:val="00EF0D5E"/>
    <w:rsid w:val="00EF11C6"/>
    <w:rsid w:val="00EF185D"/>
    <w:rsid w:val="00EF2BDE"/>
    <w:rsid w:val="00EF663D"/>
    <w:rsid w:val="00F02891"/>
    <w:rsid w:val="00F02ECF"/>
    <w:rsid w:val="00F06560"/>
    <w:rsid w:val="00F06B0D"/>
    <w:rsid w:val="00F07065"/>
    <w:rsid w:val="00F11878"/>
    <w:rsid w:val="00F123F9"/>
    <w:rsid w:val="00F14286"/>
    <w:rsid w:val="00F14BBA"/>
    <w:rsid w:val="00F21475"/>
    <w:rsid w:val="00F225D2"/>
    <w:rsid w:val="00F33F04"/>
    <w:rsid w:val="00F347C2"/>
    <w:rsid w:val="00F34A22"/>
    <w:rsid w:val="00F35D7C"/>
    <w:rsid w:val="00F36B1D"/>
    <w:rsid w:val="00F40086"/>
    <w:rsid w:val="00F4106A"/>
    <w:rsid w:val="00F418F3"/>
    <w:rsid w:val="00F422ED"/>
    <w:rsid w:val="00F432F1"/>
    <w:rsid w:val="00F46FD1"/>
    <w:rsid w:val="00F5164A"/>
    <w:rsid w:val="00F53238"/>
    <w:rsid w:val="00F5410A"/>
    <w:rsid w:val="00F554FE"/>
    <w:rsid w:val="00F55C93"/>
    <w:rsid w:val="00F57CAA"/>
    <w:rsid w:val="00F6140A"/>
    <w:rsid w:val="00F619C5"/>
    <w:rsid w:val="00F6231A"/>
    <w:rsid w:val="00F6352B"/>
    <w:rsid w:val="00F640EC"/>
    <w:rsid w:val="00F64964"/>
    <w:rsid w:val="00F64E36"/>
    <w:rsid w:val="00F71525"/>
    <w:rsid w:val="00F71588"/>
    <w:rsid w:val="00F72FC2"/>
    <w:rsid w:val="00F75394"/>
    <w:rsid w:val="00F778A0"/>
    <w:rsid w:val="00F832DF"/>
    <w:rsid w:val="00F83319"/>
    <w:rsid w:val="00F85BCF"/>
    <w:rsid w:val="00F92489"/>
    <w:rsid w:val="00F927A8"/>
    <w:rsid w:val="00F95992"/>
    <w:rsid w:val="00F97DDB"/>
    <w:rsid w:val="00FA1F96"/>
    <w:rsid w:val="00FA6D35"/>
    <w:rsid w:val="00FB2DF9"/>
    <w:rsid w:val="00FB2E20"/>
    <w:rsid w:val="00FB6234"/>
    <w:rsid w:val="00FB7A81"/>
    <w:rsid w:val="00FC0719"/>
    <w:rsid w:val="00FC3A27"/>
    <w:rsid w:val="00FC4401"/>
    <w:rsid w:val="00FC73B8"/>
    <w:rsid w:val="00FD3D23"/>
    <w:rsid w:val="00FD784C"/>
    <w:rsid w:val="00FD7CDE"/>
    <w:rsid w:val="00FE0266"/>
    <w:rsid w:val="00FE0535"/>
    <w:rsid w:val="00FE18E2"/>
    <w:rsid w:val="00FE2DDD"/>
    <w:rsid w:val="00FE413E"/>
    <w:rsid w:val="00FE758D"/>
    <w:rsid w:val="00FE7CF2"/>
    <w:rsid w:val="00FF2E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58D7BB86-D778-40E6-AE9B-13C6865B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aliases w:val="5_G"/>
    <w:basedOn w:val="Normal"/>
    <w:link w:val="FootnoteTextChar"/>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unhideWhenUsed/>
    <w:rsid w:val="00CA0684"/>
    <w:rPr>
      <w:rFonts w:cs="Times New Roman"/>
      <w:sz w:val="20"/>
      <w:szCs w:val="20"/>
      <w:lang w:val="x-none" w:eastAsia="x-none"/>
    </w:rPr>
  </w:style>
  <w:style w:type="character" w:customStyle="1" w:styleId="CommentTextChar">
    <w:name w:val="Comment Text Char"/>
    <w:link w:val="CommentText"/>
    <w:uiPriority w:val="99"/>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34"/>
    <w:qFormat/>
    <w:rsid w:val="000E287F"/>
    <w:pPr>
      <w:ind w:left="720"/>
      <w:contextualSpacing/>
    </w:pPr>
  </w:style>
  <w:style w:type="character" w:customStyle="1" w:styleId="FootnoteTextChar">
    <w:name w:val="Footnote Text Char"/>
    <w:aliases w:val="5_G Char"/>
    <w:link w:val="FootnoteText"/>
    <w:rsid w:val="00B52421"/>
    <w:rPr>
      <w:rFonts w:ascii="Arial" w:hAnsi="Arial" w:cs="Arial"/>
      <w:lang w:val="de-DE" w:eastAsia="de-DE"/>
    </w:rPr>
  </w:style>
  <w:style w:type="table" w:customStyle="1" w:styleId="Tabellenraster2">
    <w:name w:val="Tabellenraster2"/>
    <w:basedOn w:val="TableNormal"/>
    <w:rsid w:val="009E2B78"/>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5D7C"/>
    <w:rPr>
      <w:rFonts w:ascii="Arial" w:hAnsi="Arial"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966543056">
      <w:bodyDiv w:val="1"/>
      <w:marLeft w:val="0"/>
      <w:marRight w:val="0"/>
      <w:marTop w:val="0"/>
      <w:marBottom w:val="0"/>
      <w:divBdr>
        <w:top w:val="none" w:sz="0" w:space="0" w:color="auto"/>
        <w:left w:val="none" w:sz="0" w:space="0" w:color="auto"/>
        <w:bottom w:val="none" w:sz="0" w:space="0" w:color="auto"/>
        <w:right w:val="none" w:sz="0" w:space="0" w:color="auto"/>
      </w:divBdr>
    </w:div>
    <w:div w:id="1426539489">
      <w:bodyDiv w:val="1"/>
      <w:marLeft w:val="0"/>
      <w:marRight w:val="0"/>
      <w:marTop w:val="0"/>
      <w:marBottom w:val="0"/>
      <w:divBdr>
        <w:top w:val="none" w:sz="0" w:space="0" w:color="auto"/>
        <w:left w:val="none" w:sz="0" w:space="0" w:color="auto"/>
        <w:bottom w:val="none" w:sz="0" w:space="0" w:color="auto"/>
        <w:right w:val="none" w:sz="0" w:space="0" w:color="auto"/>
      </w:divBdr>
    </w:div>
    <w:div w:id="196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2936-B1CD-4F3E-B251-6ABA59BC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2458</Words>
  <Characters>14012</Characters>
  <Application>Microsoft Office Word</Application>
  <DocSecurity>4</DocSecurity>
  <Lines>116</Lines>
  <Paragraphs>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Repp</dc:creator>
  <cp:lastModifiedBy>CRP.3/A.8</cp:lastModifiedBy>
  <cp:revision>2</cp:revision>
  <cp:lastPrinted>2017-05-31T08:47:00Z</cp:lastPrinted>
  <dcterms:created xsi:type="dcterms:W3CDTF">2018-06-25T12:16:00Z</dcterms:created>
  <dcterms:modified xsi:type="dcterms:W3CDTF">2018-06-25T12:16:00Z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