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376C4F">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DF42EA" w:rsidP="00DF42EA">
            <w:pPr>
              <w:jc w:val="right"/>
              <w:rPr>
                <w:lang w:val="fr-FR"/>
              </w:rPr>
            </w:pPr>
            <w:r w:rsidRPr="00DF42EA">
              <w:rPr>
                <w:sz w:val="40"/>
                <w:lang w:val="fr-FR"/>
              </w:rPr>
              <w:t>ECE</w:t>
            </w:r>
            <w:r>
              <w:rPr>
                <w:lang w:val="fr-FR"/>
              </w:rPr>
              <w:t>/TRANS/WP.15/AC.2/2018/19</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3D1DF3" w:rsidRDefault="00DF42EA" w:rsidP="00DF42EA">
            <w:pPr>
              <w:spacing w:before="240" w:line="240" w:lineRule="exact"/>
              <w:rPr>
                <w:lang w:val="fr-FR"/>
              </w:rPr>
            </w:pPr>
            <w:r>
              <w:rPr>
                <w:lang w:val="fr-FR"/>
              </w:rPr>
              <w:t>Distr. générale</w:t>
            </w:r>
          </w:p>
          <w:p w:rsidR="00DF42EA" w:rsidRDefault="00962ECB" w:rsidP="00DF42EA">
            <w:pPr>
              <w:spacing w:line="240" w:lineRule="exact"/>
              <w:rPr>
                <w:lang w:val="fr-FR"/>
              </w:rPr>
            </w:pPr>
            <w:r>
              <w:rPr>
                <w:lang w:val="fr-FR"/>
              </w:rPr>
              <w:t>8</w:t>
            </w:r>
            <w:bookmarkStart w:id="0" w:name="_GoBack"/>
            <w:bookmarkEnd w:id="0"/>
            <w:r w:rsidR="00DF42EA">
              <w:rPr>
                <w:lang w:val="fr-FR"/>
              </w:rPr>
              <w:t xml:space="preserve"> novembre 2017</w:t>
            </w:r>
          </w:p>
          <w:p w:rsidR="00DF42EA" w:rsidRDefault="00DF42EA" w:rsidP="00DF42EA">
            <w:pPr>
              <w:spacing w:line="240" w:lineRule="exact"/>
              <w:rPr>
                <w:lang w:val="fr-FR"/>
              </w:rPr>
            </w:pPr>
          </w:p>
          <w:p w:rsidR="00DF42EA" w:rsidRPr="00072032" w:rsidRDefault="00DF42EA" w:rsidP="00DF42EA">
            <w:pPr>
              <w:spacing w:line="240" w:lineRule="exact"/>
              <w:rPr>
                <w:lang w:val="fr-FR"/>
              </w:rPr>
            </w:pPr>
            <w:r>
              <w:rPr>
                <w:lang w:val="fr-FR"/>
              </w:rPr>
              <w:t xml:space="preserve">Original: français </w:t>
            </w:r>
          </w:p>
        </w:tc>
      </w:tr>
    </w:tbl>
    <w:p w:rsidR="00376C4F" w:rsidRPr="00AF0B4C" w:rsidRDefault="00376C4F" w:rsidP="00376C4F">
      <w:pPr>
        <w:spacing w:before="120"/>
        <w:rPr>
          <w:b/>
          <w:sz w:val="28"/>
          <w:szCs w:val="28"/>
        </w:rPr>
      </w:pPr>
      <w:r w:rsidRPr="00AF0B4C">
        <w:rPr>
          <w:b/>
          <w:sz w:val="28"/>
          <w:szCs w:val="28"/>
        </w:rPr>
        <w:t>Commission économique pour l’Europe</w:t>
      </w:r>
    </w:p>
    <w:p w:rsidR="00376C4F" w:rsidRPr="00AF0B4C" w:rsidRDefault="00376C4F" w:rsidP="00376C4F">
      <w:pPr>
        <w:spacing w:before="120"/>
        <w:rPr>
          <w:sz w:val="28"/>
          <w:szCs w:val="28"/>
        </w:rPr>
      </w:pPr>
      <w:r w:rsidRPr="00AF0B4C">
        <w:rPr>
          <w:sz w:val="28"/>
          <w:szCs w:val="28"/>
        </w:rPr>
        <w:t>Comité des transports intérieurs</w:t>
      </w:r>
    </w:p>
    <w:p w:rsidR="00376C4F" w:rsidRPr="00AF0B4C" w:rsidRDefault="00376C4F" w:rsidP="00376C4F">
      <w:pPr>
        <w:spacing w:before="120"/>
        <w:rPr>
          <w:b/>
          <w:sz w:val="24"/>
          <w:szCs w:val="24"/>
        </w:rPr>
      </w:pPr>
      <w:r w:rsidRPr="00AF0B4C">
        <w:rPr>
          <w:b/>
          <w:sz w:val="24"/>
          <w:szCs w:val="24"/>
        </w:rPr>
        <w:t>Groupe de travail des transports de marchandises dangereuses</w:t>
      </w:r>
    </w:p>
    <w:p w:rsidR="00376C4F" w:rsidRPr="00AF0B4C" w:rsidRDefault="00376C4F" w:rsidP="00376C4F">
      <w:pPr>
        <w:spacing w:before="120"/>
        <w:rPr>
          <w:b/>
        </w:rPr>
      </w:pPr>
      <w:r w:rsidRPr="00AF0B4C">
        <w:rPr>
          <w:b/>
        </w:rPr>
        <w:t xml:space="preserve">Réunion commune d’experts sur le Règlement annexé </w:t>
      </w:r>
      <w:r w:rsidRPr="00AF0B4C">
        <w:rPr>
          <w:b/>
        </w:rPr>
        <w:br/>
        <w:t>à l’Accord européen relatif au transport international</w:t>
      </w:r>
      <w:r w:rsidRPr="00AF0B4C">
        <w:rPr>
          <w:b/>
        </w:rPr>
        <w:br/>
        <w:t xml:space="preserve">des marchandises </w:t>
      </w:r>
      <w:r w:rsidRPr="00AF0B4C">
        <w:rPr>
          <w:b/>
          <w:bCs/>
          <w:iCs/>
        </w:rPr>
        <w:t>dangereuses par voies de navigation</w:t>
      </w:r>
      <w:r w:rsidRPr="00AF0B4C">
        <w:rPr>
          <w:b/>
          <w:bCs/>
          <w:iCs/>
        </w:rPr>
        <w:br/>
        <w:t xml:space="preserve">intérieures (ADN) </w:t>
      </w:r>
      <w:r w:rsidRPr="00AF0B4C">
        <w:rPr>
          <w:b/>
          <w:bCs/>
        </w:rPr>
        <w:t>(Comité de sécurité de l’ADN)</w:t>
      </w:r>
    </w:p>
    <w:p w:rsidR="00376C4F" w:rsidRPr="00AF0B4C" w:rsidRDefault="00376C4F" w:rsidP="00376C4F">
      <w:pPr>
        <w:spacing w:before="120"/>
        <w:rPr>
          <w:b/>
        </w:rPr>
      </w:pPr>
      <w:r w:rsidRPr="00AF0B4C">
        <w:rPr>
          <w:b/>
        </w:rPr>
        <w:t>Trente-deuxième session</w:t>
      </w:r>
    </w:p>
    <w:p w:rsidR="00376C4F" w:rsidRPr="00AF0B4C" w:rsidRDefault="00376C4F" w:rsidP="00376C4F">
      <w:r w:rsidRPr="00AF0B4C">
        <w:t>Genève, 22-26 janvier 2018</w:t>
      </w:r>
    </w:p>
    <w:p w:rsidR="00376C4F" w:rsidRPr="00AF0B4C" w:rsidRDefault="00ED7B41" w:rsidP="00376C4F">
      <w:r>
        <w:t>Point 5 b)</w:t>
      </w:r>
      <w:r w:rsidR="00376C4F" w:rsidRPr="00AF0B4C">
        <w:t xml:space="preserve"> de l’ordre du jour provisoire</w:t>
      </w:r>
    </w:p>
    <w:p w:rsidR="00376C4F" w:rsidRPr="00AF0B4C" w:rsidRDefault="00376C4F" w:rsidP="00376C4F">
      <w:pPr>
        <w:rPr>
          <w:b/>
        </w:rPr>
      </w:pPr>
      <w:r w:rsidRPr="00AF0B4C">
        <w:rPr>
          <w:b/>
        </w:rPr>
        <w:t>Propositions d’amendements au Règlement annexé à l’ADN :</w:t>
      </w:r>
    </w:p>
    <w:p w:rsidR="004963DE" w:rsidRDefault="00376C4F" w:rsidP="00376C4F">
      <w:pPr>
        <w:rPr>
          <w:b/>
        </w:rPr>
      </w:pPr>
      <w:r>
        <w:rPr>
          <w:b/>
        </w:rPr>
        <w:t>a</w:t>
      </w:r>
      <w:r w:rsidRPr="00AF0B4C">
        <w:rPr>
          <w:b/>
        </w:rPr>
        <w:t>utres propositions</w:t>
      </w:r>
    </w:p>
    <w:p w:rsidR="00376C4F" w:rsidRDefault="00376C4F" w:rsidP="00376C4F">
      <w:pPr>
        <w:pStyle w:val="HChG"/>
        <w:rPr>
          <w:lang w:bidi="fr-FR"/>
        </w:rPr>
      </w:pPr>
      <w:r>
        <w:rPr>
          <w:lang w:bidi="fr-FR"/>
        </w:rPr>
        <w:tab/>
      </w:r>
      <w:r>
        <w:rPr>
          <w:lang w:bidi="fr-FR"/>
        </w:rPr>
        <w:tab/>
      </w:r>
      <w:r w:rsidRPr="009306D6">
        <w:rPr>
          <w:lang w:bidi="fr-FR"/>
        </w:rPr>
        <w:t>Matériaux de construction</w:t>
      </w:r>
    </w:p>
    <w:p w:rsidR="00376C4F" w:rsidRDefault="00376C4F" w:rsidP="00376C4F">
      <w:pPr>
        <w:pStyle w:val="H1G"/>
        <w:rPr>
          <w:sz w:val="20"/>
        </w:rPr>
      </w:pPr>
      <w:r>
        <w:rPr>
          <w:snapToGrid w:val="0"/>
          <w:lang w:bidi="fr-FR"/>
        </w:rPr>
        <w:tab/>
      </w:r>
      <w:r>
        <w:rPr>
          <w:snapToGrid w:val="0"/>
          <w:lang w:bidi="fr-FR"/>
        </w:rPr>
        <w:tab/>
      </w:r>
      <w:r w:rsidRPr="00C24415">
        <w:rPr>
          <w:snapToGrid w:val="0"/>
          <w:lang w:bidi="fr-FR"/>
        </w:rPr>
        <w:t>Transmis conjointement par l'Union européenne de la navigation fluviale (UENF), par la European River Sea Transport Union (ERSTU) et par l'Organisation européenne des bateliers (OEB)</w:t>
      </w:r>
      <w:r w:rsidRPr="00551E31">
        <w:rPr>
          <w:rStyle w:val="FootnoteReference"/>
          <w:sz w:val="20"/>
        </w:rPr>
        <w:footnoteReference w:customMarkFollows="1" w:id="2"/>
        <w:t>*</w:t>
      </w:r>
      <w:r w:rsidRPr="00551E31">
        <w:rPr>
          <w:b w:val="0"/>
          <w:sz w:val="20"/>
          <w:vertAlign w:val="superscript"/>
        </w:rPr>
        <w:t>,</w:t>
      </w:r>
      <w:r w:rsidRPr="00551E31">
        <w:rPr>
          <w:rStyle w:val="FootnoteReference"/>
          <w:sz w:val="20"/>
        </w:rPr>
        <w:footnoteReference w:customMarkFollows="1" w:id="3"/>
        <w:t>**</w:t>
      </w:r>
    </w:p>
    <w:p w:rsidR="00376C4F" w:rsidRDefault="00376C4F" w:rsidP="00376C4F">
      <w:pPr>
        <w:pStyle w:val="HChG"/>
        <w:rPr>
          <w:lang w:bidi="fr-FR"/>
        </w:rPr>
      </w:pPr>
      <w:r>
        <w:rPr>
          <w:lang w:bidi="fr-FR"/>
        </w:rPr>
        <w:tab/>
      </w:r>
      <w:r>
        <w:rPr>
          <w:lang w:bidi="fr-FR"/>
        </w:rPr>
        <w:tab/>
      </w:r>
      <w:r w:rsidRPr="009306D6">
        <w:rPr>
          <w:lang w:bidi="fr-FR"/>
        </w:rPr>
        <w:t>Introduction</w:t>
      </w:r>
    </w:p>
    <w:p w:rsidR="00376C4F" w:rsidRPr="009306D6" w:rsidRDefault="00376C4F" w:rsidP="00376C4F">
      <w:pPr>
        <w:pStyle w:val="SingleTxtG"/>
        <w:rPr>
          <w:lang w:bidi="fr-FR"/>
        </w:rPr>
      </w:pPr>
      <w:r w:rsidRPr="009306D6">
        <w:rPr>
          <w:lang w:bidi="fr-FR"/>
        </w:rPr>
        <w:t>1.</w:t>
      </w:r>
      <w:r w:rsidRPr="009306D6">
        <w:rPr>
          <w:sz w:val="24"/>
          <w:lang w:bidi="fr-FR"/>
        </w:rPr>
        <w:tab/>
      </w:r>
      <w:r w:rsidRPr="009306D6">
        <w:rPr>
          <w:lang w:bidi="fr-FR"/>
        </w:rPr>
        <w:t xml:space="preserve">Depuis sa </w:t>
      </w:r>
      <w:r w:rsidR="00682C4D">
        <w:rPr>
          <w:lang w:bidi="fr-FR"/>
        </w:rPr>
        <w:t>vingt-septième</w:t>
      </w:r>
      <w:r w:rsidRPr="009306D6">
        <w:rPr>
          <w:lang w:bidi="fr-FR"/>
        </w:rPr>
        <w:t xml:space="preserve"> session, le comité de sécurité ADN a examiné à plusieurs reprises la demande de la profession d’actualiser les dispositions relatives à l’utilisation de matériaux de construction autorisés et de les présenter sous une forme plus claire. Le document </w:t>
      </w:r>
      <w:r w:rsidR="00ED7B41">
        <w:rPr>
          <w:lang w:bidi="fr-FR"/>
        </w:rPr>
        <w:t>ECE/TRANS</w:t>
      </w:r>
      <w:r w:rsidRPr="009306D6">
        <w:rPr>
          <w:lang w:bidi="fr-FR"/>
        </w:rPr>
        <w:t>/WP.15/AC.2017/40 contient des extraits de comptes rendus sur l’évolution des discussions.</w:t>
      </w:r>
    </w:p>
    <w:p w:rsidR="00376C4F" w:rsidRPr="009306D6" w:rsidRDefault="00376C4F" w:rsidP="00376C4F">
      <w:pPr>
        <w:pStyle w:val="SingleTxtG"/>
        <w:rPr>
          <w:lang w:bidi="fr-FR"/>
        </w:rPr>
      </w:pPr>
      <w:r w:rsidRPr="009306D6">
        <w:rPr>
          <w:lang w:bidi="fr-FR"/>
        </w:rPr>
        <w:t>2.</w:t>
      </w:r>
      <w:r w:rsidRPr="009306D6">
        <w:rPr>
          <w:sz w:val="24"/>
          <w:lang w:bidi="fr-FR"/>
        </w:rPr>
        <w:tab/>
      </w:r>
      <w:r w:rsidRPr="009306D6">
        <w:rPr>
          <w:lang w:bidi="fr-FR"/>
        </w:rPr>
        <w:t>Le comité de sécurité a approuvé une présentation sous forme de tableau du texte actuel des 9.3.x.0.3 a) à c). Le texte du sous-point actuel d) des 9.3.x.0.3 ne sera pas intégré dans le tableau (voir point 8. de la présente demande).</w:t>
      </w:r>
    </w:p>
    <w:p w:rsidR="00376C4F" w:rsidRPr="009306D6" w:rsidRDefault="00376C4F" w:rsidP="00376C4F">
      <w:pPr>
        <w:tabs>
          <w:tab w:val="left" w:pos="567"/>
          <w:tab w:val="left" w:pos="1701"/>
          <w:tab w:val="left" w:pos="2552"/>
          <w:tab w:val="left" w:pos="3119"/>
          <w:tab w:val="left" w:pos="3686"/>
        </w:tabs>
        <w:ind w:right="567"/>
        <w:rPr>
          <w:lang w:val="fr-FR" w:bidi="fr-FR"/>
        </w:rPr>
      </w:pPr>
    </w:p>
    <w:p w:rsidR="00376C4F" w:rsidRPr="009306D6" w:rsidRDefault="00376C4F" w:rsidP="00376C4F">
      <w:pPr>
        <w:pStyle w:val="SingleTxtG"/>
        <w:rPr>
          <w:lang w:bidi="fr-FR"/>
        </w:rPr>
      </w:pPr>
      <w:r w:rsidRPr="009306D6">
        <w:rPr>
          <w:lang w:bidi="fr-FR"/>
        </w:rPr>
        <w:lastRenderedPageBreak/>
        <w:t>3.</w:t>
      </w:r>
      <w:r w:rsidRPr="009306D6">
        <w:rPr>
          <w:sz w:val="24"/>
          <w:lang w:bidi="fr-FR"/>
        </w:rPr>
        <w:tab/>
      </w:r>
      <w:r w:rsidRPr="009306D6">
        <w:rPr>
          <w:lang w:bidi="fr-FR"/>
        </w:rPr>
        <w:t xml:space="preserve">Lors des délibérations passées, le comité de sécurité a également examiné la question de savoir si les équipements mobiles doivent également figurer dans le tableau. Cette question a reçu une réponse positive lors de la </w:t>
      </w:r>
      <w:r w:rsidR="00ED7B41">
        <w:rPr>
          <w:lang w:bidi="fr-FR"/>
        </w:rPr>
        <w:t xml:space="preserve">trente-et-unième </w:t>
      </w:r>
      <w:r w:rsidRPr="009306D6">
        <w:rPr>
          <w:lang w:bidi="fr-FR"/>
        </w:rPr>
        <w:t>session du comité de sécurité de la CEE-ONU. Les demandeurs ont été invités à soumettre une demande qui en tienne compte.</w:t>
      </w:r>
    </w:p>
    <w:p w:rsidR="00376C4F" w:rsidRPr="009306D6" w:rsidRDefault="00376C4F" w:rsidP="00376C4F">
      <w:pPr>
        <w:pStyle w:val="SingleTxtG"/>
        <w:rPr>
          <w:lang w:bidi="fr-FR"/>
        </w:rPr>
      </w:pPr>
      <w:r w:rsidRPr="009306D6">
        <w:rPr>
          <w:lang w:bidi="fr-FR"/>
        </w:rPr>
        <w:t>4.</w:t>
      </w:r>
      <w:r w:rsidRPr="009306D6">
        <w:rPr>
          <w:sz w:val="24"/>
          <w:lang w:bidi="fr-FR"/>
        </w:rPr>
        <w:tab/>
      </w:r>
      <w:r w:rsidRPr="009306D6">
        <w:rPr>
          <w:lang w:bidi="fr-FR"/>
        </w:rPr>
        <w:t xml:space="preserve">La note du compte rendu de la </w:t>
      </w:r>
      <w:r w:rsidR="00682C4D">
        <w:rPr>
          <w:lang w:bidi="fr-FR"/>
        </w:rPr>
        <w:t>trente et unième</w:t>
      </w:r>
      <w:r w:rsidRPr="009306D6">
        <w:rPr>
          <w:lang w:bidi="fr-FR"/>
        </w:rPr>
        <w:t xml:space="preserve"> session s’énonce ainsi :</w:t>
      </w:r>
    </w:p>
    <w:p w:rsidR="00376C4F" w:rsidRPr="00377EF5" w:rsidRDefault="00ED7B41" w:rsidP="00376C4F">
      <w:pPr>
        <w:pStyle w:val="SingleTxtG"/>
        <w:rPr>
          <w:lang w:bidi="fr-FR"/>
        </w:rPr>
      </w:pPr>
      <w:r>
        <w:rPr>
          <w:lang w:bidi="fr-FR"/>
        </w:rPr>
        <w:t>“</w:t>
      </w:r>
      <w:r w:rsidR="00376C4F" w:rsidRPr="00E01001">
        <w:rPr>
          <w:lang w:bidi="fr-FR"/>
        </w:rPr>
        <w:t>45.</w:t>
      </w:r>
      <w:r w:rsidR="00376C4F" w:rsidRPr="00E01001">
        <w:rPr>
          <w:lang w:bidi="fr-FR"/>
        </w:rPr>
        <w:tab/>
        <w:t>The Safety Committee decided that the tables proposed in 9.3.</w:t>
      </w:r>
      <w:r w:rsidR="00376C4F">
        <w:rPr>
          <w:lang w:bidi="fr-FR"/>
        </w:rPr>
        <w:t>x</w:t>
      </w:r>
      <w:r w:rsidR="00376C4F" w:rsidRPr="00E01001">
        <w:rPr>
          <w:lang w:bidi="fr-FR"/>
        </w:rPr>
        <w:t xml:space="preserve">.0.3 for authorized construction materials </w:t>
      </w:r>
      <w:r w:rsidR="00376C4F" w:rsidRPr="00E01001">
        <w:rPr>
          <w:b/>
          <w:lang w:bidi="fr-FR"/>
        </w:rPr>
        <w:t>should include a line for all types of movable equipment</w:t>
      </w:r>
      <w:r w:rsidR="00376C4F" w:rsidRPr="00E01001">
        <w:rPr>
          <w:lang w:bidi="fr-FR"/>
        </w:rPr>
        <w:t>. EBU, ERSTU and ESO should prepare a new proposal on that basis. The proposal of inserting a new 7.1.2.3 was withdrawn, and that of inserting a new 7.2.2.3 was not adopted.</w:t>
      </w:r>
      <w:r>
        <w:rPr>
          <w:lang w:bidi="fr-FR"/>
        </w:rPr>
        <w:t>”</w:t>
      </w:r>
    </w:p>
    <w:p w:rsidR="00376C4F" w:rsidRPr="00376C4F" w:rsidRDefault="00376C4F" w:rsidP="00376C4F">
      <w:pPr>
        <w:pStyle w:val="SingleTxtG"/>
        <w:rPr>
          <w:rFonts w:eastAsia="Calibri" w:cs="Arial"/>
          <w:b/>
          <w:bCs/>
          <w:szCs w:val="28"/>
          <w:lang w:bidi="fr-FR"/>
        </w:rPr>
      </w:pPr>
      <w:r w:rsidRPr="00376C4F">
        <w:rPr>
          <w:b/>
          <w:lang w:bidi="fr-FR"/>
        </w:rPr>
        <w:t>Propositions</w:t>
      </w:r>
    </w:p>
    <w:p w:rsidR="00376C4F" w:rsidRPr="009306D6" w:rsidRDefault="00376C4F" w:rsidP="00376C4F">
      <w:pPr>
        <w:pStyle w:val="SingleTxtG"/>
        <w:rPr>
          <w:lang w:bidi="fr-FR"/>
        </w:rPr>
      </w:pPr>
      <w:r w:rsidRPr="009306D6">
        <w:rPr>
          <w:lang w:bidi="fr-FR"/>
        </w:rPr>
        <w:t>5.</w:t>
      </w:r>
      <w:r w:rsidRPr="009306D6">
        <w:rPr>
          <w:sz w:val="24"/>
          <w:lang w:bidi="fr-FR"/>
        </w:rPr>
        <w:tab/>
      </w:r>
      <w:r w:rsidRPr="009306D6">
        <w:rPr>
          <w:lang w:bidi="fr-FR"/>
        </w:rPr>
        <w:t>Le 9.3.x.0.2 s’énonce jusqu’à présent comme suit :</w:t>
      </w:r>
    </w:p>
    <w:p w:rsidR="00376C4F" w:rsidRPr="009306D6" w:rsidRDefault="00376C4F" w:rsidP="00376C4F">
      <w:pPr>
        <w:pStyle w:val="SingleTxtG"/>
        <w:rPr>
          <w:rFonts w:eastAsia="Calibri"/>
          <w:lang w:bidi="fr-FR"/>
        </w:rPr>
      </w:pPr>
      <w:r w:rsidRPr="009306D6">
        <w:rPr>
          <w:lang w:bidi="fr-FR"/>
        </w:rPr>
        <w:t>« </w:t>
      </w:r>
      <w:r w:rsidRPr="0061175B">
        <w:rPr>
          <w:lang w:bidi="fr-FR"/>
        </w:rPr>
        <w:t>Sauf dans les cas où il est explicitement autorisé au 9.3.</w:t>
      </w:r>
      <w:r>
        <w:rPr>
          <w:lang w:bidi="fr-FR"/>
        </w:rPr>
        <w:t>x</w:t>
      </w:r>
      <w:r w:rsidRPr="0061175B">
        <w:rPr>
          <w:lang w:bidi="fr-FR"/>
        </w:rPr>
        <w:t>.0.3 ou dans le certificat d'agrément, l'emploi du bois, des alliages d'aluminium, ou des matières plastiques dans la zone de cargaison est interdit.</w:t>
      </w:r>
      <w:r w:rsidRPr="009306D6">
        <w:rPr>
          <w:lang w:bidi="fr-FR"/>
        </w:rPr>
        <w:t>»</w:t>
      </w:r>
    </w:p>
    <w:p w:rsidR="00376C4F" w:rsidRPr="009306D6" w:rsidRDefault="00ED7B41" w:rsidP="00376C4F">
      <w:pPr>
        <w:pStyle w:val="SingleTxtG"/>
        <w:rPr>
          <w:lang w:bidi="fr-FR"/>
        </w:rPr>
      </w:pPr>
      <w:r>
        <w:rPr>
          <w:lang w:bidi="fr-FR"/>
        </w:rPr>
        <w:t>6.</w:t>
      </w:r>
      <w:r>
        <w:rPr>
          <w:lang w:bidi="fr-FR"/>
        </w:rPr>
        <w:tab/>
      </w:r>
      <w:r w:rsidR="00376C4F" w:rsidRPr="009306D6">
        <w:rPr>
          <w:lang w:bidi="fr-FR"/>
        </w:rPr>
        <w:t xml:space="preserve">Il est proposé de modifier le 9.3.x.0.2 comme suit : </w:t>
      </w:r>
    </w:p>
    <w:p w:rsidR="00376C4F" w:rsidRPr="009306D6" w:rsidRDefault="00376C4F" w:rsidP="00376C4F">
      <w:pPr>
        <w:pStyle w:val="SingleTxtG"/>
        <w:rPr>
          <w:rFonts w:eastAsia="Calibri"/>
          <w:lang w:bidi="fr-FR"/>
        </w:rPr>
      </w:pPr>
      <w:r w:rsidRPr="009306D6">
        <w:rPr>
          <w:lang w:bidi="fr-FR"/>
        </w:rPr>
        <w:t>« </w:t>
      </w:r>
      <w:r w:rsidRPr="0061175B">
        <w:rPr>
          <w:lang w:bidi="fr-FR"/>
        </w:rPr>
        <w:t>Sauf dans les cas où il est explicitement autorisé au 9.3.</w:t>
      </w:r>
      <w:r>
        <w:rPr>
          <w:lang w:bidi="fr-FR"/>
        </w:rPr>
        <w:t>x</w:t>
      </w:r>
      <w:r w:rsidRPr="0061175B">
        <w:rPr>
          <w:lang w:bidi="fr-FR"/>
        </w:rPr>
        <w:t xml:space="preserve">.0.3 ou dans le certificat d'agrément, l'emploi du bois, des alliages d'aluminium, </w:t>
      </w:r>
      <w:r w:rsidRPr="0061175B">
        <w:rPr>
          <w:strike/>
          <w:lang w:bidi="fr-FR"/>
        </w:rPr>
        <w:t>ou</w:t>
      </w:r>
      <w:r w:rsidRPr="0061175B">
        <w:rPr>
          <w:lang w:bidi="fr-FR"/>
        </w:rPr>
        <w:t xml:space="preserve"> des matières plastiques </w:t>
      </w:r>
      <w:r w:rsidRPr="0061175B">
        <w:rPr>
          <w:b/>
          <w:u w:val="single"/>
          <w:lang w:bidi="fr-FR"/>
        </w:rPr>
        <w:t>ou de caoutchouc</w:t>
      </w:r>
      <w:r>
        <w:rPr>
          <w:lang w:bidi="fr-FR"/>
        </w:rPr>
        <w:t xml:space="preserve"> </w:t>
      </w:r>
      <w:r w:rsidRPr="0061175B">
        <w:rPr>
          <w:lang w:bidi="fr-FR"/>
        </w:rPr>
        <w:t>dans la zone de cargaison est interdit.</w:t>
      </w:r>
      <w:r w:rsidRPr="009306D6">
        <w:rPr>
          <w:lang w:bidi="fr-FR"/>
        </w:rPr>
        <w:t> »</w:t>
      </w:r>
    </w:p>
    <w:p w:rsidR="00376C4F" w:rsidRPr="009306D6" w:rsidRDefault="00ED7B41" w:rsidP="00376C4F">
      <w:pPr>
        <w:pStyle w:val="SingleTxtG"/>
        <w:rPr>
          <w:lang w:bidi="fr-FR"/>
        </w:rPr>
      </w:pPr>
      <w:r>
        <w:rPr>
          <w:lang w:bidi="fr-FR"/>
        </w:rPr>
        <w:t>7</w:t>
      </w:r>
      <w:r w:rsidR="00376C4F" w:rsidRPr="009306D6">
        <w:rPr>
          <w:lang w:bidi="fr-FR"/>
        </w:rPr>
        <w:t>.</w:t>
      </w:r>
      <w:r w:rsidR="00376C4F" w:rsidRPr="009306D6">
        <w:rPr>
          <w:sz w:val="24"/>
          <w:lang w:bidi="fr-FR"/>
        </w:rPr>
        <w:tab/>
      </w:r>
      <w:r w:rsidR="00376C4F" w:rsidRPr="009306D6">
        <w:rPr>
          <w:lang w:bidi="fr-FR"/>
        </w:rPr>
        <w:t xml:space="preserve">Un tableau est joint à la présente demande qui part de la situation RÉELLE plutôt que des dispositions des 9.3.x.0.3 de l’ADN 2017, et qui contient donc à nouveau des prescriptions pour les équipements fixes </w:t>
      </w:r>
      <w:r w:rsidR="00376C4F" w:rsidRPr="009306D6">
        <w:rPr>
          <w:u w:val="single"/>
          <w:lang w:bidi="fr-FR"/>
        </w:rPr>
        <w:t>et</w:t>
      </w:r>
      <w:r w:rsidR="00376C4F" w:rsidRPr="009306D6">
        <w:rPr>
          <w:lang w:bidi="fr-FR"/>
        </w:rPr>
        <w:t xml:space="preserve"> mobiles. Les souhaits de modifications présentés par la profession à la </w:t>
      </w:r>
      <w:r w:rsidR="00682C4D">
        <w:rPr>
          <w:lang w:bidi="fr-FR"/>
        </w:rPr>
        <w:t xml:space="preserve">vingt-huitième </w:t>
      </w:r>
      <w:r w:rsidR="00376C4F" w:rsidRPr="009306D6">
        <w:rPr>
          <w:lang w:bidi="fr-FR"/>
        </w:rPr>
        <w:t xml:space="preserve">session sont marqués en rouge. </w:t>
      </w:r>
    </w:p>
    <w:p w:rsidR="00376C4F" w:rsidRPr="009306D6" w:rsidRDefault="00ED7B41" w:rsidP="00376C4F">
      <w:pPr>
        <w:pStyle w:val="SingleTxtG"/>
        <w:rPr>
          <w:lang w:bidi="fr-FR"/>
        </w:rPr>
      </w:pPr>
      <w:r>
        <w:rPr>
          <w:lang w:bidi="fr-FR"/>
        </w:rPr>
        <w:t>8.</w:t>
      </w:r>
      <w:r>
        <w:rPr>
          <w:lang w:bidi="fr-FR"/>
        </w:rPr>
        <w:tab/>
      </w:r>
      <w:r w:rsidR="00376C4F" w:rsidRPr="009306D6">
        <w:rPr>
          <w:lang w:bidi="fr-FR"/>
        </w:rPr>
        <w:t xml:space="preserve">On a en outre intégré (en bleu) toutes les autres contributions à la discussion soumises depuis la </w:t>
      </w:r>
      <w:r w:rsidR="00682C4D">
        <w:rPr>
          <w:lang w:bidi="fr-FR"/>
        </w:rPr>
        <w:t xml:space="preserve">vingt-huitième </w:t>
      </w:r>
      <w:r w:rsidR="00376C4F" w:rsidRPr="009306D6">
        <w:rPr>
          <w:lang w:bidi="fr-FR"/>
        </w:rPr>
        <w:t xml:space="preserve">session. </w:t>
      </w:r>
    </w:p>
    <w:p w:rsidR="00376C4F" w:rsidRPr="009306D6" w:rsidRDefault="00ED7B41" w:rsidP="00376C4F">
      <w:pPr>
        <w:pStyle w:val="SingleTxtG"/>
        <w:rPr>
          <w:lang w:bidi="fr-FR"/>
        </w:rPr>
      </w:pPr>
      <w:r>
        <w:rPr>
          <w:lang w:bidi="fr-FR"/>
        </w:rPr>
        <w:t>9</w:t>
      </w:r>
      <w:r w:rsidR="00376C4F" w:rsidRPr="009306D6">
        <w:rPr>
          <w:lang w:bidi="fr-FR"/>
        </w:rPr>
        <w:t>.</w:t>
      </w:r>
      <w:r w:rsidR="00376C4F" w:rsidRPr="009306D6">
        <w:rPr>
          <w:sz w:val="24"/>
          <w:lang w:bidi="fr-FR"/>
        </w:rPr>
        <w:tab/>
      </w:r>
      <w:r w:rsidR="00376C4F" w:rsidRPr="009306D6">
        <w:rPr>
          <w:lang w:bidi="fr-FR"/>
        </w:rPr>
        <w:t xml:space="preserve">Les demandeurs n’ont pas suivi le souhait du comité de sécurité d’intégrer une seule ligne avec des prescriptions pour les équipements mobiles, car les exigences posées aux divers équipements mobiles sont trop différentes pour les traiter dans une seule ligne. </w:t>
      </w:r>
    </w:p>
    <w:p w:rsidR="00376C4F" w:rsidRPr="009306D6" w:rsidRDefault="00ED7B41" w:rsidP="00376C4F">
      <w:pPr>
        <w:pStyle w:val="SingleTxtG"/>
        <w:rPr>
          <w:lang w:bidi="fr-FR"/>
        </w:rPr>
      </w:pPr>
      <w:r>
        <w:rPr>
          <w:lang w:bidi="fr-FR"/>
        </w:rPr>
        <w:t>10</w:t>
      </w:r>
      <w:r w:rsidR="00376C4F" w:rsidRPr="009306D6">
        <w:rPr>
          <w:lang w:bidi="fr-FR"/>
        </w:rPr>
        <w:t>.</w:t>
      </w:r>
      <w:r w:rsidR="00376C4F" w:rsidRPr="009306D6">
        <w:rPr>
          <w:sz w:val="24"/>
          <w:lang w:bidi="fr-FR"/>
        </w:rPr>
        <w:tab/>
      </w:r>
      <w:r w:rsidR="00376C4F" w:rsidRPr="009306D6">
        <w:rPr>
          <w:lang w:bidi="fr-FR"/>
        </w:rPr>
        <w:t>Il est proposé de rédiger les 9.3.x.0.3 comme suit :</w:t>
      </w:r>
    </w:p>
    <w:p w:rsidR="00376C4F" w:rsidRPr="009306D6" w:rsidRDefault="00376C4F" w:rsidP="00376C4F">
      <w:pPr>
        <w:pStyle w:val="SingleTxtG"/>
        <w:rPr>
          <w:rFonts w:eastAsia="Calibri"/>
          <w:lang w:bidi="fr-FR"/>
        </w:rPr>
      </w:pPr>
      <w:r w:rsidRPr="009306D6">
        <w:rPr>
          <w:lang w:bidi="fr-FR"/>
        </w:rPr>
        <w:t>« L’emploi de bois, d’alliages d’aluminium, de matières plastiques et de caoutchouc dans la zone de cargaison est autorisé conformément au tableau suivant.</w:t>
      </w:r>
    </w:p>
    <w:p w:rsidR="00376C4F" w:rsidRPr="009306D6" w:rsidRDefault="00376C4F" w:rsidP="00376C4F">
      <w:pPr>
        <w:pStyle w:val="SingleTxtG"/>
        <w:rPr>
          <w:rFonts w:eastAsia="Calibri"/>
          <w:lang w:bidi="fr-FR"/>
        </w:rPr>
      </w:pPr>
      <w:r w:rsidRPr="009306D6">
        <w:rPr>
          <w:lang w:bidi="fr-FR"/>
        </w:rPr>
        <w:t>(Tableau)</w:t>
      </w:r>
    </w:p>
    <w:p w:rsidR="00376C4F" w:rsidRPr="009306D6" w:rsidRDefault="00ED7B41" w:rsidP="00376C4F">
      <w:pPr>
        <w:pStyle w:val="SingleTxtG"/>
        <w:rPr>
          <w:rFonts w:eastAsia="Calibri"/>
          <w:lang w:bidi="fr-FR"/>
        </w:rPr>
      </w:pPr>
      <w:r>
        <w:rPr>
          <w:lang w:bidi="fr-FR"/>
        </w:rPr>
        <w:t>11.</w:t>
      </w:r>
      <w:r>
        <w:rPr>
          <w:lang w:bidi="fr-FR"/>
        </w:rPr>
        <w:tab/>
      </w:r>
      <w:r w:rsidR="00376C4F" w:rsidRPr="009306D6">
        <w:rPr>
          <w:lang w:bidi="fr-FR"/>
        </w:rPr>
        <w:t>Tous les matériaux utilisés pour les éléments fixes des logements ou de la timonerie, à l’exception des meubles, doivent être difficilement inflammables. Lors d’un incendie, ils ne doivent pas dégager de fumées ou de gaz toxiques en quantités dangereuses. »</w:t>
      </w:r>
    </w:p>
    <w:p w:rsidR="00376C4F" w:rsidRPr="009306D6" w:rsidRDefault="00ED7B41" w:rsidP="00376C4F">
      <w:pPr>
        <w:pStyle w:val="SingleTxtG"/>
        <w:rPr>
          <w:lang w:bidi="fr-FR"/>
        </w:rPr>
      </w:pPr>
      <w:r>
        <w:rPr>
          <w:lang w:bidi="fr-FR"/>
        </w:rPr>
        <w:t>12</w:t>
      </w:r>
      <w:r w:rsidR="00376C4F" w:rsidRPr="009306D6">
        <w:rPr>
          <w:lang w:bidi="fr-FR"/>
        </w:rPr>
        <w:t>.</w:t>
      </w:r>
      <w:r w:rsidR="00376C4F" w:rsidRPr="009306D6">
        <w:rPr>
          <w:sz w:val="24"/>
          <w:lang w:bidi="fr-FR"/>
        </w:rPr>
        <w:tab/>
      </w:r>
      <w:r w:rsidR="00376C4F" w:rsidRPr="009306D6">
        <w:rPr>
          <w:lang w:bidi="fr-FR"/>
        </w:rPr>
        <w:t>Le 9.3.x.0.5 s’énonce jusqu’à présent comme suit :</w:t>
      </w:r>
    </w:p>
    <w:p w:rsidR="00376C4F" w:rsidRPr="009306D6" w:rsidRDefault="00376C4F" w:rsidP="00376C4F">
      <w:pPr>
        <w:pStyle w:val="SingleTxtG"/>
        <w:rPr>
          <w:rFonts w:eastAsia="Calibri"/>
          <w:lang w:bidi="fr-FR"/>
        </w:rPr>
      </w:pPr>
      <w:r w:rsidRPr="009306D6">
        <w:rPr>
          <w:lang w:bidi="fr-FR"/>
        </w:rPr>
        <w:t>« L’emploi de matières plastiques pour les canots n’est autorisé que si le matériau est difficilement inflammable. »</w:t>
      </w:r>
    </w:p>
    <w:p w:rsidR="00376C4F" w:rsidRPr="009306D6" w:rsidRDefault="00ED7B41" w:rsidP="00376C4F">
      <w:pPr>
        <w:pStyle w:val="SingleTxtG"/>
        <w:rPr>
          <w:lang w:bidi="fr-FR"/>
        </w:rPr>
      </w:pPr>
      <w:r>
        <w:rPr>
          <w:lang w:bidi="fr-FR"/>
        </w:rPr>
        <w:t>13.</w:t>
      </w:r>
      <w:r>
        <w:rPr>
          <w:lang w:bidi="fr-FR"/>
        </w:rPr>
        <w:tab/>
      </w:r>
      <w:r w:rsidR="00376C4F" w:rsidRPr="009306D6">
        <w:rPr>
          <w:lang w:bidi="fr-FR"/>
        </w:rPr>
        <w:t xml:space="preserve">Il est proposé de modifier le 9.3.x.0.5 comme suit : </w:t>
      </w:r>
    </w:p>
    <w:p w:rsidR="00376C4F" w:rsidRPr="003700DF" w:rsidRDefault="00376C4F" w:rsidP="00376C4F">
      <w:pPr>
        <w:pStyle w:val="SingleTxtG"/>
        <w:rPr>
          <w:lang w:bidi="fr-FR"/>
        </w:rPr>
      </w:pPr>
      <w:r w:rsidRPr="009306D6">
        <w:rPr>
          <w:lang w:bidi="fr-FR"/>
        </w:rPr>
        <w:t xml:space="preserve">« L’emploi de matières plastiques pour les canots </w:t>
      </w:r>
      <w:r w:rsidRPr="00376C4F">
        <w:rPr>
          <w:u w:val="single"/>
          <w:lang w:bidi="fr-FR"/>
        </w:rPr>
        <w:t>dans la zone de cargaison</w:t>
      </w:r>
      <w:r w:rsidRPr="009306D6">
        <w:rPr>
          <w:lang w:bidi="fr-FR"/>
        </w:rPr>
        <w:t xml:space="preserve"> n’est autorisé que si le matériau est difficilement inflammable. </w:t>
      </w:r>
      <w:r w:rsidRPr="00376C4F">
        <w:rPr>
          <w:u w:val="single"/>
          <w:lang w:bidi="fr-FR"/>
        </w:rPr>
        <w:t>Sauf dans les cas où il est explicitement autorisé au 9.3.x.0.3 ou dans le certificat d'agrément, l'emploi du bois, des alliages d'aluminium, des matières plastiques ou de caoutchouc est interdit</w:t>
      </w:r>
      <w:r w:rsidRPr="003700DF">
        <w:rPr>
          <w:lang w:bidi="fr-FR"/>
        </w:rPr>
        <w:t>. </w:t>
      </w:r>
    </w:p>
    <w:p w:rsidR="00376C4F" w:rsidRPr="009306D6" w:rsidRDefault="00376C4F" w:rsidP="00376C4F">
      <w:pPr>
        <w:pStyle w:val="SingleTxtG"/>
        <w:rPr>
          <w:rFonts w:eastAsia="Calibri"/>
          <w:lang w:bidi="fr-FR"/>
        </w:rPr>
      </w:pPr>
      <w:r w:rsidRPr="00376C4F">
        <w:rPr>
          <w:u w:val="single"/>
          <w:lang w:bidi="fr-FR"/>
        </w:rPr>
        <w:lastRenderedPageBreak/>
        <w:t>L’emploi d’alliages d’aluminium ou de matières plastiques pour les voies de passage (passerelles) dans la zone de cargaison n’est autorisé que si le matériau est difficilement inflammable et électriquement conducteur</w:t>
      </w:r>
      <w:r w:rsidRPr="009306D6">
        <w:rPr>
          <w:lang w:bidi="fr-FR"/>
        </w:rPr>
        <w:t>. »</w:t>
      </w:r>
    </w:p>
    <w:p w:rsidR="00376C4F" w:rsidRPr="00376C4F" w:rsidRDefault="00376C4F" w:rsidP="00376C4F">
      <w:pPr>
        <w:pStyle w:val="SingleTxtG"/>
        <w:rPr>
          <w:b/>
          <w:szCs w:val="28"/>
          <w:lang w:bidi="fr-FR"/>
        </w:rPr>
      </w:pPr>
      <w:r w:rsidRPr="00376C4F">
        <w:rPr>
          <w:b/>
          <w:lang w:bidi="fr-FR"/>
        </w:rPr>
        <w:t>Motif</w:t>
      </w:r>
    </w:p>
    <w:p w:rsidR="00376C4F" w:rsidRDefault="00376C4F" w:rsidP="00376C4F">
      <w:pPr>
        <w:pStyle w:val="SingleTxtG"/>
        <w:rPr>
          <w:lang w:bidi="fr-FR"/>
        </w:rPr>
      </w:pPr>
      <w:r w:rsidRPr="009306D6">
        <w:rPr>
          <w:lang w:bidi="fr-FR"/>
        </w:rPr>
        <w:t>1</w:t>
      </w:r>
      <w:r w:rsidR="00ED7B41">
        <w:rPr>
          <w:lang w:bidi="fr-FR"/>
        </w:rPr>
        <w:t>4</w:t>
      </w:r>
      <w:r w:rsidRPr="009306D6">
        <w:rPr>
          <w:lang w:bidi="fr-FR"/>
        </w:rPr>
        <w:t>.</w:t>
      </w:r>
      <w:r w:rsidRPr="009306D6">
        <w:rPr>
          <w:sz w:val="24"/>
          <w:lang w:bidi="fr-FR"/>
        </w:rPr>
        <w:tab/>
      </w:r>
      <w:r w:rsidRPr="009306D6">
        <w:rPr>
          <w:lang w:bidi="fr-FR"/>
        </w:rPr>
        <w:t>Dans les cas présentés par l’UENF et l’OEB, les matériaux modernes ne comportent pas de risque accru pour la sécurité. La révision rédactionnelle des prescriptions réduit considérablement le besoin de règles pour des cas particuliers. Les prescriptions deviennent plus transparentes pour toutes le</w:t>
      </w:r>
      <w:r>
        <w:rPr>
          <w:lang w:bidi="fr-FR"/>
        </w:rPr>
        <w:t>s parties prenantes au système.</w:t>
      </w:r>
    </w:p>
    <w:p w:rsidR="003F3164" w:rsidRDefault="003F3164" w:rsidP="00DF42EA">
      <w:pPr>
        <w:suppressAutoHyphens w:val="0"/>
        <w:spacing w:line="240" w:lineRule="auto"/>
        <w:sectPr w:rsidR="003F3164" w:rsidSect="00DF42E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tbl>
      <w:tblPr>
        <w:tblW w:w="120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314"/>
        <w:gridCol w:w="1417"/>
        <w:gridCol w:w="1417"/>
        <w:gridCol w:w="1567"/>
        <w:gridCol w:w="20"/>
      </w:tblGrid>
      <w:tr w:rsidR="003F3164" w:rsidRPr="003F3164" w:rsidTr="00ED7B41">
        <w:trPr>
          <w:gridAfter w:val="1"/>
          <w:wAfter w:w="20" w:type="dxa"/>
          <w:trHeight w:val="270"/>
          <w:tblHeader/>
        </w:trPr>
        <w:tc>
          <w:tcPr>
            <w:tcW w:w="12019" w:type="dxa"/>
            <w:gridSpan w:val="5"/>
            <w:tcBorders>
              <w:bottom w:val="single" w:sz="4" w:space="0" w:color="auto"/>
            </w:tcBorders>
            <w:shd w:val="clear" w:color="auto" w:fill="auto"/>
            <w:noWrap/>
            <w:vAlign w:val="center"/>
            <w:hideMark/>
          </w:tcPr>
          <w:p w:rsidR="003F3164" w:rsidRPr="003F3164" w:rsidRDefault="003F3164" w:rsidP="00345F18">
            <w:pPr>
              <w:rPr>
                <w:b/>
                <w:bCs/>
                <w:sz w:val="18"/>
                <w:szCs w:val="18"/>
                <w:lang w:val="fr-FR"/>
              </w:rPr>
            </w:pPr>
            <w:r w:rsidRPr="003F3164">
              <w:rPr>
                <w:b/>
                <w:bCs/>
                <w:sz w:val="18"/>
                <w:szCs w:val="18"/>
                <w:lang w:val="fr-FR"/>
              </w:rPr>
              <w:lastRenderedPageBreak/>
              <w:t>Proposition pour 9.3.1.0.3, 9.3.2.0.3 et 9.3.3.0.3  -  (demande de UENF/ OEB / ERSTU)</w:t>
            </w:r>
          </w:p>
        </w:tc>
      </w:tr>
      <w:tr w:rsidR="00DC23FB" w:rsidRPr="003F3164" w:rsidTr="00ED7B41">
        <w:trPr>
          <w:gridAfter w:val="1"/>
          <w:wAfter w:w="20" w:type="dxa"/>
          <w:trHeight w:val="270"/>
          <w:tblHeader/>
        </w:trPr>
        <w:tc>
          <w:tcPr>
            <w:tcW w:w="12019" w:type="dxa"/>
            <w:gridSpan w:val="5"/>
            <w:tcBorders>
              <w:bottom w:val="single" w:sz="4" w:space="0" w:color="auto"/>
            </w:tcBorders>
            <w:shd w:val="clear" w:color="auto" w:fill="auto"/>
            <w:noWrap/>
            <w:vAlign w:val="center"/>
          </w:tcPr>
          <w:p w:rsidR="00DC23FB" w:rsidRPr="003F3164" w:rsidRDefault="00DC23FB" w:rsidP="00345F18">
            <w:pPr>
              <w:rPr>
                <w:b/>
                <w:bCs/>
                <w:sz w:val="18"/>
                <w:szCs w:val="18"/>
                <w:lang w:val="fr-FR"/>
              </w:rPr>
            </w:pPr>
            <w:r w:rsidRPr="003F3164">
              <w:rPr>
                <w:sz w:val="18"/>
                <w:szCs w:val="18"/>
                <w:lang w:val="fr-FR"/>
              </w:rPr>
              <w:t>L'emploi de bois, d'alliages d'aluminium, de matières plastiques et de caoutchouc est uniquement autorisé pour</w:t>
            </w:r>
            <w:r>
              <w:rPr>
                <w:sz w:val="18"/>
                <w:szCs w:val="18"/>
                <w:lang w:val="fr-FR"/>
              </w:rPr>
              <w:tab/>
            </w:r>
            <w:r>
              <w:rPr>
                <w:sz w:val="18"/>
                <w:szCs w:val="18"/>
                <w:lang w:val="fr-FR"/>
              </w:rPr>
              <w:tab/>
            </w:r>
            <w:r>
              <w:rPr>
                <w:sz w:val="18"/>
                <w:szCs w:val="18"/>
                <w:lang w:val="fr-FR"/>
              </w:rPr>
              <w:tab/>
            </w:r>
            <w:r>
              <w:rPr>
                <w:sz w:val="18"/>
                <w:szCs w:val="18"/>
                <w:lang w:val="fr-FR"/>
              </w:rPr>
              <w:tab/>
            </w:r>
            <w:r w:rsidRPr="003F3164">
              <w:rPr>
                <w:b/>
                <w:bCs/>
                <w:sz w:val="18"/>
                <w:szCs w:val="18"/>
                <w:lang w:val="fr-FR"/>
              </w:rPr>
              <w:t>(X signifie autorisé) </w:t>
            </w:r>
          </w:p>
        </w:tc>
      </w:tr>
      <w:tr w:rsidR="003F3164" w:rsidRPr="003F3164" w:rsidTr="00DC23FB">
        <w:trPr>
          <w:trHeight w:val="270"/>
        </w:trPr>
        <w:tc>
          <w:tcPr>
            <w:tcW w:w="6304" w:type="dxa"/>
            <w:shd w:val="clear" w:color="auto" w:fill="auto"/>
            <w:noWrap/>
            <w:vAlign w:val="bottom"/>
            <w:hideMark/>
          </w:tcPr>
          <w:p w:rsidR="003F3164" w:rsidRPr="003F3164" w:rsidRDefault="003F3164" w:rsidP="00345F18">
            <w:pPr>
              <w:rPr>
                <w:sz w:val="18"/>
                <w:szCs w:val="18"/>
                <w:lang w:val="fr-FR"/>
              </w:rPr>
            </w:pPr>
            <w:r w:rsidRPr="003F3164">
              <w:rPr>
                <w:sz w:val="18"/>
                <w:szCs w:val="18"/>
                <w:lang w:val="fr-FR"/>
              </w:rPr>
              <w:t> </w:t>
            </w:r>
          </w:p>
        </w:tc>
        <w:tc>
          <w:tcPr>
            <w:tcW w:w="1314" w:type="dxa"/>
            <w:shd w:val="clear" w:color="auto" w:fill="auto"/>
            <w:noWrap/>
            <w:vAlign w:val="bottom"/>
            <w:hideMark/>
          </w:tcPr>
          <w:p w:rsidR="003F3164" w:rsidRPr="003F3164" w:rsidRDefault="003F3164" w:rsidP="00345F18">
            <w:pPr>
              <w:jc w:val="center"/>
              <w:rPr>
                <w:sz w:val="18"/>
                <w:szCs w:val="18"/>
                <w:lang w:val="fr-FR"/>
              </w:rPr>
            </w:pPr>
            <w:r w:rsidRPr="003F3164">
              <w:rPr>
                <w:sz w:val="18"/>
                <w:szCs w:val="18"/>
                <w:lang w:val="fr-FR"/>
              </w:rPr>
              <w:t>Bois</w:t>
            </w:r>
          </w:p>
        </w:tc>
        <w:tc>
          <w:tcPr>
            <w:tcW w:w="1417" w:type="dxa"/>
            <w:shd w:val="clear" w:color="auto" w:fill="auto"/>
            <w:noWrap/>
            <w:vAlign w:val="bottom"/>
            <w:hideMark/>
          </w:tcPr>
          <w:p w:rsidR="003F3164" w:rsidRPr="003F3164" w:rsidRDefault="003F3164" w:rsidP="00345F18">
            <w:pPr>
              <w:jc w:val="center"/>
              <w:rPr>
                <w:sz w:val="18"/>
                <w:szCs w:val="18"/>
                <w:lang w:val="fr-FR"/>
              </w:rPr>
            </w:pPr>
            <w:r w:rsidRPr="003F3164">
              <w:rPr>
                <w:sz w:val="18"/>
                <w:szCs w:val="18"/>
                <w:lang w:val="fr-FR"/>
              </w:rPr>
              <w:t xml:space="preserve">Alliages </w:t>
            </w:r>
            <w:r>
              <w:rPr>
                <w:sz w:val="18"/>
                <w:szCs w:val="18"/>
                <w:lang w:val="fr-FR"/>
              </w:rPr>
              <w:br/>
            </w:r>
            <w:r w:rsidRPr="003F3164">
              <w:rPr>
                <w:sz w:val="18"/>
                <w:szCs w:val="18"/>
                <w:lang w:val="fr-FR"/>
              </w:rPr>
              <w:t>d'aluminium</w:t>
            </w:r>
          </w:p>
        </w:tc>
        <w:tc>
          <w:tcPr>
            <w:tcW w:w="1417" w:type="dxa"/>
            <w:shd w:val="clear" w:color="auto" w:fill="auto"/>
            <w:noWrap/>
            <w:vAlign w:val="bottom"/>
            <w:hideMark/>
          </w:tcPr>
          <w:p w:rsidR="003F3164" w:rsidRPr="003F3164" w:rsidRDefault="003F3164" w:rsidP="00345F18">
            <w:pPr>
              <w:jc w:val="center"/>
              <w:rPr>
                <w:sz w:val="18"/>
                <w:szCs w:val="18"/>
                <w:lang w:val="fr-FR"/>
              </w:rPr>
            </w:pPr>
            <w:r w:rsidRPr="003F3164">
              <w:rPr>
                <w:sz w:val="18"/>
                <w:szCs w:val="18"/>
                <w:lang w:val="fr-FR"/>
              </w:rPr>
              <w:t xml:space="preserve">Matières </w:t>
            </w:r>
            <w:r>
              <w:rPr>
                <w:sz w:val="18"/>
                <w:szCs w:val="18"/>
                <w:lang w:val="fr-FR"/>
              </w:rPr>
              <w:br/>
            </w:r>
            <w:r w:rsidRPr="003F3164">
              <w:rPr>
                <w:sz w:val="18"/>
                <w:szCs w:val="18"/>
                <w:lang w:val="fr-FR"/>
              </w:rPr>
              <w:t>plastiques</w:t>
            </w:r>
          </w:p>
        </w:tc>
        <w:tc>
          <w:tcPr>
            <w:tcW w:w="1587" w:type="dxa"/>
            <w:gridSpan w:val="2"/>
            <w:shd w:val="clear" w:color="auto" w:fill="auto"/>
            <w:noWrap/>
            <w:vAlign w:val="bottom"/>
            <w:hideMark/>
          </w:tcPr>
          <w:p w:rsidR="003F3164" w:rsidRPr="003F3164" w:rsidRDefault="003F3164" w:rsidP="00345F18">
            <w:pPr>
              <w:jc w:val="center"/>
              <w:rPr>
                <w:sz w:val="18"/>
                <w:szCs w:val="18"/>
                <w:lang w:val="fr-FR"/>
              </w:rPr>
            </w:pPr>
            <w:r w:rsidRPr="003F3164">
              <w:rPr>
                <w:sz w:val="18"/>
                <w:szCs w:val="18"/>
                <w:lang w:val="fr-FR"/>
              </w:rPr>
              <w:t>Caoutchouc</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 xml:space="preserve">Passerelles </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 xml:space="preserve">Echelles extérieures </w:t>
            </w:r>
            <w:r w:rsidRPr="003F3164">
              <w:rPr>
                <w:color w:val="FF0000"/>
                <w:sz w:val="18"/>
                <w:szCs w:val="18"/>
                <w:lang w:val="fr-FR"/>
              </w:rPr>
              <w:t xml:space="preserve">et passages (passerelles) </w:t>
            </w:r>
            <w:r w:rsidRPr="003F3164">
              <w:rPr>
                <w:color w:val="0066CC"/>
                <w:sz w:val="18"/>
                <w:szCs w:val="18"/>
                <w:lang w:val="fr-FR"/>
              </w:rPr>
              <w:t>*)</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Matériel de nettoyage tel que balais etc.</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 xml:space="preserve">Equipements mobiles </w:t>
            </w:r>
            <w:r w:rsidRPr="003F3164">
              <w:rPr>
                <w:color w:val="FF0000"/>
                <w:sz w:val="18"/>
                <w:szCs w:val="18"/>
                <w:lang w:val="fr-FR"/>
              </w:rPr>
              <w:t>tels qu'</w:t>
            </w:r>
            <w:r w:rsidRPr="003F3164">
              <w:rPr>
                <w:color w:val="0066CC"/>
                <w:sz w:val="18"/>
                <w:szCs w:val="18"/>
                <w:lang w:val="fr-FR"/>
              </w:rPr>
              <w:t>extincteurs</w:t>
            </w:r>
            <w:r w:rsidRPr="003F3164">
              <w:rPr>
                <w:color w:val="FF0000"/>
                <w:sz w:val="18"/>
                <w:szCs w:val="18"/>
                <w:lang w:val="fr-FR"/>
              </w:rPr>
              <w:t xml:space="preserve">, détecteurs de gaz portatifs, treuils de sauvetage etc. </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Défenses</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Câbles d'amarrage, amarres pour défenses</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Calage de citernes à cargaison indépendantes de la coque et calage d'installations et équipements</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Mâts et mâtures similaires</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Parties de machines</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Habillage de protection de moteurs et de pompes</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Parties de l'installation électrique</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 xml:space="preserve">Parties de l'installation de chargement et de déchargement </w:t>
            </w:r>
            <w:r w:rsidRPr="003F3164">
              <w:rPr>
                <w:color w:val="FF0000"/>
                <w:sz w:val="18"/>
                <w:szCs w:val="18"/>
                <w:lang w:val="fr-FR"/>
              </w:rPr>
              <w:t>comme par exemple joints d'étanchéité etc.</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strike/>
                <w:color w:val="FF0000"/>
                <w:sz w:val="18"/>
                <w:szCs w:val="18"/>
                <w:lang w:val="fr-FR"/>
              </w:rPr>
              <w:t>Couvercles de caisses placées sur le pont</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r>
      <w:tr w:rsidR="003F3164" w:rsidRPr="003F3164" w:rsidTr="00DC23FB">
        <w:trPr>
          <w:trHeight w:val="1020"/>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 xml:space="preserve">Caisses, armoires ou </w:t>
            </w:r>
            <w:r w:rsidRPr="003F3164">
              <w:rPr>
                <w:color w:val="0066CC"/>
                <w:sz w:val="18"/>
                <w:szCs w:val="18"/>
                <w:lang w:val="fr-FR"/>
              </w:rPr>
              <w:t>autres récipients</w:t>
            </w:r>
            <w:r w:rsidRPr="003F3164">
              <w:rPr>
                <w:color w:val="FF0000"/>
                <w:sz w:val="18"/>
                <w:szCs w:val="18"/>
                <w:lang w:val="fr-FR"/>
              </w:rPr>
              <w:t xml:space="preserve"> placés sur le pont pour le stockage de matériel, afin de recueillir des fuites de liquides, des produits de nettoyage, des extincteurs, des manches d'incendie, des déchets etc.</w:t>
            </w:r>
          </w:p>
        </w:tc>
        <w:tc>
          <w:tcPr>
            <w:tcW w:w="1314" w:type="dxa"/>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Supports ou butées de tous types</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Ventilateurs, y compris les tuyauteries flexibles pour la ventilation</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Parties de l'installation d'aspersion d'eau et de la douche, et installation pour le rinçage des yeux et du visage</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Isolation des citernes à cargaison, des tuyauteries de chargement et de déchargement</w:t>
            </w:r>
            <w:r w:rsidRPr="003F3164">
              <w:rPr>
                <w:color w:val="FF0000"/>
                <w:sz w:val="18"/>
                <w:szCs w:val="18"/>
                <w:lang w:val="fr-FR"/>
              </w:rPr>
              <w:t>, des conduites d'évacuation de gaz et des conduites de chauffage</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r>
      <w:tr w:rsidR="003F3164" w:rsidRPr="003F3164" w:rsidTr="00DC23FB">
        <w:trPr>
          <w:trHeight w:val="480"/>
        </w:trPr>
        <w:tc>
          <w:tcPr>
            <w:tcW w:w="6304" w:type="dxa"/>
            <w:shd w:val="clear" w:color="auto" w:fill="auto"/>
            <w:vAlign w:val="center"/>
            <w:hideMark/>
          </w:tcPr>
          <w:p w:rsidR="003F3164" w:rsidRPr="003F3164" w:rsidRDefault="003F3164" w:rsidP="00345F18">
            <w:pPr>
              <w:rPr>
                <w:sz w:val="18"/>
                <w:szCs w:val="18"/>
                <w:lang w:val="fr-FR"/>
              </w:rPr>
            </w:pPr>
            <w:r w:rsidRPr="003F3164">
              <w:rPr>
                <w:sz w:val="18"/>
                <w:szCs w:val="18"/>
                <w:lang w:val="fr-FR"/>
              </w:rPr>
              <w:t>Revêtement des citernes à cargaison et tuyauteries de chargement et déchargement</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strike/>
                <w:color w:val="FF0000"/>
                <w:sz w:val="18"/>
                <w:szCs w:val="18"/>
                <w:lang w:val="fr-FR"/>
              </w:rPr>
              <w:t>X supprimé</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Tous types de joints (par exemple pour couvercles de dôme ou d'écoutille)</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Câbles pour les appareils électriques</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Tuyauteries flexibles de chargement ou de déchargement</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r>
      <w:tr w:rsidR="003F3164" w:rsidRPr="003F3164" w:rsidTr="00DC23FB">
        <w:trPr>
          <w:trHeight w:val="480"/>
        </w:trPr>
        <w:tc>
          <w:tcPr>
            <w:tcW w:w="6304" w:type="dxa"/>
            <w:shd w:val="clear" w:color="auto" w:fill="auto"/>
            <w:vAlign w:val="center"/>
            <w:hideMark/>
          </w:tcPr>
          <w:p w:rsidR="003F3164" w:rsidRPr="003F3164" w:rsidRDefault="003F3164" w:rsidP="00345F18">
            <w:pPr>
              <w:rPr>
                <w:color w:val="FF0000"/>
                <w:sz w:val="18"/>
                <w:szCs w:val="18"/>
                <w:lang w:val="fr-FR"/>
              </w:rPr>
            </w:pPr>
            <w:r w:rsidRPr="003F3164">
              <w:rPr>
                <w:color w:val="FF0000"/>
                <w:sz w:val="18"/>
                <w:szCs w:val="18"/>
                <w:lang w:val="fr-FR"/>
              </w:rPr>
              <w:lastRenderedPageBreak/>
              <w:t xml:space="preserve">Tapis sous le raccordement à terre des tuyauteries de chargement et de déchargement </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r>
      <w:tr w:rsidR="003F3164" w:rsidRPr="003F3164" w:rsidTr="00DC23FB">
        <w:trPr>
          <w:trHeight w:val="510"/>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Manches d'incendie, flexibles d'air, tuyauteries flexibles de lavage de pont, matériel pour recueillir les fuites de liquides etc.</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FF0000"/>
                <w:sz w:val="18"/>
                <w:szCs w:val="18"/>
                <w:lang w:val="fr-FR"/>
              </w:rPr>
            </w:pPr>
            <w:r w:rsidRPr="003F3164">
              <w:rPr>
                <w:color w:val="FF0000"/>
                <w:sz w:val="18"/>
                <w:szCs w:val="18"/>
                <w:lang w:val="fr-FR"/>
              </w:rPr>
              <w:t>Appareils et bouteilles de prélèvement d'échantillons</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 </w:t>
            </w:r>
          </w:p>
        </w:tc>
      </w:tr>
      <w:tr w:rsidR="003F3164" w:rsidRPr="003F3164" w:rsidTr="00DC23FB">
        <w:trPr>
          <w:trHeight w:val="780"/>
        </w:trPr>
        <w:tc>
          <w:tcPr>
            <w:tcW w:w="6304" w:type="dxa"/>
            <w:shd w:val="clear" w:color="auto" w:fill="auto"/>
            <w:vAlign w:val="bottom"/>
            <w:hideMark/>
          </w:tcPr>
          <w:p w:rsidR="003F3164" w:rsidRPr="003F3164" w:rsidRDefault="003F3164" w:rsidP="00345F18">
            <w:pPr>
              <w:rPr>
                <w:sz w:val="18"/>
                <w:szCs w:val="18"/>
                <w:lang w:val="fr-FR"/>
              </w:rPr>
            </w:pPr>
            <w:r w:rsidRPr="003F3164">
              <w:rPr>
                <w:sz w:val="18"/>
                <w:szCs w:val="18"/>
                <w:lang w:val="fr-FR"/>
              </w:rPr>
              <w:t>Copies photo-optiques de l'intégralité du certificat d'agrément selon 8.1.2.6 ou 8.1.2.7 ainsi que du certificat de bateau, du certificat de jaugeage et de l'attestation d'appartenance à la navigation du Rhin</w:t>
            </w:r>
          </w:p>
        </w:tc>
        <w:tc>
          <w:tcPr>
            <w:tcW w:w="1314"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c>
          <w:tcPr>
            <w:tcW w:w="1417" w:type="dxa"/>
            <w:shd w:val="clear" w:color="auto" w:fill="auto"/>
            <w:noWrap/>
            <w:vAlign w:val="center"/>
            <w:hideMark/>
          </w:tcPr>
          <w:p w:rsidR="003F3164" w:rsidRPr="003F3164" w:rsidRDefault="003F3164" w:rsidP="00345F18">
            <w:pPr>
              <w:jc w:val="center"/>
              <w:rPr>
                <w:color w:val="FF0000"/>
                <w:sz w:val="18"/>
                <w:szCs w:val="18"/>
                <w:lang w:val="fr-FR"/>
              </w:rPr>
            </w:pPr>
            <w:r w:rsidRPr="003F3164">
              <w:rPr>
                <w:color w:val="FF0000"/>
                <w:sz w:val="18"/>
                <w:szCs w:val="18"/>
                <w:lang w:val="fr-FR"/>
              </w:rPr>
              <w:t>X</w:t>
            </w:r>
          </w:p>
        </w:tc>
        <w:tc>
          <w:tcPr>
            <w:tcW w:w="1417" w:type="dxa"/>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X</w:t>
            </w:r>
          </w:p>
        </w:tc>
        <w:tc>
          <w:tcPr>
            <w:tcW w:w="1587" w:type="dxa"/>
            <w:gridSpan w:val="2"/>
            <w:shd w:val="clear" w:color="auto" w:fill="auto"/>
            <w:noWrap/>
            <w:vAlign w:val="center"/>
            <w:hideMark/>
          </w:tcPr>
          <w:p w:rsidR="003F3164" w:rsidRPr="003F3164" w:rsidRDefault="003F3164" w:rsidP="00345F18">
            <w:pPr>
              <w:jc w:val="center"/>
              <w:rPr>
                <w:sz w:val="18"/>
                <w:szCs w:val="18"/>
                <w:lang w:val="fr-FR"/>
              </w:rPr>
            </w:pPr>
            <w:r w:rsidRPr="003F3164">
              <w:rPr>
                <w:sz w:val="18"/>
                <w:szCs w:val="18"/>
                <w:lang w:val="fr-FR"/>
              </w:rPr>
              <w:t> </w:t>
            </w:r>
          </w:p>
        </w:tc>
      </w:tr>
      <w:tr w:rsidR="003F3164" w:rsidRPr="003F3164" w:rsidTr="00DC23FB">
        <w:trPr>
          <w:trHeight w:val="255"/>
        </w:trPr>
        <w:tc>
          <w:tcPr>
            <w:tcW w:w="6304" w:type="dxa"/>
            <w:shd w:val="clear" w:color="auto" w:fill="auto"/>
            <w:vAlign w:val="bottom"/>
            <w:hideMark/>
          </w:tcPr>
          <w:p w:rsidR="003F3164" w:rsidRPr="003F3164" w:rsidRDefault="003F3164" w:rsidP="00345F18">
            <w:pPr>
              <w:rPr>
                <w:color w:val="0070C0"/>
                <w:sz w:val="18"/>
                <w:szCs w:val="18"/>
                <w:lang w:val="fr-FR"/>
              </w:rPr>
            </w:pPr>
            <w:r w:rsidRPr="003F3164">
              <w:rPr>
                <w:color w:val="0066CC"/>
                <w:sz w:val="18"/>
                <w:szCs w:val="18"/>
                <w:lang w:val="fr-FR"/>
              </w:rPr>
              <w:t>*) Tenir compte de 9.3.1.0.5, 9.3.2.0.5 ou 9.3.3.0.5, respectivement</w:t>
            </w:r>
          </w:p>
        </w:tc>
        <w:tc>
          <w:tcPr>
            <w:tcW w:w="1314" w:type="dxa"/>
            <w:shd w:val="clear" w:color="auto" w:fill="auto"/>
            <w:noWrap/>
            <w:vAlign w:val="bottom"/>
            <w:hideMark/>
          </w:tcPr>
          <w:p w:rsidR="003F3164" w:rsidRPr="003F3164" w:rsidRDefault="003F3164" w:rsidP="00345F18">
            <w:pPr>
              <w:rPr>
                <w:sz w:val="18"/>
                <w:szCs w:val="18"/>
                <w:lang w:val="fr-FR"/>
              </w:rPr>
            </w:pPr>
          </w:p>
        </w:tc>
        <w:tc>
          <w:tcPr>
            <w:tcW w:w="1417" w:type="dxa"/>
            <w:shd w:val="clear" w:color="auto" w:fill="auto"/>
            <w:noWrap/>
            <w:vAlign w:val="bottom"/>
            <w:hideMark/>
          </w:tcPr>
          <w:p w:rsidR="003F3164" w:rsidRPr="003F3164" w:rsidRDefault="003F3164" w:rsidP="00345F18">
            <w:pPr>
              <w:rPr>
                <w:sz w:val="18"/>
                <w:szCs w:val="18"/>
                <w:lang w:val="fr-FR"/>
              </w:rPr>
            </w:pPr>
          </w:p>
        </w:tc>
        <w:tc>
          <w:tcPr>
            <w:tcW w:w="1417" w:type="dxa"/>
            <w:shd w:val="clear" w:color="auto" w:fill="auto"/>
            <w:noWrap/>
            <w:vAlign w:val="bottom"/>
            <w:hideMark/>
          </w:tcPr>
          <w:p w:rsidR="003F3164" w:rsidRPr="003F3164" w:rsidRDefault="003F3164" w:rsidP="00345F18">
            <w:pPr>
              <w:rPr>
                <w:sz w:val="18"/>
                <w:szCs w:val="18"/>
                <w:lang w:val="fr-FR"/>
              </w:rPr>
            </w:pPr>
          </w:p>
        </w:tc>
        <w:tc>
          <w:tcPr>
            <w:tcW w:w="1587" w:type="dxa"/>
            <w:gridSpan w:val="2"/>
            <w:shd w:val="clear" w:color="auto" w:fill="auto"/>
            <w:noWrap/>
            <w:vAlign w:val="bottom"/>
            <w:hideMark/>
          </w:tcPr>
          <w:p w:rsidR="003F3164" w:rsidRPr="003F3164" w:rsidRDefault="003F3164" w:rsidP="00345F18">
            <w:pPr>
              <w:rPr>
                <w:sz w:val="18"/>
                <w:szCs w:val="18"/>
                <w:lang w:val="fr-FR"/>
              </w:rPr>
            </w:pPr>
          </w:p>
        </w:tc>
      </w:tr>
      <w:tr w:rsidR="00DC23FB" w:rsidRPr="003F3164" w:rsidTr="00DC23FB">
        <w:trPr>
          <w:trHeight w:val="255"/>
        </w:trPr>
        <w:tc>
          <w:tcPr>
            <w:tcW w:w="12039" w:type="dxa"/>
            <w:gridSpan w:val="6"/>
            <w:shd w:val="clear" w:color="auto" w:fill="auto"/>
            <w:noWrap/>
            <w:vAlign w:val="bottom"/>
            <w:hideMark/>
          </w:tcPr>
          <w:p w:rsidR="003F3164" w:rsidRPr="003F3164" w:rsidRDefault="003F3164" w:rsidP="00DC23FB">
            <w:pPr>
              <w:ind w:right="-109"/>
              <w:rPr>
                <w:sz w:val="18"/>
                <w:szCs w:val="18"/>
                <w:lang w:val="fr-FR"/>
              </w:rPr>
            </w:pPr>
            <w:r w:rsidRPr="003F3164">
              <w:rPr>
                <w:sz w:val="18"/>
                <w:szCs w:val="18"/>
                <w:lang w:val="fr-FR"/>
              </w:rPr>
              <w:t>Les sondes en aluminium sont admises à condition qu'elles soient munies d'un pied en laiton ou protégées d'une autre manière pour éviter la production d'étincelles</w:t>
            </w:r>
          </w:p>
        </w:tc>
      </w:tr>
    </w:tbl>
    <w:p w:rsidR="003F3164" w:rsidRPr="00DF42EA" w:rsidRDefault="003F3164" w:rsidP="003F3164">
      <w:pPr>
        <w:pStyle w:val="Footer"/>
        <w:tabs>
          <w:tab w:val="right" w:pos="9638"/>
        </w:tabs>
        <w:rPr>
          <w:b/>
          <w:sz w:val="18"/>
        </w:rPr>
      </w:pPr>
      <w:r>
        <w:tab/>
      </w:r>
    </w:p>
    <w:p w:rsidR="003F3164" w:rsidRDefault="003F3164">
      <w:pPr>
        <w:suppressAutoHyphens w:val="0"/>
        <w:spacing w:line="240" w:lineRule="auto"/>
      </w:pPr>
    </w:p>
    <w:p w:rsidR="002D0E27" w:rsidRPr="00DC23FB" w:rsidRDefault="00DC23FB" w:rsidP="00DC23FB">
      <w:pPr>
        <w:spacing w:before="240"/>
        <w:ind w:left="1134" w:right="1134"/>
        <w:jc w:val="center"/>
        <w:rPr>
          <w:u w:val="single"/>
        </w:rPr>
      </w:pPr>
      <w:r>
        <w:rPr>
          <w:u w:val="single"/>
        </w:rPr>
        <w:tab/>
      </w:r>
      <w:r>
        <w:rPr>
          <w:u w:val="single"/>
        </w:rPr>
        <w:tab/>
      </w:r>
      <w:r>
        <w:rPr>
          <w:u w:val="single"/>
        </w:rPr>
        <w:tab/>
      </w:r>
    </w:p>
    <w:sectPr w:rsidR="002D0E27" w:rsidRPr="00DC23FB" w:rsidSect="003F3164">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EA" w:rsidRDefault="00DF42EA"/>
  </w:endnote>
  <w:endnote w:type="continuationSeparator" w:id="0">
    <w:p w:rsidR="00DF42EA" w:rsidRDefault="00DF42EA"/>
  </w:endnote>
  <w:endnote w:type="continuationNotice" w:id="1">
    <w:p w:rsidR="00DF42EA" w:rsidRDefault="00DF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EA" w:rsidRPr="00DF42EA" w:rsidRDefault="00DF42EA" w:rsidP="00DF42EA">
    <w:pPr>
      <w:pStyle w:val="Footer"/>
      <w:tabs>
        <w:tab w:val="right" w:pos="9638"/>
      </w:tabs>
      <w:rPr>
        <w:sz w:val="18"/>
      </w:rPr>
    </w:pP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2</w:t>
    </w:r>
    <w:r w:rsidRPr="00DF42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EA" w:rsidRPr="00DF42EA" w:rsidRDefault="00DF42EA" w:rsidP="00DF42EA">
    <w:pPr>
      <w:pStyle w:val="Footer"/>
      <w:tabs>
        <w:tab w:val="right" w:pos="9638"/>
      </w:tabs>
      <w:rPr>
        <w:b/>
        <w:sz w:val="18"/>
      </w:rPr>
    </w:pPr>
    <w:r>
      <w:tab/>
    </w: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3</w:t>
    </w:r>
    <w:r w:rsidRPr="00DF42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64" w:rsidRPr="003F3164" w:rsidRDefault="003F3164" w:rsidP="003F3164">
    <w:pPr>
      <w:pStyle w:val="Footer"/>
    </w:pPr>
    <w:r>
      <w:rPr>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3F3164" w:rsidRPr="00DF42EA" w:rsidRDefault="003F3164" w:rsidP="003F3164">
                          <w:pPr>
                            <w:pStyle w:val="Footer"/>
                            <w:tabs>
                              <w:tab w:val="right" w:pos="9638"/>
                            </w:tabs>
                            <w:rPr>
                              <w:sz w:val="18"/>
                            </w:rPr>
                          </w:pP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4</w:t>
                          </w:r>
                          <w:r w:rsidRPr="00DF42EA">
                            <w:rPr>
                              <w:b/>
                              <w:sz w:val="18"/>
                            </w:rPr>
                            <w:fldChar w:fldCharType="end"/>
                          </w:r>
                          <w:r>
                            <w:rPr>
                              <w:sz w:val="18"/>
                            </w:rPr>
                            <w:tab/>
                          </w:r>
                        </w:p>
                        <w:p w:rsidR="003F3164" w:rsidRDefault="003F31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55pt;height:481.9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K7vaj4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3F3164" w:rsidRPr="00DF42EA" w:rsidRDefault="003F3164" w:rsidP="003F3164">
                    <w:pPr>
                      <w:pStyle w:val="Footer"/>
                      <w:tabs>
                        <w:tab w:val="right" w:pos="9638"/>
                      </w:tabs>
                      <w:rPr>
                        <w:sz w:val="18"/>
                      </w:rPr>
                    </w:pP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4</w:t>
                    </w:r>
                    <w:r w:rsidRPr="00DF42EA">
                      <w:rPr>
                        <w:b/>
                        <w:sz w:val="18"/>
                      </w:rPr>
                      <w:fldChar w:fldCharType="end"/>
                    </w:r>
                    <w:r>
                      <w:rPr>
                        <w:sz w:val="18"/>
                      </w:rPr>
                      <w:tab/>
                    </w:r>
                  </w:p>
                  <w:p w:rsidR="003F3164" w:rsidRDefault="003F316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64" w:rsidRPr="003F3164" w:rsidRDefault="003F3164" w:rsidP="003F3164">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3F3164" w:rsidRPr="00DF42EA" w:rsidRDefault="003F3164" w:rsidP="003F3164">
                          <w:pPr>
                            <w:pStyle w:val="Footer"/>
                            <w:tabs>
                              <w:tab w:val="right" w:pos="9638"/>
                            </w:tabs>
                            <w:rPr>
                              <w:b/>
                              <w:sz w:val="18"/>
                            </w:rPr>
                          </w:pPr>
                          <w:r>
                            <w:tab/>
                          </w: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5</w:t>
                          </w:r>
                          <w:r w:rsidRPr="00DF42EA">
                            <w:rPr>
                              <w:b/>
                              <w:sz w:val="18"/>
                            </w:rPr>
                            <w:fldChar w:fldCharType="end"/>
                          </w:r>
                        </w:p>
                        <w:p w:rsidR="003F3164" w:rsidRDefault="003F31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" fillcolor="white [3212]" stroked="f">
              <v:stroke joinstyle="round"/>
              <v:path arrowok="t"/>
              <v:textbox style="layout-flow:vertical" inset="0,0,0,0">
                <w:txbxContent>
                  <w:p w:rsidR="003F3164" w:rsidRPr="00DF42EA" w:rsidRDefault="003F3164" w:rsidP="003F3164">
                    <w:pPr>
                      <w:pStyle w:val="Footer"/>
                      <w:tabs>
                        <w:tab w:val="right" w:pos="9638"/>
                      </w:tabs>
                      <w:rPr>
                        <w:b/>
                        <w:sz w:val="18"/>
                      </w:rPr>
                    </w:pPr>
                    <w:r>
                      <w:tab/>
                    </w:r>
                    <w:r w:rsidRPr="00DF42EA">
                      <w:rPr>
                        <w:b/>
                        <w:sz w:val="18"/>
                      </w:rPr>
                      <w:fldChar w:fldCharType="begin"/>
                    </w:r>
                    <w:r w:rsidRPr="00DF42EA">
                      <w:rPr>
                        <w:b/>
                        <w:sz w:val="18"/>
                      </w:rPr>
                      <w:instrText xml:space="preserve"> PAGE  \* MERGEFORMAT </w:instrText>
                    </w:r>
                    <w:r w:rsidRPr="00DF42EA">
                      <w:rPr>
                        <w:b/>
                        <w:sz w:val="18"/>
                      </w:rPr>
                      <w:fldChar w:fldCharType="separate"/>
                    </w:r>
                    <w:r w:rsidR="00F17AD1">
                      <w:rPr>
                        <w:b/>
                        <w:noProof/>
                        <w:sz w:val="18"/>
                      </w:rPr>
                      <w:t>5</w:t>
                    </w:r>
                    <w:r w:rsidRPr="00DF42EA">
                      <w:rPr>
                        <w:b/>
                        <w:sz w:val="18"/>
                      </w:rPr>
                      <w:fldChar w:fldCharType="end"/>
                    </w:r>
                  </w:p>
                  <w:p w:rsidR="003F3164" w:rsidRDefault="003F316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EA" w:rsidRPr="00D27D5E" w:rsidRDefault="00DF42EA" w:rsidP="00D27D5E">
      <w:pPr>
        <w:tabs>
          <w:tab w:val="right" w:pos="2155"/>
        </w:tabs>
        <w:spacing w:after="80"/>
        <w:ind w:left="680"/>
        <w:rPr>
          <w:u w:val="single"/>
        </w:rPr>
      </w:pPr>
      <w:r>
        <w:rPr>
          <w:u w:val="single"/>
        </w:rPr>
        <w:tab/>
      </w:r>
    </w:p>
  </w:footnote>
  <w:footnote w:type="continuationSeparator" w:id="0">
    <w:p w:rsidR="00DF42EA" w:rsidRPr="00CC68E4" w:rsidRDefault="00DF42EA" w:rsidP="00CC68E4">
      <w:pPr>
        <w:tabs>
          <w:tab w:val="left" w:pos="2155"/>
        </w:tabs>
        <w:spacing w:after="80"/>
        <w:ind w:left="680"/>
        <w:rPr>
          <w:u w:val="single"/>
        </w:rPr>
      </w:pPr>
      <w:r w:rsidRPr="00CC68E4">
        <w:rPr>
          <w:u w:val="single"/>
        </w:rPr>
        <w:tab/>
      </w:r>
    </w:p>
  </w:footnote>
  <w:footnote w:type="continuationNotice" w:id="1">
    <w:p w:rsidR="00DF42EA" w:rsidRDefault="00DF42EA"/>
  </w:footnote>
  <w:footnote w:id="2">
    <w:p w:rsidR="00376C4F" w:rsidRPr="00551E31" w:rsidRDefault="00376C4F" w:rsidP="00376C4F">
      <w:pPr>
        <w:pStyle w:val="FootnoteText"/>
      </w:pPr>
      <w:r>
        <w:rPr>
          <w:rStyle w:val="FootnoteReference"/>
        </w:rPr>
        <w:tab/>
      </w:r>
      <w:r w:rsidRPr="00551E31">
        <w:rPr>
          <w:rStyle w:val="FootnoteReference"/>
          <w:sz w:val="20"/>
        </w:rPr>
        <w:t>*</w:t>
      </w:r>
      <w:r>
        <w:rPr>
          <w:rStyle w:val="FootnoteReference"/>
          <w:sz w:val="20"/>
        </w:rPr>
        <w:tab/>
      </w:r>
      <w:r w:rsidRPr="008E0108">
        <w:t>Diffusé en langue allemande par la Commission centrale pour la navigation du Rhin sous la c</w:t>
      </w:r>
      <w:r>
        <w:t>ote CCNR/ZKR/ADN/WP.15/AC.2/2018</w:t>
      </w:r>
      <w:r w:rsidRPr="008E0108">
        <w:t>/</w:t>
      </w:r>
      <w:r>
        <w:t>19</w:t>
      </w:r>
      <w:r w:rsidRPr="008E0108">
        <w:t>.</w:t>
      </w:r>
    </w:p>
  </w:footnote>
  <w:footnote w:id="3">
    <w:p w:rsidR="00376C4F" w:rsidRPr="00551E31" w:rsidRDefault="00376C4F" w:rsidP="00376C4F">
      <w:pPr>
        <w:pStyle w:val="FootnoteText"/>
      </w:pPr>
      <w:r>
        <w:rPr>
          <w:rStyle w:val="FootnoteReference"/>
        </w:rPr>
        <w:tab/>
      </w:r>
      <w:r w:rsidRPr="00551E31">
        <w:rPr>
          <w:rStyle w:val="FootnoteReference"/>
          <w:sz w:val="20"/>
        </w:rPr>
        <w:t>**</w:t>
      </w:r>
      <w:r>
        <w:rPr>
          <w:rStyle w:val="FootnoteReference"/>
          <w:sz w:val="20"/>
        </w:rPr>
        <w:tab/>
      </w:r>
      <w:r w:rsidRPr="008E0108">
        <w:t>Conformément au programme de travail du Comité des</w:t>
      </w:r>
      <w:r>
        <w:t xml:space="preserve"> transports intérieurs pour 2017-2018</w:t>
      </w:r>
      <w:r w:rsidRPr="008E0108">
        <w:t xml:space="preserve"> (ECE/TRANS/</w:t>
      </w:r>
      <w:r>
        <w:t>WP.15/237, annexe V</w:t>
      </w:r>
      <w:r w:rsidRPr="008E0108">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EA" w:rsidRPr="00DF42EA" w:rsidRDefault="00DF42EA">
    <w:pPr>
      <w:pStyle w:val="Header"/>
    </w:pPr>
    <w:r>
      <w:t>ECE/TRANS/WP.15/AC.2/2018/19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EA" w:rsidRPr="00DF42EA" w:rsidRDefault="00DF42EA" w:rsidP="00DF42EA">
    <w:pPr>
      <w:pStyle w:val="Header"/>
      <w:jc w:val="right"/>
    </w:pPr>
    <w:r>
      <w:t>ECE/TRANS/WP.15/AC.2/2018/19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64" w:rsidRPr="003F3164" w:rsidRDefault="003F3164" w:rsidP="00682C4D">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3F3164" w:rsidRPr="00DF42EA" w:rsidRDefault="003F3164" w:rsidP="003F3164">
                          <w:pPr>
                            <w:pStyle w:val="Header"/>
                          </w:pPr>
                          <w:r w:rsidRPr="00B15128">
                            <w:t>ECE</w:t>
                          </w:r>
                          <w:r>
                            <w:t>/TRANS/WP.15/AC.2/2018/19</w:t>
                          </w:r>
                        </w:p>
                        <w:p w:rsidR="003F3164" w:rsidRDefault="003F31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0ehgIAABo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" fillcolor="white [3212]" stroked="f">
              <v:stroke joinstyle="round"/>
              <v:path arrowok="t"/>
              <v:textbox style="layout-flow:vertical" inset="0,0,0,0">
                <w:txbxContent>
                  <w:p w:rsidR="003F3164" w:rsidRPr="00DF42EA" w:rsidRDefault="003F3164" w:rsidP="003F3164">
                    <w:pPr>
                      <w:pStyle w:val="Header"/>
                    </w:pPr>
                    <w:r w:rsidRPr="00B15128">
                      <w:t>ECE</w:t>
                    </w:r>
                    <w:r>
                      <w:t>/TRANS/WP.15/AC.2/2018/19</w:t>
                    </w:r>
                  </w:p>
                  <w:p w:rsidR="003F3164" w:rsidRDefault="003F316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64" w:rsidRPr="003F3164" w:rsidRDefault="003F3164" w:rsidP="003F3164">
    <w:r>
      <w:rPr>
        <w:noProof/>
        <w:lang w:val="en-GB" w:eastAsia="en-GB"/>
      </w:rPr>
      <mc:AlternateContent>
        <mc:Choice Requires="wps">
          <w:drawing>
            <wp:anchor distT="0" distB="0" distL="114300" distR="114300" simplePos="0" relativeHeight="251686912"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3F3164" w:rsidRPr="00DF42EA" w:rsidRDefault="003F3164" w:rsidP="003F3164">
                          <w:pPr>
                            <w:pStyle w:val="Header"/>
                            <w:jc w:val="right"/>
                          </w:pPr>
                          <w:r>
                            <w:t>ECE/TRANS/WP.15/AC.2/2018/19</w:t>
                          </w:r>
                        </w:p>
                        <w:p w:rsidR="003F3164" w:rsidRDefault="003F31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71pt;margin-top:0;width:17pt;height:481.9pt;z-index:2516869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" fillcolor="white [3212]" stroked="f">
              <v:stroke joinstyle="round"/>
              <v:path arrowok="t"/>
              <v:textbox style="layout-flow:vertical" inset="0,0,0,0">
                <w:txbxContent>
                  <w:p w:rsidR="003F3164" w:rsidRPr="00DF42EA" w:rsidRDefault="003F3164" w:rsidP="003F3164">
                    <w:pPr>
                      <w:pStyle w:val="Header"/>
                      <w:jc w:val="right"/>
                    </w:pPr>
                    <w:r>
                      <w:t>ECE/TRANS/WP.15/AC.2/2018/19</w:t>
                    </w:r>
                  </w:p>
                  <w:p w:rsidR="003F3164" w:rsidRDefault="003F316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64" w:rsidRDefault="003F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EA"/>
    <w:rsid w:val="00016AC5"/>
    <w:rsid w:val="00030ADE"/>
    <w:rsid w:val="00072032"/>
    <w:rsid w:val="000F41F2"/>
    <w:rsid w:val="00135C0D"/>
    <w:rsid w:val="00160540"/>
    <w:rsid w:val="00172839"/>
    <w:rsid w:val="00177007"/>
    <w:rsid w:val="00186EE9"/>
    <w:rsid w:val="00192EEB"/>
    <w:rsid w:val="001A20FB"/>
    <w:rsid w:val="001B6F40"/>
    <w:rsid w:val="001D7F8A"/>
    <w:rsid w:val="001E3FEB"/>
    <w:rsid w:val="001E4A02"/>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76C4F"/>
    <w:rsid w:val="003976D5"/>
    <w:rsid w:val="003A3B0D"/>
    <w:rsid w:val="003C1B1D"/>
    <w:rsid w:val="003D1DF3"/>
    <w:rsid w:val="003D46A7"/>
    <w:rsid w:val="003D6C68"/>
    <w:rsid w:val="003F3164"/>
    <w:rsid w:val="004159D0"/>
    <w:rsid w:val="004249E7"/>
    <w:rsid w:val="004963DE"/>
    <w:rsid w:val="004A7FCC"/>
    <w:rsid w:val="005046DB"/>
    <w:rsid w:val="00543D5E"/>
    <w:rsid w:val="00571F41"/>
    <w:rsid w:val="005E5D1F"/>
    <w:rsid w:val="00603391"/>
    <w:rsid w:val="00611D43"/>
    <w:rsid w:val="00612D48"/>
    <w:rsid w:val="00616B45"/>
    <w:rsid w:val="00630D9B"/>
    <w:rsid w:val="00631953"/>
    <w:rsid w:val="006439EC"/>
    <w:rsid w:val="00652353"/>
    <w:rsid w:val="00682C4D"/>
    <w:rsid w:val="006B4590"/>
    <w:rsid w:val="006C340C"/>
    <w:rsid w:val="0070347C"/>
    <w:rsid w:val="007176C1"/>
    <w:rsid w:val="007B5228"/>
    <w:rsid w:val="007F55CB"/>
    <w:rsid w:val="008107F5"/>
    <w:rsid w:val="008317F6"/>
    <w:rsid w:val="00844750"/>
    <w:rsid w:val="008B44C4"/>
    <w:rsid w:val="008B7879"/>
    <w:rsid w:val="008E7FAE"/>
    <w:rsid w:val="00911BF7"/>
    <w:rsid w:val="00962ECB"/>
    <w:rsid w:val="00977EC8"/>
    <w:rsid w:val="009B09B2"/>
    <w:rsid w:val="009D3A8C"/>
    <w:rsid w:val="009E7956"/>
    <w:rsid w:val="00A2492E"/>
    <w:rsid w:val="00A70163"/>
    <w:rsid w:val="00A87827"/>
    <w:rsid w:val="00AC67A1"/>
    <w:rsid w:val="00AC7977"/>
    <w:rsid w:val="00AE352C"/>
    <w:rsid w:val="00B15128"/>
    <w:rsid w:val="00B32E2D"/>
    <w:rsid w:val="00B4466B"/>
    <w:rsid w:val="00B61990"/>
    <w:rsid w:val="00B85D99"/>
    <w:rsid w:val="00BF0556"/>
    <w:rsid w:val="00C261F8"/>
    <w:rsid w:val="00C33100"/>
    <w:rsid w:val="00C940E9"/>
    <w:rsid w:val="00CC68E4"/>
    <w:rsid w:val="00CD1A71"/>
    <w:rsid w:val="00CD1FBB"/>
    <w:rsid w:val="00D016B5"/>
    <w:rsid w:val="00D034F1"/>
    <w:rsid w:val="00D11B17"/>
    <w:rsid w:val="00D27D5E"/>
    <w:rsid w:val="00DA57D4"/>
    <w:rsid w:val="00DB4793"/>
    <w:rsid w:val="00DC23FB"/>
    <w:rsid w:val="00DE01E3"/>
    <w:rsid w:val="00DE6D90"/>
    <w:rsid w:val="00DF002F"/>
    <w:rsid w:val="00DF42EA"/>
    <w:rsid w:val="00E0244D"/>
    <w:rsid w:val="00E55D71"/>
    <w:rsid w:val="00E64876"/>
    <w:rsid w:val="00E81E94"/>
    <w:rsid w:val="00E82607"/>
    <w:rsid w:val="00EA31C2"/>
    <w:rsid w:val="00EC73F8"/>
    <w:rsid w:val="00ED7B41"/>
    <w:rsid w:val="00EE2EA3"/>
    <w:rsid w:val="00F01516"/>
    <w:rsid w:val="00F17AD1"/>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oNotEmbedSmartTags/>
  <w:decimalSymbol w:val="."/>
  <w:listSeparator w:val=","/>
  <w14:docId w14:val="3A5F7B14"/>
  <w15:docId w15:val="{E0E9C242-62D1-4CF0-8D15-6135240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qForma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376C4F"/>
    <w:rPr>
      <w:sz w:val="18"/>
      <w:lang w:val="fr-CH" w:eastAsia="en-US"/>
    </w:rPr>
  </w:style>
  <w:style w:type="paragraph" w:styleId="BalloonText">
    <w:name w:val="Balloon Text"/>
    <w:basedOn w:val="Normal"/>
    <w:link w:val="BalloonTextChar"/>
    <w:semiHidden/>
    <w:unhideWhenUsed/>
    <w:rsid w:val="00B151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5128"/>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F47F-C097-489D-9BCA-2E5AC20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Template>
  <TotalTime>48</TotalTime>
  <Pages>5</Pages>
  <Words>1236</Words>
  <Characters>6724</Characters>
  <Application>Microsoft Office Word</Application>
  <DocSecurity>0</DocSecurity>
  <Lines>258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Marie-Claude Collet</cp:lastModifiedBy>
  <cp:revision>6</cp:revision>
  <cp:lastPrinted>2017-11-07T15:26:00Z</cp:lastPrinted>
  <dcterms:created xsi:type="dcterms:W3CDTF">2017-11-07T11:02:00Z</dcterms:created>
  <dcterms:modified xsi:type="dcterms:W3CDTF">2017-11-07T15:27:00Z</dcterms:modified>
</cp:coreProperties>
</file>