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B34AC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B34ACD" w:rsidP="00B34ACD">
            <w:pPr>
              <w:jc w:val="right"/>
            </w:pPr>
            <w:r w:rsidRPr="00B34ACD">
              <w:rPr>
                <w:sz w:val="40"/>
              </w:rPr>
              <w:t>ECE</w:t>
            </w:r>
            <w:r>
              <w:t>/TRANS/WP.15/AC.1/2018/4</w:t>
            </w:r>
          </w:p>
        </w:tc>
      </w:tr>
      <w:tr w:rsidR="002D5AAC" w:rsidRPr="00B34ACD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B34ACD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B34ACD" w:rsidRDefault="00B34ACD" w:rsidP="00B34AC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21 December 2017</w:t>
            </w:r>
          </w:p>
          <w:p w:rsidR="00B34ACD" w:rsidRDefault="00B34ACD" w:rsidP="00B34AC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B34ACD" w:rsidRPr="008D53B6" w:rsidRDefault="00B34ACD" w:rsidP="00B34AC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E12C5F" w:rsidRPr="00236E20" w:rsidRDefault="00B34ACD" w:rsidP="00236E20">
      <w:pPr>
        <w:spacing w:before="120"/>
        <w:rPr>
          <w:sz w:val="28"/>
          <w:szCs w:val="28"/>
        </w:rPr>
      </w:pPr>
      <w:bookmarkStart w:id="1" w:name="bookmark_10"/>
      <w:r w:rsidRPr="00236E20">
        <w:rPr>
          <w:rFonts w:eastAsia="Times New Roman" w:cs="Times New Roman"/>
          <w:sz w:val="28"/>
          <w:szCs w:val="28"/>
        </w:rPr>
        <w:t>Комитет по внутреннему транспорту</w:t>
      </w:r>
      <w:bookmarkEnd w:id="1"/>
    </w:p>
    <w:p w:rsidR="00B34ACD" w:rsidRPr="00EA73E8" w:rsidRDefault="00B34ACD" w:rsidP="00236E20">
      <w:pPr>
        <w:spacing w:before="120"/>
        <w:rPr>
          <w:b/>
          <w:sz w:val="24"/>
          <w:szCs w:val="24"/>
        </w:rPr>
      </w:pPr>
      <w:bookmarkStart w:id="2" w:name="bookmark_11"/>
      <w:r w:rsidRPr="00EA73E8">
        <w:rPr>
          <w:rFonts w:eastAsia="Times New Roman" w:cs="Times New Roman"/>
          <w:b/>
          <w:sz w:val="24"/>
          <w:szCs w:val="24"/>
        </w:rPr>
        <w:t>Рабочая группа по перевозкам опасных грузов</w:t>
      </w:r>
      <w:bookmarkEnd w:id="2"/>
    </w:p>
    <w:p w:rsidR="00B34ACD" w:rsidRPr="00236E20" w:rsidRDefault="00236E20" w:rsidP="00236E20">
      <w:pPr>
        <w:spacing w:before="120"/>
        <w:rPr>
          <w:rFonts w:eastAsia="Times New Roman" w:cs="Times New Roman"/>
          <w:b/>
          <w:szCs w:val="20"/>
        </w:rPr>
      </w:pPr>
      <w:bookmarkStart w:id="3" w:name="bookmark_12"/>
      <w:r w:rsidRPr="00236E20">
        <w:rPr>
          <w:rFonts w:eastAsia="Times New Roman" w:cs="Times New Roman"/>
          <w:b/>
          <w:szCs w:val="20"/>
        </w:rPr>
        <w:t xml:space="preserve">Совместное совещание Комиссии экспертов МПОГ </w:t>
      </w:r>
      <w:r w:rsidRPr="00236E20">
        <w:rPr>
          <w:rFonts w:eastAsia="Times New Roman" w:cs="Times New Roman"/>
          <w:b/>
          <w:szCs w:val="20"/>
        </w:rPr>
        <w:br/>
        <w:t>и</w:t>
      </w:r>
      <w:bookmarkEnd w:id="3"/>
      <w:r w:rsidRPr="00236E20">
        <w:rPr>
          <w:b/>
        </w:rPr>
        <w:t xml:space="preserve"> </w:t>
      </w:r>
      <w:bookmarkStart w:id="4" w:name="bookmark_13"/>
      <w:r w:rsidRPr="00236E20">
        <w:rPr>
          <w:rFonts w:eastAsia="Times New Roman" w:cs="Times New Roman"/>
          <w:b/>
          <w:szCs w:val="20"/>
        </w:rPr>
        <w:t>Рабочей группы по перевозкам опасных грузов</w:t>
      </w:r>
      <w:bookmarkEnd w:id="4"/>
    </w:p>
    <w:p w:rsidR="00236E20" w:rsidRDefault="00236E20" w:rsidP="002E5067">
      <w:pPr>
        <w:rPr>
          <w:rFonts w:eastAsia="Times New Roman" w:cs="Times New Roman"/>
          <w:szCs w:val="20"/>
          <w:lang w:val="en-US"/>
        </w:rPr>
      </w:pPr>
      <w:bookmarkStart w:id="5" w:name="bookmark_14"/>
      <w:r w:rsidRPr="00B34ACD">
        <w:rPr>
          <w:rFonts w:eastAsia="Times New Roman" w:cs="Times New Roman"/>
          <w:szCs w:val="20"/>
        </w:rPr>
        <w:t>Берн, 12</w:t>
      </w:r>
      <w:r>
        <w:rPr>
          <w:rFonts w:eastAsia="Times New Roman" w:cs="Times New Roman"/>
          <w:szCs w:val="20"/>
          <w:lang w:val="en-US"/>
        </w:rPr>
        <w:t>–</w:t>
      </w:r>
      <w:r w:rsidRPr="00B34ACD">
        <w:rPr>
          <w:rFonts w:eastAsia="Times New Roman" w:cs="Times New Roman"/>
          <w:szCs w:val="20"/>
        </w:rPr>
        <w:t>16 марта 2018 года</w:t>
      </w:r>
      <w:bookmarkEnd w:id="5"/>
    </w:p>
    <w:p w:rsidR="00236E20" w:rsidRPr="00236E20" w:rsidRDefault="00236E20" w:rsidP="002E5067">
      <w:pPr>
        <w:rPr>
          <w:rFonts w:eastAsia="Times New Roman" w:cs="Times New Roman"/>
          <w:szCs w:val="20"/>
        </w:rPr>
      </w:pPr>
      <w:bookmarkStart w:id="6" w:name="bookmark_15"/>
      <w:r w:rsidRPr="00B34ACD">
        <w:rPr>
          <w:rFonts w:eastAsia="Times New Roman" w:cs="Times New Roman"/>
          <w:szCs w:val="20"/>
        </w:rPr>
        <w:t>Пункт 9 предварительной повестки дня</w:t>
      </w:r>
      <w:bookmarkEnd w:id="6"/>
    </w:p>
    <w:p w:rsidR="00236E20" w:rsidRPr="00236E20" w:rsidRDefault="00236E20" w:rsidP="002E5067">
      <w:pPr>
        <w:rPr>
          <w:b/>
        </w:rPr>
      </w:pPr>
      <w:bookmarkStart w:id="7" w:name="bookmark_16"/>
      <w:r w:rsidRPr="00236E20">
        <w:rPr>
          <w:rFonts w:eastAsia="Times New Roman" w:cs="Times New Roman"/>
          <w:b/>
          <w:szCs w:val="20"/>
        </w:rPr>
        <w:t>Прочие вопросы</w:t>
      </w:r>
      <w:bookmarkEnd w:id="7"/>
    </w:p>
    <w:p w:rsidR="00B34ACD" w:rsidRPr="00B34ACD" w:rsidRDefault="00B34ACD" w:rsidP="00236E20">
      <w:pPr>
        <w:pStyle w:val="HChGR"/>
      </w:pPr>
      <w:bookmarkStart w:id="8" w:name="bookmark_17"/>
      <w:r w:rsidRPr="00B34ACD">
        <w:tab/>
      </w:r>
      <w:r w:rsidRPr="00B34ACD">
        <w:tab/>
        <w:t>Наполнение балло</w:t>
      </w:r>
      <w:r w:rsidR="00236E20">
        <w:t>нов для СНГ частными лицами или</w:t>
      </w:r>
      <w:r w:rsidR="00236E20">
        <w:rPr>
          <w:lang w:val="en-US"/>
        </w:rPr>
        <w:t> </w:t>
      </w:r>
      <w:r w:rsidRPr="00B34ACD">
        <w:t>предприятиями для собственного снабжения</w:t>
      </w:r>
      <w:bookmarkEnd w:id="8"/>
    </w:p>
    <w:p w:rsidR="00B34ACD" w:rsidRPr="00B34ACD" w:rsidRDefault="00B34ACD" w:rsidP="00236E20">
      <w:pPr>
        <w:pStyle w:val="H1GR"/>
      </w:pPr>
      <w:bookmarkStart w:id="9" w:name="bookmark_18"/>
      <w:r w:rsidRPr="00B34ACD">
        <w:tab/>
      </w:r>
      <w:r w:rsidRPr="00B34ACD">
        <w:tab/>
        <w:t>Передано правительством Швейцарии</w:t>
      </w:r>
      <w:r w:rsidR="00236E20" w:rsidRPr="00236E20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  <w:bookmarkEnd w:id="9"/>
    </w:p>
    <w:p w:rsidR="00B34ACD" w:rsidRPr="00B34ACD" w:rsidRDefault="00B34ACD" w:rsidP="00236E20">
      <w:pPr>
        <w:pStyle w:val="HChGR"/>
      </w:pPr>
      <w:bookmarkStart w:id="11" w:name="bookmark_20"/>
      <w:r w:rsidRPr="00B34ACD">
        <w:tab/>
      </w:r>
      <w:r w:rsidRPr="00B34ACD">
        <w:tab/>
        <w:t>Введение</w:t>
      </w:r>
      <w:bookmarkEnd w:id="11"/>
    </w:p>
    <w:p w:rsidR="00B34ACD" w:rsidRPr="00B34ACD" w:rsidRDefault="00B34ACD" w:rsidP="00B34ACD">
      <w:pPr>
        <w:pStyle w:val="SingleTxtGR"/>
      </w:pPr>
      <w:bookmarkStart w:id="12" w:name="bookmark_21"/>
      <w:r w:rsidRPr="00B34ACD">
        <w:t>1.</w:t>
      </w:r>
      <w:r w:rsidRPr="00B34ACD">
        <w:tab/>
        <w:t>В рамках своей деятельности по надзору за рынком в области переносного оборудования, работающего под давлением, швейцарские власти неоднократно сталкивались с вопросом наполнения газовых баллонов частными лицами и предприятиями для собственного снабжения. В последнее время этот вопрос возник в плане того, разрешается ли наполнять баллоны для сжиженного нефтяного газа (СНГ) на заправочных станциях под надзором со стороны работников автозаправочной станции или без такового.</w:t>
      </w:r>
      <w:bookmarkEnd w:id="12"/>
    </w:p>
    <w:p w:rsidR="00B34ACD" w:rsidRPr="00B34ACD" w:rsidRDefault="00B34ACD" w:rsidP="00B34ACD">
      <w:pPr>
        <w:pStyle w:val="SingleTxtGR"/>
      </w:pPr>
      <w:bookmarkStart w:id="13" w:name="bookmark_22"/>
      <w:r w:rsidRPr="00B34ACD">
        <w:t>2.</w:t>
      </w:r>
      <w:r w:rsidRPr="00B34ACD">
        <w:tab/>
        <w:t xml:space="preserve">Баллоны многоразового использования для СНГ приобретаются частными лицами уже в течение многих лет. Для домов-автоприцепов наличие собственных баллонов является экономически более привлекательным вариантом, чем использование складских или арендуемых баллонов, и удачным решением сложной проблемы обмена баллонов при поездках в другие страны. Баллоны, которые стационарно установлены на доме-автоприцепе или автомобиле-доме и официально утверждены вместе с остальной частью транспортного средства, считаются оборудованием транспортного средства (рис. 1, 2 и 3). </w:t>
      </w:r>
      <w:bookmarkEnd w:id="13"/>
    </w:p>
    <w:p w:rsidR="007D7958" w:rsidRDefault="00C864BE" w:rsidP="007D7958">
      <w:pPr>
        <w:pStyle w:val="H23GR"/>
        <w:rPr>
          <w:lang w:val="en-US"/>
        </w:rPr>
      </w:pPr>
      <w:bookmarkStart w:id="14" w:name="bookmark_25"/>
      <w:bookmarkStart w:id="15" w:name="bookmark_26"/>
      <w:r>
        <w:rPr>
          <w:lang w:val="en-US"/>
        </w:rPr>
        <w:lastRenderedPageBreak/>
        <w:tab/>
      </w:r>
      <w:r w:rsidRPr="007D7958">
        <w:rPr>
          <w:b w:val="0"/>
          <w:lang w:val="en-US"/>
        </w:rPr>
        <w:tab/>
      </w:r>
      <w:bookmarkStart w:id="16" w:name="bookmark_23"/>
      <w:bookmarkStart w:id="17" w:name="bookmark_24"/>
      <w:r w:rsidR="007D7958" w:rsidRPr="007D7958">
        <w:rPr>
          <w:b w:val="0"/>
        </w:rPr>
        <w:t>Рис. 1</w:t>
      </w:r>
      <w:r w:rsidR="007D7958" w:rsidRPr="007D7958">
        <w:rPr>
          <w:b w:val="0"/>
        </w:rPr>
        <w:br/>
      </w:r>
      <w:r w:rsidR="007D7958" w:rsidRPr="00555D3D">
        <w:t>Стальной баллон</w:t>
      </w:r>
      <w:bookmarkEnd w:id="16"/>
    </w:p>
    <w:p w:rsidR="007D7958" w:rsidRPr="007D7958" w:rsidRDefault="007D7958" w:rsidP="007D7958">
      <w:pPr>
        <w:pStyle w:val="SingleTxtGR"/>
        <w:rPr>
          <w:lang w:val="en-US" w:eastAsia="ru-RU"/>
        </w:rPr>
      </w:pPr>
      <w:r w:rsidRPr="00236E20">
        <w:rPr>
          <w:b/>
          <w:noProof/>
        </w:rPr>
        <w:drawing>
          <wp:inline distT="0" distB="0" distL="0" distR="0" wp14:anchorId="1EBD6623" wp14:editId="630417CB">
            <wp:extent cx="2136140" cy="2108200"/>
            <wp:effectExtent l="0" t="0" r="0" b="635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958" w:rsidRDefault="007D7958" w:rsidP="007D7958">
      <w:pPr>
        <w:pStyle w:val="H23G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7D7958">
        <w:rPr>
          <w:b w:val="0"/>
        </w:rPr>
        <w:t xml:space="preserve">Рис. 2 </w:t>
      </w:r>
      <w:r w:rsidRPr="007D7958">
        <w:rPr>
          <w:b w:val="0"/>
        </w:rPr>
        <w:br/>
      </w:r>
      <w:r w:rsidRPr="00555D3D">
        <w:t>Алюминиевые баллоны</w:t>
      </w:r>
      <w:bookmarkEnd w:id="17"/>
    </w:p>
    <w:p w:rsidR="007D7958" w:rsidRPr="007D7958" w:rsidRDefault="00305FA2" w:rsidP="007D7958">
      <w:pPr>
        <w:pStyle w:val="SingleTxtGR"/>
        <w:rPr>
          <w:lang w:val="en-US" w:eastAsia="ru-RU"/>
        </w:rPr>
      </w:pPr>
      <w:r w:rsidRPr="00236E20">
        <w:rPr>
          <w:lang w:val="en-GB"/>
        </w:rPr>
        <w:object w:dxaOrig="9165" w:dyaOrig="6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66.5pt" o:ole="">
            <v:imagedata r:id="rId9" o:title=""/>
          </v:shape>
          <o:OLEObject Type="Embed" ProgID="PBrush" ShapeID="_x0000_i1025" DrawAspect="Content" ObjectID="_1577266903" r:id="rId10"/>
        </w:object>
      </w:r>
    </w:p>
    <w:p w:rsidR="00C864BE" w:rsidRDefault="007D7958" w:rsidP="00C864BE">
      <w:pPr>
        <w:pStyle w:val="H23G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C864BE" w:rsidRPr="00C864BE">
        <w:rPr>
          <w:b w:val="0"/>
        </w:rPr>
        <w:t>Рис. 3</w:t>
      </w:r>
      <w:r w:rsidR="00C864BE">
        <w:rPr>
          <w:lang w:val="en-US"/>
        </w:rPr>
        <w:br/>
      </w:r>
      <w:r w:rsidR="00C864BE" w:rsidRPr="00555D3D">
        <w:t>Наполнение стационарного баллона</w:t>
      </w:r>
      <w:bookmarkEnd w:id="14"/>
    </w:p>
    <w:p w:rsidR="00C864BE" w:rsidRDefault="00305FA2" w:rsidP="00CA3649">
      <w:pPr>
        <w:pStyle w:val="SingleTxtGR"/>
        <w:rPr>
          <w:lang w:val="en-US"/>
        </w:rPr>
      </w:pPr>
      <w:r w:rsidRPr="00CA3649">
        <w:object w:dxaOrig="6210" w:dyaOrig="4710">
          <v:shape id="_x0000_i1026" type="#_x0000_t75" style="width:168.75pt;height:134.25pt" o:ole="">
            <v:imagedata r:id="rId11" o:title=""/>
          </v:shape>
          <o:OLEObject Type="Embed" ProgID="PBrush" ShapeID="_x0000_i1026" DrawAspect="Content" ObjectID="_1577266904" r:id="rId12"/>
        </w:object>
      </w:r>
    </w:p>
    <w:p w:rsidR="00B34ACD" w:rsidRPr="00B34ACD" w:rsidRDefault="00B34ACD" w:rsidP="006910F5">
      <w:pPr>
        <w:pStyle w:val="SingleTxtGR"/>
        <w:spacing w:before="120"/>
      </w:pPr>
      <w:r w:rsidRPr="00B34ACD">
        <w:t>3.</w:t>
      </w:r>
      <w:r w:rsidRPr="00B34ACD">
        <w:tab/>
        <w:t xml:space="preserve">В то же время баллоны не всегда бывают стационарно прикреплены к транспортному средству. В частности, легкие изделия, такие как алюминиевые баллоны и баллоны, изготовленные из композитных материалов, используются не только для домов-автоприцепов, но и для тепловых аэростатов, судов, </w:t>
      </w:r>
      <w:r w:rsidR="00B377A5" w:rsidRPr="00B377A5">
        <w:br/>
      </w:r>
      <w:r w:rsidRPr="00B34ACD">
        <w:t>нагревательных, сушильных и плавильных установок в строительстве и</w:t>
      </w:r>
      <w:r w:rsidR="00B377A5">
        <w:rPr>
          <w:lang w:val="en-US"/>
        </w:rPr>
        <w:t> </w:t>
      </w:r>
      <w:r w:rsidRPr="00B34ACD">
        <w:t>т.д. (рис. 4, 5 и 6). При ознакомлении с некоторыми рекламными материалами создается впечатление, что частные лица самостоятельно или с привлечением работников соответствующих предприятий могут наполнять их СНГ для собственных целей без каких-либо ограничений.</w:t>
      </w:r>
      <w:bookmarkEnd w:id="15"/>
    </w:p>
    <w:p w:rsidR="00B07134" w:rsidRDefault="00B07134" w:rsidP="00B07134">
      <w:pPr>
        <w:pStyle w:val="H23GR"/>
        <w:rPr>
          <w:b w:val="0"/>
          <w:lang w:val="en-US"/>
        </w:rPr>
      </w:pPr>
      <w:bookmarkStart w:id="18" w:name="bookmark_29"/>
      <w:bookmarkStart w:id="19" w:name="bookmark_30"/>
      <w:r>
        <w:rPr>
          <w:lang w:val="en-US"/>
        </w:rPr>
        <w:lastRenderedPageBreak/>
        <w:tab/>
      </w:r>
      <w:r w:rsidRPr="00B07134">
        <w:rPr>
          <w:b w:val="0"/>
          <w:lang w:val="en-US"/>
        </w:rPr>
        <w:tab/>
      </w:r>
      <w:bookmarkStart w:id="20" w:name="bookmark_27"/>
      <w:r w:rsidRPr="00B07134">
        <w:rPr>
          <w:b w:val="0"/>
        </w:rPr>
        <w:t xml:space="preserve">Рис. 4 </w:t>
      </w:r>
      <w:r>
        <w:rPr>
          <w:lang w:val="en-US"/>
        </w:rPr>
        <w:br/>
      </w:r>
      <w:r w:rsidRPr="00B07134">
        <w:t>Небольшой алюминиевый баллон</w:t>
      </w:r>
      <w:bookmarkEnd w:id="20"/>
    </w:p>
    <w:p w:rsidR="00B07134" w:rsidRDefault="00B07134" w:rsidP="00B07134">
      <w:pPr>
        <w:pStyle w:val="SingleTxtGR"/>
        <w:rPr>
          <w:lang w:val="en-US" w:eastAsia="ru-RU"/>
        </w:rPr>
      </w:pPr>
      <w:r w:rsidRPr="00C864BE">
        <w:rPr>
          <w:noProof/>
        </w:rPr>
        <w:drawing>
          <wp:inline distT="0" distB="0" distL="0" distR="0" wp14:anchorId="5A669E8D" wp14:editId="2DDD71C6">
            <wp:extent cx="1818640" cy="2200573"/>
            <wp:effectExtent l="0" t="0" r="0" b="9525"/>
            <wp:docPr id="4" name="Image 3" descr="H:\data\Règlements UN RID ADR RSD SDR\Filling of gas cylinders\4-Cylinder AluGas portable 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ata\Règlements UN RID ADR RSD SDR\Filling of gas cylinders\4-Cylinder AluGas portable pet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09" cy="22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34" w:rsidRPr="00B07134" w:rsidRDefault="00B07134" w:rsidP="00B07134">
      <w:pPr>
        <w:pStyle w:val="H23GR"/>
      </w:pPr>
      <w:bookmarkStart w:id="21" w:name="bookmark_28"/>
      <w:r>
        <w:rPr>
          <w:lang w:val="en-US"/>
        </w:rPr>
        <w:tab/>
      </w:r>
      <w:r w:rsidRPr="00B07134">
        <w:rPr>
          <w:b w:val="0"/>
          <w:lang w:val="en-US"/>
        </w:rPr>
        <w:tab/>
      </w:r>
      <w:r w:rsidRPr="00B07134">
        <w:rPr>
          <w:b w:val="0"/>
        </w:rPr>
        <w:t xml:space="preserve">Рис. 5 </w:t>
      </w:r>
      <w:r w:rsidRPr="00E9568D">
        <w:br/>
        <w:t>Баллон из композитных материалов</w:t>
      </w:r>
      <w:bookmarkEnd w:id="21"/>
    </w:p>
    <w:p w:rsidR="00B07134" w:rsidRPr="00B07134" w:rsidRDefault="00B07134" w:rsidP="00B07134">
      <w:pPr>
        <w:pStyle w:val="SingleTxtGR"/>
        <w:rPr>
          <w:lang w:val="en-US" w:eastAsia="ru-RU"/>
        </w:rPr>
      </w:pPr>
      <w:r w:rsidRPr="00C864BE">
        <w:rPr>
          <w:noProof/>
        </w:rPr>
        <w:drawing>
          <wp:inline distT="0" distB="0" distL="0" distR="0" wp14:anchorId="236277A6" wp14:editId="1394D00F">
            <wp:extent cx="1818640" cy="216869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23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134" w:rsidRDefault="00B07134" w:rsidP="00B07134">
      <w:pPr>
        <w:pStyle w:val="H23GR"/>
        <w:rPr>
          <w:lang w:val="en-US"/>
        </w:rPr>
      </w:pP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 w:rsidR="00B34ACD" w:rsidRPr="00B07134">
        <w:rPr>
          <w:b w:val="0"/>
        </w:rPr>
        <w:t xml:space="preserve">Рис. </w:t>
      </w:r>
      <w:r w:rsidRPr="00B07134">
        <w:rPr>
          <w:b w:val="0"/>
        </w:rPr>
        <w:t>6</w:t>
      </w:r>
      <w:r w:rsidRPr="00B07134">
        <w:br/>
      </w:r>
      <w:r w:rsidR="00B34ACD" w:rsidRPr="00B07134">
        <w:t>Непосредственное наполнение</w:t>
      </w:r>
      <w:bookmarkEnd w:id="18"/>
    </w:p>
    <w:p w:rsidR="00B07134" w:rsidRPr="00B07134" w:rsidRDefault="00B07134" w:rsidP="00B07134">
      <w:pPr>
        <w:pStyle w:val="SingleTxtGR"/>
        <w:rPr>
          <w:lang w:val="en-US" w:eastAsia="ru-RU"/>
        </w:rPr>
      </w:pPr>
      <w:r w:rsidRPr="00C864BE">
        <w:rPr>
          <w:noProof/>
        </w:rPr>
        <w:drawing>
          <wp:inline distT="0" distB="0" distL="0" distR="0" wp14:anchorId="4EFE7E21" wp14:editId="1439980D">
            <wp:extent cx="1691640" cy="2148002"/>
            <wp:effectExtent l="0" t="0" r="3810" b="508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0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ACD" w:rsidRPr="00B34ACD" w:rsidRDefault="00B34ACD" w:rsidP="008A230A">
      <w:pPr>
        <w:pStyle w:val="HChGR"/>
        <w:pageBreakBefore/>
      </w:pPr>
      <w:r w:rsidRPr="00B34ACD">
        <w:lastRenderedPageBreak/>
        <w:tab/>
      </w:r>
      <w:r w:rsidRPr="00B34ACD">
        <w:tab/>
        <w:t>Обсуждение</w:t>
      </w:r>
      <w:bookmarkEnd w:id="19"/>
    </w:p>
    <w:p w:rsidR="00B34ACD" w:rsidRPr="00B34ACD" w:rsidRDefault="00B34ACD" w:rsidP="00B34ACD">
      <w:pPr>
        <w:pStyle w:val="SingleTxtGR"/>
      </w:pPr>
      <w:bookmarkStart w:id="22" w:name="bookmark_31"/>
      <w:r w:rsidRPr="00B34ACD">
        <w:t>4.</w:t>
      </w:r>
      <w:r w:rsidRPr="00B34ACD">
        <w:tab/>
        <w:t>Наполнение баллонов для СНГ частными лицами или предприятиями для собственного снабжения, будь то на автозаправочных станциях, на других заправочных предприятиях или даже из частных цистерн, приводит к возникновению некоторых вопросов с точки зрения права и в плане безопасности.</w:t>
      </w:r>
      <w:bookmarkEnd w:id="22"/>
    </w:p>
    <w:p w:rsidR="00B34ACD" w:rsidRPr="00B34ACD" w:rsidRDefault="00B34ACD" w:rsidP="00E9568D">
      <w:pPr>
        <w:pStyle w:val="H1GR"/>
      </w:pPr>
      <w:bookmarkStart w:id="23" w:name="bookmark_32"/>
      <w:r w:rsidRPr="00B34ACD">
        <w:tab/>
      </w:r>
      <w:r w:rsidRPr="00B34ACD">
        <w:tab/>
        <w:t>Правовые аспекты</w:t>
      </w:r>
      <w:bookmarkEnd w:id="23"/>
    </w:p>
    <w:p w:rsidR="00B34ACD" w:rsidRPr="00B34ACD" w:rsidRDefault="00B34ACD" w:rsidP="00B34ACD">
      <w:pPr>
        <w:pStyle w:val="SingleTxtGR"/>
      </w:pPr>
      <w:bookmarkStart w:id="24" w:name="bookmark_33"/>
      <w:r w:rsidRPr="00B34ACD">
        <w:t xml:space="preserve">5. </w:t>
      </w:r>
      <w:r w:rsidRPr="00B34ACD">
        <w:tab/>
        <w:t>В ходе изучения этого вопроса было установлено, что в некоторых европейских странах разрешается наполнять баллон</w:t>
      </w:r>
      <w:r w:rsidR="00B377A5">
        <w:t>ы</w:t>
      </w:r>
      <w:r w:rsidRPr="00B34ACD">
        <w:t xml:space="preserve"> для СНГ, если они стационарно установлены на транспортном средстве, поскольку эта операция считается эквивалентной наполнению топливного бака транспортного средства. С другой стороны, как представляется, некоторые страны прямо запрещают наполнение баллонов для СНГ на автозаправочных станциях и других заправочных предприятиях в тех случаях, если баллоны не прикреплены постоянно к транспортному средству (переносные баллоны).</w:t>
      </w:r>
      <w:bookmarkEnd w:id="24"/>
    </w:p>
    <w:p w:rsidR="00B34ACD" w:rsidRPr="00B34ACD" w:rsidRDefault="00B34ACD" w:rsidP="00B34ACD">
      <w:pPr>
        <w:pStyle w:val="SingleTxtGR"/>
      </w:pPr>
      <w:bookmarkStart w:id="25" w:name="bookmark_34"/>
      <w:r w:rsidRPr="00B34ACD">
        <w:t xml:space="preserve">6. </w:t>
      </w:r>
      <w:r w:rsidRPr="00B34ACD">
        <w:tab/>
        <w:t xml:space="preserve">Мы считаем, что прямое указание на это в виде согласованных международных требований содержится только в пункте 7 a) </w:t>
      </w:r>
      <w:r w:rsidR="00B377A5">
        <w:t>инструкций по упаковке </w:t>
      </w:r>
      <w:r w:rsidRPr="00B34ACD">
        <w:t>P200 в подразделе 4.1.4.1 МПОГ/ДОПОГ:</w:t>
      </w:r>
      <w:bookmarkEnd w:id="25"/>
    </w:p>
    <w:p w:rsidR="00B34ACD" w:rsidRPr="00B34ACD" w:rsidRDefault="00B377A5" w:rsidP="00B377A5">
      <w:pPr>
        <w:pStyle w:val="SingleTxtGR"/>
        <w:ind w:left="1701"/>
      </w:pPr>
      <w:bookmarkStart w:id="26" w:name="bookmark_35"/>
      <w:r>
        <w:tab/>
        <w:t>«</w:t>
      </w:r>
      <w:r w:rsidR="00B34ACD" w:rsidRPr="00B34ACD">
        <w:t>Наполнение сосудов под давлением может осуществляться только в специально оборудованных центрах квалифицированным персоналом, применяющим надлежащие процедуры.</w:t>
      </w:r>
      <w:bookmarkEnd w:id="26"/>
    </w:p>
    <w:p w:rsidR="00B34ACD" w:rsidRPr="00B34ACD" w:rsidRDefault="00B377A5" w:rsidP="00B377A5">
      <w:pPr>
        <w:pStyle w:val="SingleTxtGR"/>
        <w:ind w:left="1701"/>
      </w:pPr>
      <w:bookmarkStart w:id="27" w:name="bookmark_36"/>
      <w:r>
        <w:tab/>
      </w:r>
      <w:r w:rsidR="00B34ACD" w:rsidRPr="00B34ACD">
        <w:t>Указанные процедуры должны включать следующие проверки:</w:t>
      </w:r>
      <w:bookmarkEnd w:id="27"/>
    </w:p>
    <w:p w:rsidR="00B34ACD" w:rsidRPr="00B34ACD" w:rsidRDefault="00B34ACD" w:rsidP="00B377A5">
      <w:pPr>
        <w:pStyle w:val="Bullet1GR"/>
        <w:tabs>
          <w:tab w:val="clear" w:pos="1701"/>
          <w:tab w:val="num" w:pos="2268"/>
        </w:tabs>
        <w:ind w:left="2268"/>
      </w:pPr>
      <w:bookmarkStart w:id="28" w:name="bookmark_37"/>
      <w:r w:rsidRPr="00B34ACD">
        <w:t>соответствия сосудов и вспомогательного оборудования МПОГ/</w:t>
      </w:r>
      <w:r w:rsidR="00FC5381">
        <w:br/>
      </w:r>
      <w:r w:rsidRPr="00B34ACD">
        <w:t>ДОПОГ;</w:t>
      </w:r>
      <w:bookmarkEnd w:id="28"/>
    </w:p>
    <w:p w:rsidR="00B34ACD" w:rsidRPr="00B34ACD" w:rsidRDefault="00B34ACD" w:rsidP="00B377A5">
      <w:pPr>
        <w:pStyle w:val="Bullet1GR"/>
        <w:ind w:left="2268"/>
      </w:pPr>
      <w:bookmarkStart w:id="29" w:name="bookmark_38"/>
      <w:r w:rsidRPr="00B34ACD">
        <w:t>проверку их совместимости с подлежащим перевозке продуктом;</w:t>
      </w:r>
      <w:bookmarkEnd w:id="29"/>
    </w:p>
    <w:p w:rsidR="00B34ACD" w:rsidRPr="00B34ACD" w:rsidRDefault="00B34ACD" w:rsidP="00B377A5">
      <w:pPr>
        <w:pStyle w:val="Bullet1GR"/>
        <w:ind w:left="2268"/>
      </w:pPr>
      <w:bookmarkStart w:id="30" w:name="bookmark_39"/>
      <w:r w:rsidRPr="00B34ACD">
        <w:t>проверку отсутствия повреждений, способных снизить уровень безопасности;</w:t>
      </w:r>
      <w:bookmarkEnd w:id="30"/>
    </w:p>
    <w:p w:rsidR="00B34ACD" w:rsidRPr="00B34ACD" w:rsidRDefault="00B34ACD" w:rsidP="00B377A5">
      <w:pPr>
        <w:pStyle w:val="Bullet1GR"/>
        <w:ind w:left="2268"/>
      </w:pPr>
      <w:bookmarkStart w:id="31" w:name="bookmark_40"/>
      <w:r w:rsidRPr="00B34ACD">
        <w:t>проверку соблюдения значений коэффициента или давления наполнения в зависимости от конкретного случая;</w:t>
      </w:r>
      <w:bookmarkEnd w:id="31"/>
    </w:p>
    <w:p w:rsidR="00B34ACD" w:rsidRPr="00B34ACD" w:rsidRDefault="00B34ACD" w:rsidP="00B377A5">
      <w:pPr>
        <w:pStyle w:val="Bullet1GR"/>
        <w:ind w:left="2268"/>
        <w:rPr>
          <w:i/>
        </w:rPr>
      </w:pPr>
      <w:bookmarkStart w:id="32" w:name="bookmark_41"/>
      <w:r w:rsidRPr="00B34ACD">
        <w:t>маркировочных и идентификационных знаков.».</w:t>
      </w:r>
      <w:bookmarkEnd w:id="32"/>
    </w:p>
    <w:p w:rsidR="00B34ACD" w:rsidRPr="00B34ACD" w:rsidRDefault="00B377A5" w:rsidP="00B34ACD">
      <w:pPr>
        <w:pStyle w:val="SingleTxtGR"/>
      </w:pPr>
      <w:bookmarkStart w:id="33" w:name="bookmark_42"/>
      <w:r>
        <w:tab/>
      </w:r>
      <w:r w:rsidR="00B34ACD" w:rsidRPr="00B34ACD">
        <w:t>Эти требования считаются выполненными, если применяются стандарты, перечисленные в пункте 11. Вместе с тем не совсем ясно, каким образом частные лица и предприятия, наполняющие баллоны для СНГ для собственного снабжения, могут выполнять эти требования.</w:t>
      </w:r>
      <w:bookmarkEnd w:id="33"/>
    </w:p>
    <w:p w:rsidR="00B34ACD" w:rsidRPr="00B34ACD" w:rsidRDefault="00B34ACD" w:rsidP="00584776">
      <w:pPr>
        <w:pStyle w:val="H1GR"/>
      </w:pPr>
      <w:bookmarkStart w:id="34" w:name="bookmark_43"/>
      <w:r w:rsidRPr="00B34ACD">
        <w:tab/>
      </w:r>
      <w:r w:rsidRPr="00B34ACD">
        <w:tab/>
        <w:t>Аспекты безопасности</w:t>
      </w:r>
      <w:bookmarkEnd w:id="34"/>
    </w:p>
    <w:p w:rsidR="00B34ACD" w:rsidRPr="00B34ACD" w:rsidRDefault="00B34ACD" w:rsidP="00B34ACD">
      <w:pPr>
        <w:pStyle w:val="SingleTxtGR"/>
      </w:pPr>
      <w:bookmarkStart w:id="35" w:name="bookmark_44"/>
      <w:r w:rsidRPr="00B34ACD">
        <w:t>7.</w:t>
      </w:r>
      <w:r w:rsidRPr="00B34ACD">
        <w:tab/>
        <w:t>В качестве примера можно привести указанный на рис. 5 баллон из композитных материалов, который недавно поступил на швейцарский рынок. Этот имеющий маркировку Pi сосуд под давлением предназначен для наполнения на автозаправочных станциях. В отличие от алюминиевого баллона, показанного на рис. 4, он оборудован только одним вентилем для наполнения и опорожнения. Как и в случае других баллонов, представленных в настоящем документе в качестве примеров, этот баллон имеет автоматическое устройство защиты от переполнения, которое останавливает процес</w:t>
      </w:r>
      <w:r w:rsidR="00B377A5">
        <w:t>с наполнения при достижении 80% </w:t>
      </w:r>
      <w:r w:rsidRPr="00B34ACD">
        <w:t>наполнения баллона при условии его нахождения в вертикальном положении. В силу этого крайне важно во время наполнения обеспечить выполнение последнего условия.</w:t>
      </w:r>
      <w:bookmarkEnd w:id="35"/>
    </w:p>
    <w:p w:rsidR="00B34ACD" w:rsidRDefault="00B34ACD" w:rsidP="00B377A5">
      <w:pPr>
        <w:pStyle w:val="SingleTxtGR"/>
        <w:pageBreakBefore/>
        <w:rPr>
          <w:lang w:val="en-US"/>
        </w:rPr>
      </w:pPr>
      <w:bookmarkStart w:id="36" w:name="bookmark_45"/>
      <w:r w:rsidRPr="00B34ACD">
        <w:lastRenderedPageBreak/>
        <w:t xml:space="preserve">8. </w:t>
      </w:r>
      <w:r w:rsidRPr="00B34ACD">
        <w:tab/>
        <w:t>Мы также считаем, что существует серьезная проблема в плане безопасности в связи с необходимостью использовать адаптеры для наполнения баллонов в различных странах. Так, в Швейцарии для наполнения баллона из композитных материалов необходимо последовательн</w:t>
      </w:r>
      <w:r w:rsidR="00E11ED6">
        <w:t>о установить два адаптера (рис.</w:t>
      </w:r>
      <w:r w:rsidR="00E11ED6">
        <w:rPr>
          <w:lang w:val="en-US"/>
        </w:rPr>
        <w:t> </w:t>
      </w:r>
      <w:r w:rsidRPr="00B34ACD">
        <w:t>7), при этом еще один адаптер необходим при эксплуатации такого баллона. По нашему мнению, использование последовательно установленных адаптеров снижает уровень безопасности.</w:t>
      </w:r>
      <w:bookmarkEnd w:id="36"/>
    </w:p>
    <w:p w:rsidR="00584776" w:rsidRDefault="00584776" w:rsidP="00584776">
      <w:pPr>
        <w:pStyle w:val="H23GR"/>
        <w:rPr>
          <w:lang w:val="en-US"/>
        </w:rPr>
      </w:pPr>
      <w:bookmarkStart w:id="37" w:name="bookmark_46"/>
      <w:r>
        <w:rPr>
          <w:lang w:val="en-US"/>
        </w:rPr>
        <w:tab/>
      </w:r>
      <w:r>
        <w:rPr>
          <w:lang w:val="en-US"/>
        </w:rPr>
        <w:tab/>
      </w:r>
      <w:r w:rsidRPr="00584776">
        <w:rPr>
          <w:b w:val="0"/>
        </w:rPr>
        <w:t>Рис. 7</w:t>
      </w:r>
      <w:r w:rsidRPr="00584776">
        <w:br/>
      </w:r>
      <w:r w:rsidRPr="00B34ACD">
        <w:t>Два последовательно установленных адаптера</w:t>
      </w:r>
      <w:bookmarkEnd w:id="37"/>
    </w:p>
    <w:p w:rsidR="00584776" w:rsidRPr="00584776" w:rsidRDefault="00584776" w:rsidP="00584776">
      <w:pPr>
        <w:pStyle w:val="SingleTxtGR"/>
        <w:rPr>
          <w:lang w:val="en-US" w:eastAsia="ru-RU"/>
        </w:rPr>
      </w:pPr>
      <w:r w:rsidRPr="00B34ACD">
        <w:rPr>
          <w:noProof/>
        </w:rPr>
        <w:drawing>
          <wp:inline distT="0" distB="0" distL="0" distR="0" wp14:anchorId="1C32FABB" wp14:editId="6AC998AB">
            <wp:extent cx="2707640" cy="1986673"/>
            <wp:effectExtent l="0" t="0" r="0" b="0"/>
            <wp:docPr id="10" name="Image 2" descr="H:\data\Règlements UN RID ADR RSD SDR\Filling of gas cylinders\7-Cylinder Safefill adaptor 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ata\Règlements UN RID ADR RSD SDR\Filling of gas cylinders\7-Cylinder Safefill adaptor pet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8" cy="19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CD" w:rsidRPr="00B34ACD" w:rsidRDefault="00B34ACD" w:rsidP="00B34ACD">
      <w:pPr>
        <w:pStyle w:val="SingleTxtGR"/>
      </w:pPr>
      <w:bookmarkStart w:id="38" w:name="bookmark_47"/>
      <w:r w:rsidRPr="00B34ACD">
        <w:t>9.</w:t>
      </w:r>
      <w:r w:rsidRPr="00B34ACD">
        <w:tab/>
        <w:t>И наконец, мы задаемся вопросом, насколько частные лица выполняют положения МПОГ/ДОПОГ, касающиеся периодической проверки и маркировки, а также проверяют соответствующие устройства на предмет отсутствия повреждений, способных снизить уровень безопасности.</w:t>
      </w:r>
      <w:bookmarkEnd w:id="38"/>
    </w:p>
    <w:p w:rsidR="00B34ACD" w:rsidRPr="00B34ACD" w:rsidRDefault="00B34ACD" w:rsidP="00B34ACD">
      <w:pPr>
        <w:pStyle w:val="SingleTxtGR"/>
      </w:pPr>
      <w:bookmarkStart w:id="39" w:name="bookmark_48"/>
      <w:r w:rsidRPr="00B34ACD">
        <w:t xml:space="preserve">10. </w:t>
      </w:r>
      <w:r w:rsidRPr="00B34ACD">
        <w:tab/>
        <w:t xml:space="preserve">Нам ясно, что требования в отношении безопасности, применимые </w:t>
      </w:r>
      <w:r w:rsidR="00E11ED6" w:rsidRPr="00E11ED6">
        <w:br/>
      </w:r>
      <w:r w:rsidRPr="00B34ACD">
        <w:t>к автозаправочным станциям и другим заправочным предприятиям, основаны главным образом на национальных правилах. Вместе с тем, поскольку такие баллоны предназначены для использования в международных перевозках и их собственник может наполнять их в различных странах, важно выработать согласованный подход в отношении понима</w:t>
      </w:r>
      <w:r w:rsidR="00E11ED6">
        <w:t>ния и применения положений</w:t>
      </w:r>
      <w:r w:rsidR="00E11ED6">
        <w:rPr>
          <w:lang w:val="en-US"/>
        </w:rPr>
        <w:t> </w:t>
      </w:r>
      <w:r w:rsidR="00E11ED6">
        <w:t>P200</w:t>
      </w:r>
      <w:r w:rsidR="00E11ED6">
        <w:rPr>
          <w:lang w:val="en-US"/>
        </w:rPr>
        <w:t> </w:t>
      </w:r>
      <w:r w:rsidRPr="00B34ACD">
        <w:t>МПОГ/ДОПОГ.</w:t>
      </w:r>
      <w:bookmarkEnd w:id="39"/>
    </w:p>
    <w:p w:rsidR="00B34ACD" w:rsidRPr="00B34ACD" w:rsidRDefault="00B34ACD" w:rsidP="00B377A5">
      <w:pPr>
        <w:pStyle w:val="H1GR"/>
      </w:pPr>
      <w:bookmarkStart w:id="40" w:name="bookmark_49"/>
      <w:r w:rsidRPr="00B34ACD">
        <w:tab/>
      </w:r>
      <w:r w:rsidRPr="00B34ACD">
        <w:tab/>
        <w:t>Вопросы</w:t>
      </w:r>
      <w:bookmarkEnd w:id="40"/>
    </w:p>
    <w:p w:rsidR="00B34ACD" w:rsidRPr="00B34ACD" w:rsidRDefault="00B34ACD" w:rsidP="00B34ACD">
      <w:pPr>
        <w:pStyle w:val="SingleTxtGR"/>
      </w:pPr>
      <w:bookmarkStart w:id="41" w:name="bookmark_50"/>
      <w:r w:rsidRPr="00B34ACD">
        <w:t>11.</w:t>
      </w:r>
      <w:r w:rsidRPr="00B34ACD">
        <w:tab/>
        <w:t>Швейцария хотела бы получить мнение Совместного совещания по следующим аспектам:</w:t>
      </w:r>
      <w:bookmarkEnd w:id="41"/>
    </w:p>
    <w:p w:rsidR="00B34ACD" w:rsidRPr="00584776" w:rsidRDefault="00584776" w:rsidP="00584776">
      <w:pPr>
        <w:pStyle w:val="SingleTxtGR"/>
        <w:ind w:left="2268" w:hanging="567"/>
      </w:pPr>
      <w:bookmarkStart w:id="42" w:name="bookmark_51"/>
      <w:r>
        <w:rPr>
          <w:lang w:val="en-US"/>
        </w:rPr>
        <w:t>a</w:t>
      </w:r>
      <w:r w:rsidRPr="00584776">
        <w:t>)</w:t>
      </w:r>
      <w:r w:rsidRPr="00584776">
        <w:tab/>
      </w:r>
      <w:r w:rsidR="00B34ACD" w:rsidRPr="00584776">
        <w:t>Каким образом наполнение переносных баллонов для СНГ на автозаправочных станциях и других заправочных предприятиях регулируется в различных странах, применяющих МПОГ/ДОПОГ?</w:t>
      </w:r>
      <w:bookmarkEnd w:id="42"/>
    </w:p>
    <w:p w:rsidR="00B34ACD" w:rsidRPr="00584776" w:rsidRDefault="00584776" w:rsidP="00584776">
      <w:pPr>
        <w:pStyle w:val="SingleTxtGR"/>
        <w:ind w:left="2268" w:hanging="567"/>
      </w:pPr>
      <w:bookmarkStart w:id="43" w:name="bookmark_52"/>
      <w:r>
        <w:rPr>
          <w:lang w:val="en-US"/>
        </w:rPr>
        <w:t>b</w:t>
      </w:r>
      <w:r w:rsidRPr="00584776">
        <w:t>)</w:t>
      </w:r>
      <w:r w:rsidRPr="00584776">
        <w:tab/>
      </w:r>
      <w:r w:rsidR="00B34ACD" w:rsidRPr="00584776">
        <w:t>С учетом изъятий, преду</w:t>
      </w:r>
      <w:r w:rsidR="007D7958">
        <w:t>смотренных в МПОГ/ДОПОГ (пункты</w:t>
      </w:r>
      <w:r w:rsidR="007D7958">
        <w:rPr>
          <w:lang w:val="en-US"/>
        </w:rPr>
        <w:t> </w:t>
      </w:r>
      <w:r w:rsidR="00B34ACD" w:rsidRPr="00584776">
        <w:t>1.1.3.1 и 1.1.3.2), применима ли инструкция по упаковке Р200 к частным лицам и предприятиям, наполняющим переносные баллоны для собственного снабжения?</w:t>
      </w:r>
      <w:bookmarkEnd w:id="43"/>
    </w:p>
    <w:p w:rsidR="00B34ACD" w:rsidRPr="00584776" w:rsidRDefault="00584776" w:rsidP="00584776">
      <w:pPr>
        <w:pStyle w:val="SingleTxtGR"/>
        <w:ind w:left="2268" w:hanging="567"/>
      </w:pPr>
      <w:bookmarkStart w:id="44" w:name="bookmark_53"/>
      <w:r>
        <w:rPr>
          <w:lang w:val="en-US"/>
        </w:rPr>
        <w:t>c</w:t>
      </w:r>
      <w:r w:rsidRPr="00584776">
        <w:t>)</w:t>
      </w:r>
      <w:r w:rsidRPr="00584776">
        <w:tab/>
      </w:r>
      <w:r w:rsidR="00B34ACD" w:rsidRPr="00584776">
        <w:t>Могут ли частные лица и предприятия, наполняющие баллоны для собственного снабжения, осуществлять наполнение переносных баллонов в соответствии с требованиями P200?</w:t>
      </w:r>
      <w:bookmarkEnd w:id="44"/>
    </w:p>
    <w:p w:rsidR="00B34ACD" w:rsidRPr="00584776" w:rsidRDefault="00584776" w:rsidP="00584776">
      <w:pPr>
        <w:pStyle w:val="SingleTxtGR"/>
        <w:ind w:left="2268" w:hanging="567"/>
      </w:pPr>
      <w:bookmarkStart w:id="45" w:name="bookmark_54"/>
      <w:r>
        <w:rPr>
          <w:lang w:val="en-US"/>
        </w:rPr>
        <w:t>d</w:t>
      </w:r>
      <w:r w:rsidRPr="00584776">
        <w:t>)</w:t>
      </w:r>
      <w:r w:rsidRPr="00584776">
        <w:tab/>
      </w:r>
      <w:r w:rsidR="00FC5381">
        <w:t>С учетом того</w:t>
      </w:r>
      <w:r w:rsidR="00B34ACD" w:rsidRPr="00584776">
        <w:t xml:space="preserve"> что поездки с использованием домов-автоприцепов и автомобилей-домов совершаются по всей Европе, следует ли регулировать наполнение переносных баллонов для СНГ на автозаправочных станциях и других заправочных предприятиях на международном уровне? </w:t>
      </w:r>
      <w:bookmarkEnd w:id="45"/>
    </w:p>
    <w:p w:rsidR="00B34ACD" w:rsidRPr="00584776" w:rsidRDefault="00584776" w:rsidP="00584776">
      <w:pPr>
        <w:pStyle w:val="SingleTxtGR"/>
        <w:ind w:left="2268" w:hanging="567"/>
      </w:pPr>
      <w:bookmarkStart w:id="46" w:name="bookmark_55"/>
      <w:r>
        <w:rPr>
          <w:lang w:val="en-US"/>
        </w:rPr>
        <w:lastRenderedPageBreak/>
        <w:t>e</w:t>
      </w:r>
      <w:r w:rsidRPr="00584776">
        <w:t>)</w:t>
      </w:r>
      <w:r w:rsidRPr="00584776">
        <w:tab/>
      </w:r>
      <w:r w:rsidR="00B34ACD" w:rsidRPr="00584776">
        <w:t>Существует ли необходимость адаптировать правила перевозки опасных грузов?</w:t>
      </w:r>
      <w:bookmarkEnd w:id="46"/>
    </w:p>
    <w:p w:rsidR="00B34ACD" w:rsidRPr="00584776" w:rsidRDefault="00584776" w:rsidP="00584776">
      <w:pPr>
        <w:pStyle w:val="SingleTxtGR"/>
        <w:ind w:left="2268" w:hanging="567"/>
      </w:pPr>
      <w:bookmarkStart w:id="47" w:name="bookmark_56"/>
      <w:r>
        <w:rPr>
          <w:lang w:val="en-US"/>
        </w:rPr>
        <w:t>f</w:t>
      </w:r>
      <w:r w:rsidRPr="00584776">
        <w:t>)</w:t>
      </w:r>
      <w:r w:rsidRPr="00584776">
        <w:tab/>
      </w:r>
      <w:r w:rsidR="00B34ACD" w:rsidRPr="00584776">
        <w:t>Существуют ли другие меры, необходимые для обеспечения безопасности?</w:t>
      </w:r>
      <w:bookmarkEnd w:id="47"/>
    </w:p>
    <w:p w:rsidR="00B34ACD" w:rsidRPr="00584776" w:rsidRDefault="00B34ACD" w:rsidP="00B34ACD">
      <w:pPr>
        <w:pStyle w:val="SingleTxtGR"/>
        <w:spacing w:before="240" w:after="0"/>
        <w:jc w:val="center"/>
        <w:rPr>
          <w:u w:val="single"/>
        </w:rPr>
      </w:pPr>
      <w:r w:rsidRPr="00584776">
        <w:rPr>
          <w:u w:val="single"/>
        </w:rPr>
        <w:tab/>
      </w:r>
      <w:r w:rsidRPr="00584776">
        <w:rPr>
          <w:u w:val="single"/>
        </w:rPr>
        <w:tab/>
      </w:r>
      <w:r w:rsidRPr="00584776">
        <w:rPr>
          <w:u w:val="single"/>
        </w:rPr>
        <w:tab/>
      </w:r>
    </w:p>
    <w:p w:rsidR="00B34ACD" w:rsidRPr="00B34ACD" w:rsidRDefault="00B34ACD" w:rsidP="002E5067"/>
    <w:sectPr w:rsidR="00B34ACD" w:rsidRPr="00B34ACD" w:rsidSect="00B34ACD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616" w:rsidRPr="00A312BC" w:rsidRDefault="00AD6616" w:rsidP="00A312BC"/>
  </w:endnote>
  <w:endnote w:type="continuationSeparator" w:id="0">
    <w:p w:rsidR="00AD6616" w:rsidRPr="00A312BC" w:rsidRDefault="00AD6616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CD" w:rsidRPr="00B34ACD" w:rsidRDefault="00B34ACD">
    <w:pPr>
      <w:pStyle w:val="Footer"/>
    </w:pPr>
    <w:r w:rsidRPr="00B34ACD">
      <w:rPr>
        <w:b/>
        <w:sz w:val="18"/>
      </w:rPr>
      <w:fldChar w:fldCharType="begin"/>
    </w:r>
    <w:r w:rsidRPr="00B34ACD">
      <w:rPr>
        <w:b/>
        <w:sz w:val="18"/>
      </w:rPr>
      <w:instrText xml:space="preserve"> PAGE  \* MERGEFORMAT </w:instrText>
    </w:r>
    <w:r w:rsidRPr="00B34ACD">
      <w:rPr>
        <w:b/>
        <w:sz w:val="18"/>
      </w:rPr>
      <w:fldChar w:fldCharType="separate"/>
    </w:r>
    <w:r w:rsidR="00B63085">
      <w:rPr>
        <w:b/>
        <w:noProof/>
        <w:sz w:val="18"/>
      </w:rPr>
      <w:t>2</w:t>
    </w:r>
    <w:r w:rsidRPr="00B34ACD">
      <w:rPr>
        <w:b/>
        <w:sz w:val="18"/>
      </w:rPr>
      <w:fldChar w:fldCharType="end"/>
    </w:r>
    <w:r>
      <w:rPr>
        <w:b/>
        <w:sz w:val="18"/>
      </w:rPr>
      <w:tab/>
    </w:r>
    <w:r>
      <w:t>GE.17-23049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CD" w:rsidRPr="00B34ACD" w:rsidRDefault="00B34ACD" w:rsidP="00B34ACD">
    <w:pPr>
      <w:pStyle w:val="Footer"/>
      <w:tabs>
        <w:tab w:val="clear" w:pos="9639"/>
        <w:tab w:val="right" w:pos="9638"/>
      </w:tabs>
      <w:rPr>
        <w:b/>
        <w:sz w:val="18"/>
      </w:rPr>
    </w:pPr>
    <w:r>
      <w:t>GE.17-23049</w:t>
    </w:r>
    <w:r>
      <w:tab/>
    </w:r>
    <w:r w:rsidRPr="00B34ACD">
      <w:rPr>
        <w:b/>
        <w:sz w:val="18"/>
      </w:rPr>
      <w:fldChar w:fldCharType="begin"/>
    </w:r>
    <w:r w:rsidRPr="00B34ACD">
      <w:rPr>
        <w:b/>
        <w:sz w:val="18"/>
      </w:rPr>
      <w:instrText xml:space="preserve"> PAGE  \* MERGEFORMAT </w:instrText>
    </w:r>
    <w:r w:rsidRPr="00B34ACD">
      <w:rPr>
        <w:b/>
        <w:sz w:val="18"/>
      </w:rPr>
      <w:fldChar w:fldCharType="separate"/>
    </w:r>
    <w:r w:rsidR="00B63085">
      <w:rPr>
        <w:b/>
        <w:noProof/>
        <w:sz w:val="18"/>
      </w:rPr>
      <w:t>3</w:t>
    </w:r>
    <w:r w:rsidRPr="00B34AC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B72" w:rsidRPr="00B34ACD" w:rsidRDefault="00B34ACD" w:rsidP="00B34ACD">
    <w:pPr>
      <w:spacing w:before="120" w:line="240" w:lineRule="auto"/>
    </w:pPr>
    <w:r>
      <w:t>GE.</w:t>
    </w:r>
    <w:r w:rsidR="00DF71B9"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47433EBE" wp14:editId="79CAE2AD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17-23049  (R)</w:t>
    </w:r>
    <w:r>
      <w:rPr>
        <w:lang w:val="en-US"/>
      </w:rPr>
      <w:t xml:space="preserve">  050118  050118</w:t>
    </w:r>
    <w:r>
      <w:br/>
    </w:r>
    <w:r w:rsidRPr="00B34ACD">
      <w:rPr>
        <w:rFonts w:ascii="C39T30Lfz" w:hAnsi="C39T30Lfz"/>
        <w:spacing w:val="0"/>
        <w:w w:val="100"/>
        <w:sz w:val="56"/>
      </w:rPr>
      <w:t></w:t>
    </w:r>
    <w:r w:rsidRPr="00B34ACD">
      <w:rPr>
        <w:rFonts w:ascii="C39T30Lfz" w:hAnsi="C39T30Lfz"/>
        <w:spacing w:val="0"/>
        <w:w w:val="100"/>
        <w:sz w:val="56"/>
      </w:rPr>
      <w:t></w:t>
    </w:r>
    <w:r w:rsidRPr="00B34ACD">
      <w:rPr>
        <w:rFonts w:ascii="C39T30Lfz" w:hAnsi="C39T30Lfz"/>
        <w:spacing w:val="0"/>
        <w:w w:val="100"/>
        <w:sz w:val="56"/>
      </w:rPr>
      <w:t></w:t>
    </w:r>
    <w:r w:rsidRPr="00B34ACD">
      <w:rPr>
        <w:rFonts w:ascii="C39T30Lfz" w:hAnsi="C39T30Lfz"/>
        <w:spacing w:val="0"/>
        <w:w w:val="100"/>
        <w:sz w:val="56"/>
      </w:rPr>
      <w:t></w:t>
    </w:r>
    <w:r w:rsidRPr="00B34ACD">
      <w:rPr>
        <w:rFonts w:ascii="C39T30Lfz" w:hAnsi="C39T30Lfz"/>
        <w:spacing w:val="0"/>
        <w:w w:val="100"/>
        <w:sz w:val="56"/>
      </w:rPr>
      <w:t></w:t>
    </w:r>
    <w:r w:rsidRPr="00B34ACD">
      <w:rPr>
        <w:rFonts w:ascii="C39T30Lfz" w:hAnsi="C39T30Lfz"/>
        <w:spacing w:val="0"/>
        <w:w w:val="100"/>
        <w:sz w:val="56"/>
      </w:rPr>
      <w:t></w:t>
    </w:r>
    <w:r w:rsidRPr="00B34ACD">
      <w:rPr>
        <w:rFonts w:ascii="C39T30Lfz" w:hAnsi="C39T30Lfz"/>
        <w:spacing w:val="0"/>
        <w:w w:val="100"/>
        <w:sz w:val="56"/>
      </w:rPr>
      <w:t></w:t>
    </w:r>
    <w:r w:rsidRPr="00B34ACD">
      <w:rPr>
        <w:rFonts w:ascii="C39T30Lfz" w:hAnsi="C39T30Lfz"/>
        <w:spacing w:val="0"/>
        <w:w w:val="100"/>
        <w:sz w:val="56"/>
      </w:rPr>
      <w:t></w:t>
    </w:r>
    <w:r w:rsidRPr="00B34ACD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7564" cy="637564"/>
          <wp:effectExtent l="0" t="0" r="0" b="0"/>
          <wp:wrapNone/>
          <wp:docPr id="1" name="Рисунок 1" descr="https://undocs.org/m2/QRCode.ashx?DS=ECE/TRANS/WP.15/AC.1/2018/4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15/AC.1/2018/4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64" cy="637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616" w:rsidRPr="001075E9" w:rsidRDefault="00AD6616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AD6616" w:rsidRDefault="00AD6616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236E20" w:rsidRPr="00236E20" w:rsidRDefault="00236E20">
      <w:pPr>
        <w:pStyle w:val="FootnoteText"/>
        <w:rPr>
          <w:sz w:val="20"/>
          <w:lang w:val="ru-RU"/>
        </w:rPr>
      </w:pPr>
      <w:bookmarkStart w:id="10" w:name="footnoteBookmark_19"/>
      <w:r>
        <w:tab/>
      </w:r>
      <w:r w:rsidRPr="00236E20">
        <w:rPr>
          <w:rStyle w:val="FootnoteReference"/>
          <w:sz w:val="20"/>
          <w:vertAlign w:val="baseline"/>
          <w:lang w:val="ru-RU"/>
        </w:rPr>
        <w:t>*</w:t>
      </w:r>
      <w:r w:rsidRPr="00236E20">
        <w:rPr>
          <w:rStyle w:val="FootnoteReference"/>
          <w:vertAlign w:val="baseline"/>
          <w:lang w:val="ru-RU"/>
        </w:rPr>
        <w:tab/>
      </w:r>
      <w:r w:rsidRPr="00236E20">
        <w:rPr>
          <w:lang w:val="ru-RU"/>
        </w:rPr>
        <w:t>В соответствии с проектом программы работы Комитета по внутреннему транспорту на 2018–2019 годы (ECE/TRANS/WP.15/237, приложение V (9.2)).</w:t>
      </w:r>
    </w:p>
    <w:bookmarkEnd w:id="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CD" w:rsidRPr="00B34ACD" w:rsidRDefault="00B63085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CF7B1E">
      <w:t>ECE/TRANS/WP.15/AC.1/2018/4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ACD" w:rsidRPr="00B34ACD" w:rsidRDefault="00B63085" w:rsidP="00B34ACD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CF7B1E">
      <w:t>ECE/TRANS/WP.15/AC.1/2018/4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70F7B"/>
    <w:multiLevelType w:val="hybridMultilevel"/>
    <w:tmpl w:val="41780A32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100C0019" w:tentative="1">
      <w:start w:val="1"/>
      <w:numFmt w:val="lowerLetter"/>
      <w:lvlText w:val="%2."/>
      <w:lvlJc w:val="left"/>
      <w:pPr>
        <w:ind w:left="2574" w:hanging="360"/>
      </w:pPr>
    </w:lvl>
    <w:lvl w:ilvl="2" w:tplc="100C001B" w:tentative="1">
      <w:start w:val="1"/>
      <w:numFmt w:val="lowerRoman"/>
      <w:lvlText w:val="%3."/>
      <w:lvlJc w:val="right"/>
      <w:pPr>
        <w:ind w:left="3294" w:hanging="180"/>
      </w:pPr>
    </w:lvl>
    <w:lvl w:ilvl="3" w:tplc="100C000F" w:tentative="1">
      <w:start w:val="1"/>
      <w:numFmt w:val="decimal"/>
      <w:lvlText w:val="%4."/>
      <w:lvlJc w:val="left"/>
      <w:pPr>
        <w:ind w:left="4014" w:hanging="360"/>
      </w:pPr>
    </w:lvl>
    <w:lvl w:ilvl="4" w:tplc="100C0019" w:tentative="1">
      <w:start w:val="1"/>
      <w:numFmt w:val="lowerLetter"/>
      <w:lvlText w:val="%5."/>
      <w:lvlJc w:val="left"/>
      <w:pPr>
        <w:ind w:left="4734" w:hanging="360"/>
      </w:pPr>
    </w:lvl>
    <w:lvl w:ilvl="5" w:tplc="100C001B" w:tentative="1">
      <w:start w:val="1"/>
      <w:numFmt w:val="lowerRoman"/>
      <w:lvlText w:val="%6."/>
      <w:lvlJc w:val="right"/>
      <w:pPr>
        <w:ind w:left="5454" w:hanging="180"/>
      </w:pPr>
    </w:lvl>
    <w:lvl w:ilvl="6" w:tplc="100C000F" w:tentative="1">
      <w:start w:val="1"/>
      <w:numFmt w:val="decimal"/>
      <w:lvlText w:val="%7."/>
      <w:lvlJc w:val="left"/>
      <w:pPr>
        <w:ind w:left="6174" w:hanging="360"/>
      </w:pPr>
    </w:lvl>
    <w:lvl w:ilvl="7" w:tplc="100C0019" w:tentative="1">
      <w:start w:val="1"/>
      <w:numFmt w:val="lowerLetter"/>
      <w:lvlText w:val="%8."/>
      <w:lvlJc w:val="left"/>
      <w:pPr>
        <w:ind w:left="6894" w:hanging="360"/>
      </w:pPr>
    </w:lvl>
    <w:lvl w:ilvl="8" w:tplc="10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E2E2D"/>
    <w:multiLevelType w:val="hybridMultilevel"/>
    <w:tmpl w:val="2E7A7832"/>
    <w:lvl w:ilvl="0" w:tplc="B58A0C70">
      <w:start w:val="2"/>
      <w:numFmt w:val="bullet"/>
      <w:lvlText w:val="•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7BC6D20E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18600E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66E4D2DC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6229E3C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CCAEC820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05483B2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C6D2FFC2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7C3C9064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19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3"/>
  </w:num>
  <w:num w:numId="18">
    <w:abstractNumId w:val="16"/>
  </w:num>
  <w:num w:numId="19">
    <w:abstractNumId w:val="14"/>
  </w:num>
  <w:num w:numId="20">
    <w:abstractNumId w:val="12"/>
    <w:lvlOverride w:ilvl="0">
      <w:lvl w:ilvl="0" w:tplc="04090017">
        <w:start w:val="1"/>
        <w:numFmt w:val="lowerLetter"/>
        <w:lvlText w:val="%1)"/>
        <w:lvlJc w:val="left"/>
        <w:pPr>
          <w:ind w:left="2062" w:hanging="360"/>
        </w:p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16"/>
    <w:rsid w:val="00033EE1"/>
    <w:rsid w:val="00042B72"/>
    <w:rsid w:val="000558BD"/>
    <w:rsid w:val="00090078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36E20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5FA2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55D3D"/>
    <w:rsid w:val="005639C1"/>
    <w:rsid w:val="005709E0"/>
    <w:rsid w:val="00572E19"/>
    <w:rsid w:val="00584776"/>
    <w:rsid w:val="005961C8"/>
    <w:rsid w:val="005966F1"/>
    <w:rsid w:val="005D7914"/>
    <w:rsid w:val="005E2B41"/>
    <w:rsid w:val="005F0B42"/>
    <w:rsid w:val="006345DB"/>
    <w:rsid w:val="00640F49"/>
    <w:rsid w:val="00680D03"/>
    <w:rsid w:val="00681A10"/>
    <w:rsid w:val="006910F5"/>
    <w:rsid w:val="006A1ED8"/>
    <w:rsid w:val="006C2031"/>
    <w:rsid w:val="006D461A"/>
    <w:rsid w:val="006E5C8C"/>
    <w:rsid w:val="006F35EE"/>
    <w:rsid w:val="007021FF"/>
    <w:rsid w:val="00712895"/>
    <w:rsid w:val="00734ACB"/>
    <w:rsid w:val="00757357"/>
    <w:rsid w:val="00792497"/>
    <w:rsid w:val="007D7958"/>
    <w:rsid w:val="007F5C54"/>
    <w:rsid w:val="00806737"/>
    <w:rsid w:val="00825F8D"/>
    <w:rsid w:val="00834B71"/>
    <w:rsid w:val="0086445C"/>
    <w:rsid w:val="00894693"/>
    <w:rsid w:val="008A08D7"/>
    <w:rsid w:val="008A230A"/>
    <w:rsid w:val="008A37C8"/>
    <w:rsid w:val="008B6909"/>
    <w:rsid w:val="008D53B6"/>
    <w:rsid w:val="008F7609"/>
    <w:rsid w:val="00906890"/>
    <w:rsid w:val="00911BE4"/>
    <w:rsid w:val="00951972"/>
    <w:rsid w:val="009608F3"/>
    <w:rsid w:val="009A24AC"/>
    <w:rsid w:val="009C6FE6"/>
    <w:rsid w:val="009D7E7D"/>
    <w:rsid w:val="00A14DA8"/>
    <w:rsid w:val="00A312BC"/>
    <w:rsid w:val="00A84021"/>
    <w:rsid w:val="00A84D35"/>
    <w:rsid w:val="00A917B3"/>
    <w:rsid w:val="00AB4B51"/>
    <w:rsid w:val="00AD6616"/>
    <w:rsid w:val="00B07134"/>
    <w:rsid w:val="00B10CC7"/>
    <w:rsid w:val="00B34ACD"/>
    <w:rsid w:val="00B36DF7"/>
    <w:rsid w:val="00B377A5"/>
    <w:rsid w:val="00B539E7"/>
    <w:rsid w:val="00B62458"/>
    <w:rsid w:val="00B63085"/>
    <w:rsid w:val="00BC18B2"/>
    <w:rsid w:val="00BD33EE"/>
    <w:rsid w:val="00BE1CC7"/>
    <w:rsid w:val="00C106D6"/>
    <w:rsid w:val="00C119AE"/>
    <w:rsid w:val="00C60F0C"/>
    <w:rsid w:val="00C805C9"/>
    <w:rsid w:val="00C864BE"/>
    <w:rsid w:val="00C92939"/>
    <w:rsid w:val="00CA1679"/>
    <w:rsid w:val="00CA3649"/>
    <w:rsid w:val="00CB151C"/>
    <w:rsid w:val="00CE5A1A"/>
    <w:rsid w:val="00CF55F6"/>
    <w:rsid w:val="00CF7B1E"/>
    <w:rsid w:val="00D33D63"/>
    <w:rsid w:val="00D5253A"/>
    <w:rsid w:val="00D90028"/>
    <w:rsid w:val="00D90138"/>
    <w:rsid w:val="00DD07D1"/>
    <w:rsid w:val="00DD78D1"/>
    <w:rsid w:val="00DE32CD"/>
    <w:rsid w:val="00DF5767"/>
    <w:rsid w:val="00DF71B9"/>
    <w:rsid w:val="00E11ED6"/>
    <w:rsid w:val="00E12C5F"/>
    <w:rsid w:val="00E73F76"/>
    <w:rsid w:val="00E9568D"/>
    <w:rsid w:val="00EA2C9F"/>
    <w:rsid w:val="00EA420E"/>
    <w:rsid w:val="00EA73E8"/>
    <w:rsid w:val="00ED0BDA"/>
    <w:rsid w:val="00EE142A"/>
    <w:rsid w:val="00EF1360"/>
    <w:rsid w:val="00EF3220"/>
    <w:rsid w:val="00F2523A"/>
    <w:rsid w:val="00F43903"/>
    <w:rsid w:val="00F94155"/>
    <w:rsid w:val="00F9783F"/>
    <w:rsid w:val="00FC5381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F3AD5CA-F3A6-46CA-A641-9152A3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1106</Words>
  <Characters>6309</Characters>
  <Application>Microsoft Office Word</Application>
  <DocSecurity>0</DocSecurity>
  <Lines>52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ECE/TRANS/WP.15/AC.1/2018/4</vt:lpstr>
      <vt:lpstr>ECE/TRANS/WP.15/AC.1/2018/4</vt:lpstr>
      <vt:lpstr>A/</vt:lpstr>
    </vt:vector>
  </TitlesOfParts>
  <Company>DCM</Company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ECE/TRANS/WP.15/AC.1/2018/4</dc:title>
  <dc:subject/>
  <dc:creator>Izotova Elena</dc:creator>
  <cp:keywords/>
  <cp:lastModifiedBy>Christine Barrio-Champeau</cp:lastModifiedBy>
  <cp:revision>2</cp:revision>
  <cp:lastPrinted>2018-01-05T13:34:00Z</cp:lastPrinted>
  <dcterms:created xsi:type="dcterms:W3CDTF">2018-01-12T11:55:00Z</dcterms:created>
  <dcterms:modified xsi:type="dcterms:W3CDTF">2018-01-12T11:55:00Z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