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7D446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7D4463" w:rsidP="007D4463">
            <w:pPr>
              <w:jc w:val="right"/>
            </w:pPr>
            <w:r w:rsidRPr="007D4463">
              <w:rPr>
                <w:sz w:val="40"/>
              </w:rPr>
              <w:t>ECE</w:t>
            </w:r>
            <w:r>
              <w:t>/TRANS/WP.15/AC.1/2018/30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7D4463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7D4463" w:rsidRDefault="007D4463" w:rsidP="007D4463">
            <w:pPr>
              <w:spacing w:line="240" w:lineRule="exact"/>
            </w:pPr>
            <w:r>
              <w:t>27 juin 2018</w:t>
            </w:r>
          </w:p>
          <w:p w:rsidR="007D4463" w:rsidRDefault="007D4463" w:rsidP="007D4463">
            <w:pPr>
              <w:spacing w:line="240" w:lineRule="exact"/>
            </w:pPr>
            <w:r>
              <w:t>Français</w:t>
            </w:r>
          </w:p>
          <w:p w:rsidR="007D4463" w:rsidRPr="00DB58B5" w:rsidRDefault="007D4463" w:rsidP="007D4463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45AE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7D4463" w:rsidRPr="009E01B8" w:rsidRDefault="007D4463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7D4463" w:rsidRPr="00926E87" w:rsidRDefault="007D4463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 w:rsidR="00045AE6"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:rsidR="007D4463" w:rsidRDefault="007D4463" w:rsidP="009867CF">
      <w:r>
        <w:t xml:space="preserve">Genève, </w:t>
      </w:r>
      <w:r w:rsidRPr="00D842EB">
        <w:t>17</w:t>
      </w:r>
      <w:r>
        <w:t>-</w:t>
      </w:r>
      <w:r w:rsidRPr="00D842EB">
        <w:t xml:space="preserve">21 </w:t>
      </w:r>
      <w:r>
        <w:t>s</w:t>
      </w:r>
      <w:r w:rsidRPr="00D842EB">
        <w:t>eptembr</w:t>
      </w:r>
      <w:r>
        <w:t>e</w:t>
      </w:r>
      <w:r w:rsidRPr="00D842EB">
        <w:t xml:space="preserve"> 2018</w:t>
      </w:r>
    </w:p>
    <w:p w:rsidR="007D4463" w:rsidRDefault="007D4463" w:rsidP="00AF0CB5">
      <w:r>
        <w:t>Point 5 b)</w:t>
      </w:r>
      <w:r w:rsidRPr="00B93E72">
        <w:t xml:space="preserve"> de l</w:t>
      </w:r>
      <w:r w:rsidR="00045AE6">
        <w:t>’</w:t>
      </w:r>
      <w:r w:rsidRPr="00B93E72">
        <w:t>ordre du jour provisoire</w:t>
      </w:r>
    </w:p>
    <w:p w:rsidR="006F20DF" w:rsidRPr="00D842EB" w:rsidRDefault="006F20DF" w:rsidP="006F20DF">
      <w:pPr>
        <w:rPr>
          <w:b/>
        </w:rPr>
      </w:pPr>
      <w:r w:rsidRPr="00D842EB">
        <w:rPr>
          <w:b/>
        </w:rPr>
        <w:t>Propositions d</w:t>
      </w:r>
      <w:r w:rsidR="00045AE6">
        <w:rPr>
          <w:b/>
        </w:rPr>
        <w:t>’</w:t>
      </w:r>
      <w:r w:rsidRPr="00D842EB">
        <w:rPr>
          <w:b/>
        </w:rPr>
        <w:t>amendements au RID/ADR/ADN</w:t>
      </w:r>
      <w:r w:rsidR="006A61CC">
        <w:rPr>
          <w:b/>
        </w:rPr>
        <w:t> </w:t>
      </w:r>
      <w:r w:rsidRPr="00D842EB">
        <w:rPr>
          <w:b/>
        </w:rPr>
        <w:t>:</w:t>
      </w:r>
    </w:p>
    <w:p w:rsidR="006F20DF" w:rsidRPr="00D842EB" w:rsidRDefault="006F20DF" w:rsidP="006F20DF">
      <w:pPr>
        <w:rPr>
          <w:b/>
          <w:bCs/>
        </w:rPr>
      </w:pPr>
      <w:proofErr w:type="gramStart"/>
      <w:r w:rsidRPr="00D842EB">
        <w:rPr>
          <w:b/>
        </w:rPr>
        <w:t>nouvelles</w:t>
      </w:r>
      <w:proofErr w:type="gramEnd"/>
      <w:r w:rsidRPr="00D842EB">
        <w:rPr>
          <w:b/>
        </w:rPr>
        <w:t xml:space="preserve"> propositions</w:t>
      </w:r>
    </w:p>
    <w:p w:rsidR="006F20DF" w:rsidRPr="00D842EB" w:rsidRDefault="006F20DF" w:rsidP="006A61CC">
      <w:pPr>
        <w:pStyle w:val="HChG"/>
      </w:pPr>
      <w:r w:rsidRPr="00D842EB">
        <w:tab/>
      </w:r>
      <w:r w:rsidRPr="00D842EB">
        <w:tab/>
        <w:t xml:space="preserve">Alignement du </w:t>
      </w:r>
      <w:r>
        <w:t>paragraphe</w:t>
      </w:r>
      <w:r w:rsidR="004D4D06">
        <w:t> 1.8.5.1</w:t>
      </w:r>
      <w:r>
        <w:t xml:space="preserve"> sur les sections</w:t>
      </w:r>
      <w:r w:rsidR="004D4D06">
        <w:t> </w:t>
      </w:r>
      <w:r w:rsidRPr="00D842EB">
        <w:t xml:space="preserve">1.4.2 </w:t>
      </w:r>
      <w:r w:rsidR="006A61CC">
        <w:br/>
      </w:r>
      <w:r>
        <w:t>et</w:t>
      </w:r>
      <w:r w:rsidRPr="00D842EB">
        <w:t xml:space="preserve"> 1.4.3</w:t>
      </w:r>
      <w:r>
        <w:t xml:space="preserve"> du </w:t>
      </w:r>
      <w:r w:rsidRPr="00D842EB">
        <w:t>RID/ADR/ADN</w:t>
      </w:r>
    </w:p>
    <w:p w:rsidR="00F9573C" w:rsidRDefault="006F20DF" w:rsidP="006A61CC">
      <w:pPr>
        <w:pStyle w:val="H1G"/>
      </w:pPr>
      <w:r w:rsidRPr="00D842EB">
        <w:tab/>
      </w:r>
      <w:r w:rsidRPr="00D842EB">
        <w:tab/>
      </w:r>
      <w:r>
        <w:t>Communication du Gouvernement autrichien</w:t>
      </w:r>
      <w:r w:rsidR="006A61CC" w:rsidRPr="006A61C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A51DC5">
        <w:rPr>
          <w:b w:val="0"/>
          <w:vertAlign w:val="superscript"/>
          <w:lang w:val="en-US"/>
        </w:rPr>
        <w:t>,</w:t>
      </w:r>
      <w:r w:rsidRPr="00D842EB">
        <w:rPr>
          <w:vertAlign w:val="superscript"/>
          <w:lang w:val="en-US"/>
        </w:rPr>
        <w:t xml:space="preserve"> </w:t>
      </w:r>
      <w:r w:rsidR="006A61CC" w:rsidRPr="006A61CC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6F20D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6F20DF" w:rsidRPr="000001E7" w:rsidRDefault="006F20DF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6F20D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6F20DF" w:rsidRDefault="006F20DF" w:rsidP="004D4D06">
            <w:pPr>
              <w:pStyle w:val="SingleTxtG"/>
              <w:ind w:left="3119" w:hanging="1985"/>
            </w:pPr>
            <w:r w:rsidRPr="006B7082">
              <w:rPr>
                <w:b/>
              </w:rPr>
              <w:t>Résumé analytique</w:t>
            </w:r>
            <w:r w:rsidR="004D4D06">
              <w:rPr>
                <w:b/>
              </w:rPr>
              <w:t> </w:t>
            </w:r>
            <w:r w:rsidRPr="006B7082">
              <w:rPr>
                <w:b/>
              </w:rPr>
              <w:t xml:space="preserve">: </w:t>
            </w:r>
            <w:r w:rsidRPr="006B7082">
              <w:tab/>
              <w:t xml:space="preserve">Les incidents devraient toujours être </w:t>
            </w:r>
            <w:r>
              <w:t>notifiés</w:t>
            </w:r>
            <w:r w:rsidRPr="006B7082">
              <w:t xml:space="preserve"> par </w:t>
            </w:r>
            <w:r>
              <w:t>l</w:t>
            </w:r>
            <w:r w:rsidRPr="006B7082">
              <w:t xml:space="preserve">es </w:t>
            </w:r>
            <w:r>
              <w:t>intervenants</w:t>
            </w:r>
            <w:r w:rsidRPr="006B7082">
              <w:t xml:space="preserve"> </w:t>
            </w:r>
            <w:r>
              <w:t>ayant entrepris les activités au cours desquelles l</w:t>
            </w:r>
            <w:r w:rsidR="00045AE6">
              <w:t>’</w:t>
            </w:r>
            <w:r>
              <w:t>incident s</w:t>
            </w:r>
            <w:r w:rsidR="00045AE6">
              <w:t>’</w:t>
            </w:r>
            <w:r>
              <w:t>est produit.</w:t>
            </w:r>
          </w:p>
        </w:tc>
      </w:tr>
      <w:tr w:rsidR="006F20D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6F20DF" w:rsidRPr="006B7082" w:rsidRDefault="006F20DF" w:rsidP="004D4D06">
            <w:pPr>
              <w:pStyle w:val="SingleTxtG"/>
              <w:ind w:left="3119" w:hanging="1985"/>
              <w:rPr>
                <w:b/>
              </w:rPr>
            </w:pPr>
            <w:r w:rsidRPr="0048564A">
              <w:rPr>
                <w:b/>
              </w:rPr>
              <w:t>Mesures à prendre</w:t>
            </w:r>
            <w:r w:rsidR="004D4D06">
              <w:rPr>
                <w:b/>
              </w:rPr>
              <w:t> </w:t>
            </w:r>
            <w:r>
              <w:rPr>
                <w:b/>
              </w:rPr>
              <w:t xml:space="preserve">: </w:t>
            </w:r>
            <w:r w:rsidRPr="0048564A">
              <w:rPr>
                <w:b/>
              </w:rPr>
              <w:tab/>
            </w:r>
            <w:r w:rsidRPr="0048564A">
              <w:t>L</w:t>
            </w:r>
            <w:r w:rsidR="00045AE6">
              <w:t>’</w:t>
            </w:r>
            <w:r w:rsidRPr="0048564A">
              <w:t xml:space="preserve">obligation incombe au déchargeur </w:t>
            </w:r>
            <w:r>
              <w:t>et non au</w:t>
            </w:r>
            <w:r w:rsidRPr="0048564A">
              <w:t xml:space="preserve"> destinataire dans le 1.8.5.1.</w:t>
            </w:r>
          </w:p>
        </w:tc>
      </w:tr>
      <w:tr w:rsidR="006F20D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6F20DF" w:rsidRPr="006B7082" w:rsidRDefault="006F20DF" w:rsidP="004D4D06">
            <w:pPr>
              <w:pStyle w:val="SingleTxtG"/>
              <w:ind w:left="3119" w:hanging="1985"/>
              <w:rPr>
                <w:b/>
              </w:rPr>
            </w:pPr>
            <w:r>
              <w:rPr>
                <w:b/>
              </w:rPr>
              <w:t>D</w:t>
            </w:r>
            <w:r w:rsidRPr="00C24B7C">
              <w:rPr>
                <w:b/>
              </w:rPr>
              <w:t>ocuments</w:t>
            </w:r>
            <w:r>
              <w:rPr>
                <w:b/>
              </w:rPr>
              <w:t xml:space="preserve"> connexes</w:t>
            </w:r>
            <w:r w:rsidR="004D4D06">
              <w:rPr>
                <w:b/>
              </w:rPr>
              <w:t> :</w:t>
            </w:r>
            <w:r w:rsidRPr="0048564A">
              <w:rPr>
                <w:b/>
              </w:rPr>
              <w:tab/>
            </w:r>
            <w:r>
              <w:rPr>
                <w:snapToGrid w:val="0"/>
              </w:rPr>
              <w:t>Aucun</w:t>
            </w:r>
            <w:r w:rsidRPr="00C24B7C">
              <w:rPr>
                <w:snapToGrid w:val="0"/>
              </w:rPr>
              <w:t>.</w:t>
            </w:r>
          </w:p>
        </w:tc>
      </w:tr>
      <w:tr w:rsidR="006F20D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6F20DF" w:rsidRDefault="006F20DF" w:rsidP="00216E0F"/>
        </w:tc>
      </w:tr>
    </w:tbl>
    <w:p w:rsidR="00A51DC5" w:rsidRDefault="00A51DC5" w:rsidP="00A51DC5">
      <w:pPr>
        <w:pStyle w:val="SingleTxtG"/>
      </w:pPr>
    </w:p>
    <w:p w:rsidR="006F20DF" w:rsidRPr="006F20DF" w:rsidRDefault="00A51DC5" w:rsidP="00A51DC5">
      <w:pPr>
        <w:pStyle w:val="HChG"/>
      </w:pPr>
      <w:r>
        <w:br w:type="page"/>
      </w:r>
      <w:r w:rsidR="006F20DF" w:rsidRPr="00C24B7C">
        <w:lastRenderedPageBreak/>
        <w:tab/>
      </w:r>
      <w:r w:rsidR="006F20DF" w:rsidRPr="00C24B7C">
        <w:tab/>
      </w:r>
      <w:r w:rsidR="006F20DF" w:rsidRPr="006F20DF">
        <w:t>Introduction</w:t>
      </w:r>
    </w:p>
    <w:p w:rsidR="006F20DF" w:rsidRPr="004B3CB0" w:rsidRDefault="006F20DF" w:rsidP="004D4D06">
      <w:pPr>
        <w:pStyle w:val="SingleTxtG"/>
        <w:rPr>
          <w:bCs/>
        </w:rPr>
      </w:pPr>
      <w:r w:rsidRPr="004B3CB0">
        <w:t>1.</w:t>
      </w:r>
      <w:r w:rsidRPr="004B3CB0">
        <w:tab/>
        <w:t xml:space="preserve">Le paragraphe 1.8.5.1 dispose que le </w:t>
      </w:r>
      <w:r w:rsidRPr="004B3CB0">
        <w:rPr>
          <w:u w:val="single"/>
        </w:rPr>
        <w:t>chargeur</w:t>
      </w:r>
      <w:r w:rsidRPr="004B3CB0">
        <w:t xml:space="preserve">, </w:t>
      </w:r>
      <w:r w:rsidRPr="00A51DC5">
        <w:t xml:space="preserve">le </w:t>
      </w:r>
      <w:r w:rsidRPr="004B3CB0">
        <w:rPr>
          <w:u w:val="single"/>
        </w:rPr>
        <w:t>remplisseur</w:t>
      </w:r>
      <w:r w:rsidRPr="004B3CB0">
        <w:t xml:space="preserve">, </w:t>
      </w:r>
      <w:r w:rsidRPr="00A51DC5">
        <w:t xml:space="preserve">le </w:t>
      </w:r>
      <w:r w:rsidRPr="004B3CB0">
        <w:rPr>
          <w:u w:val="single"/>
        </w:rPr>
        <w:t>transporteur</w:t>
      </w:r>
      <w:r w:rsidRPr="004B3CB0">
        <w:t xml:space="preserve"> ou </w:t>
      </w:r>
      <w:r w:rsidRPr="00A51DC5">
        <w:t>le</w:t>
      </w:r>
      <w:r w:rsidRPr="004B3CB0">
        <w:rPr>
          <w:u w:val="single"/>
        </w:rPr>
        <w:t xml:space="preserve"> destinataire</w:t>
      </w:r>
      <w:r w:rsidRPr="004B3CB0">
        <w:t xml:space="preserve"> doivent s</w:t>
      </w:r>
      <w:r w:rsidR="00045AE6">
        <w:t>’</w:t>
      </w:r>
      <w:r w:rsidRPr="004B3CB0">
        <w:t>assurer qu</w:t>
      </w:r>
      <w:r w:rsidR="00045AE6">
        <w:t>’</w:t>
      </w:r>
      <w:r w:rsidRPr="004B3CB0">
        <w:t>un rapport est établi si un</w:t>
      </w:r>
      <w:r>
        <w:t xml:space="preserve"> accident ou un </w:t>
      </w:r>
      <w:r w:rsidRPr="004B3CB0">
        <w:t xml:space="preserve">incident </w:t>
      </w:r>
      <w:r>
        <w:t xml:space="preserve">grave se produit lors du </w:t>
      </w:r>
      <w:r>
        <w:rPr>
          <w:u w:val="single"/>
        </w:rPr>
        <w:t>chargement</w:t>
      </w:r>
      <w:r w:rsidRPr="004B3CB0">
        <w:t xml:space="preserve">, du </w:t>
      </w:r>
      <w:r w:rsidRPr="004B3CB0">
        <w:rPr>
          <w:u w:val="single"/>
        </w:rPr>
        <w:t>remplissage</w:t>
      </w:r>
      <w:r w:rsidRPr="00A51DC5">
        <w:t xml:space="preserve">, du </w:t>
      </w:r>
      <w:r w:rsidRPr="004B3CB0">
        <w:rPr>
          <w:u w:val="single"/>
        </w:rPr>
        <w:t>transport</w:t>
      </w:r>
      <w:r w:rsidRPr="00A51DC5">
        <w:t xml:space="preserve"> </w:t>
      </w:r>
      <w:r w:rsidRPr="004B3CB0">
        <w:t>ou du</w:t>
      </w:r>
      <w:r w:rsidRPr="00A51DC5">
        <w:t xml:space="preserve"> </w:t>
      </w:r>
      <w:r w:rsidRPr="004B3CB0">
        <w:rPr>
          <w:u w:val="single"/>
        </w:rPr>
        <w:t>déchargement</w:t>
      </w:r>
      <w:r w:rsidRPr="00A51DC5">
        <w:t xml:space="preserve"> </w:t>
      </w:r>
      <w:r w:rsidRPr="004B3CB0">
        <w:t>de marchandises dangereuses.</w:t>
      </w:r>
    </w:p>
    <w:p w:rsidR="006F20DF" w:rsidRPr="00CC55B4" w:rsidRDefault="006F20DF" w:rsidP="004D4D06">
      <w:pPr>
        <w:pStyle w:val="SingleTxtG"/>
        <w:rPr>
          <w:bCs/>
        </w:rPr>
      </w:pPr>
      <w:r w:rsidRPr="004B3CB0">
        <w:t>2.</w:t>
      </w:r>
      <w:r w:rsidRPr="004B3CB0">
        <w:tab/>
        <w:t>On constate une incohérence dans la mesure où, pour ce qui est du déchargement, ce n</w:t>
      </w:r>
      <w:r w:rsidR="00045AE6">
        <w:t>’</w:t>
      </w:r>
      <w:r w:rsidRPr="004B3CB0">
        <w:t xml:space="preserve">est pas </w:t>
      </w:r>
      <w:r>
        <w:t>l</w:t>
      </w:r>
      <w:r w:rsidR="00045AE6">
        <w:t>’</w:t>
      </w:r>
      <w:r>
        <w:t>intervenant</w:t>
      </w:r>
      <w:r w:rsidRPr="004B3CB0">
        <w:t xml:space="preserve"> dont les activités ont entra</w:t>
      </w:r>
      <w:r>
        <w:t>îné l</w:t>
      </w:r>
      <w:r w:rsidR="00045AE6">
        <w:t>’</w:t>
      </w:r>
      <w:r>
        <w:t xml:space="preserve">incident qui est chargé du rapport, mais un autre intervenant. </w:t>
      </w:r>
      <w:r w:rsidRPr="006D4238">
        <w:t>Cela s</w:t>
      </w:r>
      <w:r w:rsidR="00045AE6">
        <w:t>’</w:t>
      </w:r>
      <w:r w:rsidRPr="006D4238">
        <w:t>explique par le fait que cette disposition remonte à une époque où le déchargeur n</w:t>
      </w:r>
      <w:r w:rsidR="00045AE6">
        <w:t>’</w:t>
      </w:r>
      <w:r w:rsidRPr="006D4238">
        <w:t>était pas un participant distinct et o</w:t>
      </w:r>
      <w:r>
        <w:t xml:space="preserve">ù ses obligations actuelles incombaient essentiellement au </w:t>
      </w:r>
      <w:r w:rsidR="00B81452">
        <w:t>destinataire.</w:t>
      </w:r>
    </w:p>
    <w:p w:rsidR="006F20DF" w:rsidRPr="00D35E99" w:rsidRDefault="006F20DF" w:rsidP="004D4D06">
      <w:pPr>
        <w:pStyle w:val="SingleTxtG"/>
        <w:rPr>
          <w:bCs/>
        </w:rPr>
      </w:pPr>
      <w:r w:rsidRPr="00D35E99">
        <w:t>3.</w:t>
      </w:r>
      <w:r w:rsidRPr="00D35E99">
        <w:tab/>
      </w:r>
      <w:r w:rsidR="004D4D06">
        <w:t>Cependant,</w:t>
      </w:r>
      <w:r w:rsidRPr="00D35E99">
        <w:t xml:space="preserve"> </w:t>
      </w:r>
      <w:r>
        <w:t xml:space="preserve">compte tenu de </w:t>
      </w:r>
      <w:r w:rsidRPr="00D35E99">
        <w:t>l</w:t>
      </w:r>
      <w:r w:rsidR="00045AE6">
        <w:t>’</w:t>
      </w:r>
      <w:r w:rsidRPr="00D35E99">
        <w:t xml:space="preserve">attribution </w:t>
      </w:r>
      <w:r>
        <w:t xml:space="preserve">actuelle </w:t>
      </w:r>
      <w:r w:rsidRPr="00D35E99">
        <w:t>des obligations</w:t>
      </w:r>
      <w:r>
        <w:t>,</w:t>
      </w:r>
      <w:r w:rsidRPr="00D35E99">
        <w:t xml:space="preserve"> décrite </w:t>
      </w:r>
      <w:r>
        <w:t>dans les sections</w:t>
      </w:r>
      <w:r w:rsidR="004D4D06">
        <w:t> </w:t>
      </w:r>
      <w:r w:rsidRPr="00D35E99">
        <w:t>1.4.2 et 1.4.3, il s</w:t>
      </w:r>
      <w:r w:rsidR="004D4D06">
        <w:t>erait logique que le paragraphe </w:t>
      </w:r>
      <w:r w:rsidRPr="00D35E99">
        <w:t xml:space="preserve">1.8.5.1 </w:t>
      </w:r>
      <w:r>
        <w:t>se rapporte au déchargeur plutôt qu</w:t>
      </w:r>
      <w:r w:rsidR="00045AE6">
        <w:t>’</w:t>
      </w:r>
      <w:r>
        <w:t xml:space="preserve">au destinataire. </w:t>
      </w:r>
      <w:r w:rsidRPr="00D35E99">
        <w:t>Cela correspondrait également à la situation</w:t>
      </w:r>
      <w:r>
        <w:t>,</w:t>
      </w:r>
      <w:r w:rsidRPr="00D35E99">
        <w:t xml:space="preserve"> au début du transport</w:t>
      </w:r>
      <w:r>
        <w:t>,</w:t>
      </w:r>
      <w:r w:rsidRPr="00D35E99">
        <w:t xml:space="preserve"> où l</w:t>
      </w:r>
      <w:r w:rsidR="00045AE6">
        <w:t>’</w:t>
      </w:r>
      <w:r w:rsidRPr="00D35E99">
        <w:t>obligation de fournir un rapport n</w:t>
      </w:r>
      <w:r w:rsidR="00045AE6">
        <w:t>’</w:t>
      </w:r>
      <w:r w:rsidRPr="00D35E99">
        <w:t xml:space="preserve">incombe pas </w:t>
      </w:r>
      <w:r>
        <w:t>à l</w:t>
      </w:r>
      <w:r w:rsidR="00045AE6">
        <w:t>’</w:t>
      </w:r>
      <w:r>
        <w:t>expéditeur, mais au</w:t>
      </w:r>
      <w:r w:rsidRPr="00D35E99">
        <w:t xml:space="preserve"> </w:t>
      </w:r>
      <w:r>
        <w:t xml:space="preserve">chargeur et au remplisseur, </w:t>
      </w:r>
      <w:r w:rsidRPr="008435BC">
        <w:t>pour ce qui est du chargement et du remplissage</w:t>
      </w:r>
      <w:r w:rsidRPr="00D35E99">
        <w:t>.</w:t>
      </w:r>
    </w:p>
    <w:p w:rsidR="006F20DF" w:rsidRPr="00D35E99" w:rsidRDefault="006F20DF" w:rsidP="004D4D06">
      <w:pPr>
        <w:pStyle w:val="HChG"/>
      </w:pPr>
      <w:r w:rsidRPr="00D35E99">
        <w:tab/>
      </w:r>
      <w:r w:rsidRPr="00D35E99">
        <w:tab/>
        <w:t>Proposition</w:t>
      </w:r>
    </w:p>
    <w:p w:rsidR="006F20DF" w:rsidRDefault="006F20DF" w:rsidP="004D4D06">
      <w:pPr>
        <w:pStyle w:val="SingleTxtG"/>
      </w:pPr>
      <w:r w:rsidRPr="00D35E99">
        <w:t>4.</w:t>
      </w:r>
      <w:r w:rsidRPr="00D35E99">
        <w:tab/>
        <w:t xml:space="preserve">Dans le 1.8.5.1, remplacer </w:t>
      </w:r>
      <w:r w:rsidR="004D4D06">
        <w:t>« </w:t>
      </w:r>
      <w:r w:rsidRPr="00D35E99">
        <w:t>destinataire</w:t>
      </w:r>
      <w:r w:rsidR="004D4D06">
        <w:t> »</w:t>
      </w:r>
      <w:r w:rsidRPr="00D35E99">
        <w:t xml:space="preserve"> par </w:t>
      </w:r>
      <w:r w:rsidR="004D4D06">
        <w:t>« </w:t>
      </w:r>
      <w:r>
        <w:t>déchargeur</w:t>
      </w:r>
      <w:r w:rsidR="004D4D06">
        <w:t> »</w:t>
      </w:r>
      <w:r w:rsidRPr="00D35E99">
        <w:t>.</w:t>
      </w:r>
    </w:p>
    <w:p w:rsidR="004D4D06" w:rsidRPr="004D4D06" w:rsidRDefault="004D4D06" w:rsidP="004D4D0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D4D06" w:rsidRPr="004D4D06" w:rsidSect="007D446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93F" w:rsidRDefault="00AF693F" w:rsidP="00F95C08">
      <w:pPr>
        <w:spacing w:line="240" w:lineRule="auto"/>
      </w:pPr>
    </w:p>
  </w:endnote>
  <w:endnote w:type="continuationSeparator" w:id="0">
    <w:p w:rsidR="00AF693F" w:rsidRPr="00AC3823" w:rsidRDefault="00AF693F" w:rsidP="00AC3823">
      <w:pPr>
        <w:pStyle w:val="Footer"/>
      </w:pPr>
    </w:p>
  </w:endnote>
  <w:endnote w:type="continuationNotice" w:id="1">
    <w:p w:rsidR="00AF693F" w:rsidRDefault="00AF693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463" w:rsidRPr="007D4463" w:rsidRDefault="007D4463" w:rsidP="007D4463">
    <w:pPr>
      <w:pStyle w:val="Footer"/>
      <w:tabs>
        <w:tab w:val="right" w:pos="9638"/>
      </w:tabs>
    </w:pPr>
    <w:r w:rsidRPr="007D4463">
      <w:rPr>
        <w:b/>
        <w:sz w:val="18"/>
      </w:rPr>
      <w:fldChar w:fldCharType="begin"/>
    </w:r>
    <w:r w:rsidRPr="007D4463">
      <w:rPr>
        <w:b/>
        <w:sz w:val="18"/>
      </w:rPr>
      <w:instrText xml:space="preserve"> PAGE  \* MERGEFORMAT </w:instrText>
    </w:r>
    <w:r w:rsidRPr="007D4463">
      <w:rPr>
        <w:b/>
        <w:sz w:val="18"/>
      </w:rPr>
      <w:fldChar w:fldCharType="separate"/>
    </w:r>
    <w:r w:rsidR="00E60153">
      <w:rPr>
        <w:b/>
        <w:noProof/>
        <w:sz w:val="18"/>
      </w:rPr>
      <w:t>2</w:t>
    </w:r>
    <w:r w:rsidRPr="007D4463">
      <w:rPr>
        <w:b/>
        <w:sz w:val="18"/>
      </w:rPr>
      <w:fldChar w:fldCharType="end"/>
    </w:r>
    <w:r>
      <w:rPr>
        <w:b/>
        <w:sz w:val="18"/>
      </w:rPr>
      <w:tab/>
    </w:r>
    <w:r>
      <w:t>GE.18-10570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463" w:rsidRPr="007D4463" w:rsidRDefault="007D4463" w:rsidP="007D4463">
    <w:pPr>
      <w:pStyle w:val="Footer"/>
      <w:tabs>
        <w:tab w:val="right" w:pos="9638"/>
      </w:tabs>
      <w:rPr>
        <w:b/>
        <w:sz w:val="18"/>
      </w:rPr>
    </w:pPr>
    <w:r>
      <w:t>GE.18-10570</w:t>
    </w:r>
    <w:r>
      <w:tab/>
    </w:r>
    <w:r w:rsidRPr="007D4463">
      <w:rPr>
        <w:b/>
        <w:sz w:val="18"/>
      </w:rPr>
      <w:fldChar w:fldCharType="begin"/>
    </w:r>
    <w:r w:rsidRPr="007D4463">
      <w:rPr>
        <w:b/>
        <w:sz w:val="18"/>
      </w:rPr>
      <w:instrText xml:space="preserve"> PAGE  \* MERGEFORMAT </w:instrText>
    </w:r>
    <w:r w:rsidRPr="007D4463">
      <w:rPr>
        <w:b/>
        <w:sz w:val="18"/>
      </w:rPr>
      <w:fldChar w:fldCharType="separate"/>
    </w:r>
    <w:r w:rsidR="00B81452">
      <w:rPr>
        <w:b/>
        <w:noProof/>
        <w:sz w:val="18"/>
      </w:rPr>
      <w:t>2</w:t>
    </w:r>
    <w:r w:rsidRPr="007D446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7D4463" w:rsidRDefault="007D4463" w:rsidP="007D446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10570  (</w:t>
    </w:r>
    <w:proofErr w:type="gramEnd"/>
    <w:r>
      <w:rPr>
        <w:sz w:val="20"/>
      </w:rPr>
      <w:t>F)</w:t>
    </w:r>
    <w:r w:rsidR="004D4D06">
      <w:rPr>
        <w:sz w:val="20"/>
      </w:rPr>
      <w:t xml:space="preserve">    300718    170818</w:t>
    </w:r>
    <w:r>
      <w:rPr>
        <w:sz w:val="20"/>
      </w:rPr>
      <w:br/>
    </w:r>
    <w:r w:rsidRPr="007D4463">
      <w:rPr>
        <w:rFonts w:ascii="C39T30Lfz" w:hAnsi="C39T30Lfz"/>
        <w:sz w:val="56"/>
      </w:rPr>
      <w:t></w:t>
    </w:r>
    <w:r w:rsidRPr="007D4463">
      <w:rPr>
        <w:rFonts w:ascii="C39T30Lfz" w:hAnsi="C39T30Lfz"/>
        <w:sz w:val="56"/>
      </w:rPr>
      <w:t></w:t>
    </w:r>
    <w:r w:rsidRPr="007D4463">
      <w:rPr>
        <w:rFonts w:ascii="C39T30Lfz" w:hAnsi="C39T30Lfz"/>
        <w:sz w:val="56"/>
      </w:rPr>
      <w:t></w:t>
    </w:r>
    <w:r w:rsidRPr="007D4463">
      <w:rPr>
        <w:rFonts w:ascii="C39T30Lfz" w:hAnsi="C39T30Lfz"/>
        <w:sz w:val="56"/>
      </w:rPr>
      <w:t></w:t>
    </w:r>
    <w:r w:rsidRPr="007D4463">
      <w:rPr>
        <w:rFonts w:ascii="C39T30Lfz" w:hAnsi="C39T30Lfz"/>
        <w:sz w:val="56"/>
      </w:rPr>
      <w:t></w:t>
    </w:r>
    <w:r w:rsidRPr="007D4463">
      <w:rPr>
        <w:rFonts w:ascii="C39T30Lfz" w:hAnsi="C39T30Lfz"/>
        <w:sz w:val="56"/>
      </w:rPr>
      <w:t></w:t>
    </w:r>
    <w:r w:rsidRPr="007D4463">
      <w:rPr>
        <w:rFonts w:ascii="C39T30Lfz" w:hAnsi="C39T30Lfz"/>
        <w:sz w:val="56"/>
      </w:rPr>
      <w:t></w:t>
    </w:r>
    <w:r w:rsidRPr="007D4463">
      <w:rPr>
        <w:rFonts w:ascii="C39T30Lfz" w:hAnsi="C39T30Lfz"/>
        <w:sz w:val="56"/>
      </w:rPr>
      <w:t></w:t>
    </w:r>
    <w:r w:rsidRPr="007D446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18/3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8/3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93F" w:rsidRPr="00AC3823" w:rsidRDefault="00AF693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F693F" w:rsidRPr="00AC3823" w:rsidRDefault="00AF693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F693F" w:rsidRPr="00AC3823" w:rsidRDefault="00AF693F">
      <w:pPr>
        <w:spacing w:line="240" w:lineRule="auto"/>
        <w:rPr>
          <w:sz w:val="2"/>
          <w:szCs w:val="2"/>
        </w:rPr>
      </w:pPr>
    </w:p>
  </w:footnote>
  <w:footnote w:id="2">
    <w:p w:rsidR="006A61CC" w:rsidRPr="006A61CC" w:rsidRDefault="006A61CC">
      <w:pPr>
        <w:pStyle w:val="FootnoteText"/>
      </w:pPr>
      <w:r>
        <w:rPr>
          <w:rStyle w:val="FootnoteReference"/>
        </w:rPr>
        <w:tab/>
      </w:r>
      <w:r w:rsidRPr="006A61C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48564A">
        <w:rPr>
          <w:lang w:eastAsia="en-GB"/>
        </w:rPr>
        <w:t>Conformément au programme de travail du Comité des transports intérieurs pour la période</w:t>
      </w:r>
      <w:r w:rsidR="004D4D06">
        <w:rPr>
          <w:lang w:eastAsia="en-GB"/>
        </w:rPr>
        <w:t xml:space="preserve"> 2018</w:t>
      </w:r>
      <w:r w:rsidR="004D4D06">
        <w:rPr>
          <w:lang w:eastAsia="en-GB"/>
        </w:rPr>
        <w:noBreakHyphen/>
      </w:r>
      <w:r w:rsidRPr="0048564A">
        <w:rPr>
          <w:lang w:eastAsia="en-GB"/>
        </w:rPr>
        <w:t xml:space="preserve">2019 (ECE/TRANS/2018/21/Add.1, </w:t>
      </w:r>
      <w:r>
        <w:rPr>
          <w:lang w:eastAsia="en-GB"/>
        </w:rPr>
        <w:t xml:space="preserve">module </w:t>
      </w:r>
      <w:r w:rsidRPr="0048564A">
        <w:rPr>
          <w:lang w:eastAsia="en-GB"/>
        </w:rPr>
        <w:t xml:space="preserve">9 </w:t>
      </w:r>
      <w:r>
        <w:rPr>
          <w:lang w:eastAsia="en-GB"/>
        </w:rPr>
        <w:t>(</w:t>
      </w:r>
      <w:r w:rsidRPr="0048564A">
        <w:rPr>
          <w:lang w:eastAsia="en-GB"/>
        </w:rPr>
        <w:t>9.2)).</w:t>
      </w:r>
    </w:p>
  </w:footnote>
  <w:footnote w:id="3">
    <w:p w:rsidR="006A61CC" w:rsidRPr="006A61CC" w:rsidRDefault="006A61CC">
      <w:pPr>
        <w:pStyle w:val="FootnoteText"/>
      </w:pPr>
      <w:r>
        <w:rPr>
          <w:rStyle w:val="FootnoteReference"/>
        </w:rPr>
        <w:tab/>
      </w:r>
      <w:r w:rsidRPr="006A61CC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48564A">
        <w:t>Diffusé</w:t>
      </w:r>
      <w:r>
        <w:t>e</w:t>
      </w:r>
      <w:r w:rsidRPr="0048564A">
        <w:t xml:space="preserve"> par l</w:t>
      </w:r>
      <w:r w:rsidR="00045AE6">
        <w:t>’</w:t>
      </w:r>
      <w:r w:rsidRPr="0048564A">
        <w:t>Organisation intergouvernementale pour les transports internationaux ferroviaires (OTIF) sous la cote OTIF/RID/RC/2018/30.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463" w:rsidRPr="007D4463" w:rsidRDefault="00E60153">
    <w:pPr>
      <w:pStyle w:val="Header"/>
    </w:pPr>
    <w:fldSimple w:instr=" TITLE  \* MERGEFORMAT ">
      <w:r>
        <w:t>ECE/TRANS/WP.15/AC.1/2018/30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463" w:rsidRPr="007D4463" w:rsidRDefault="00E60153" w:rsidP="007D4463">
    <w:pPr>
      <w:pStyle w:val="Header"/>
      <w:jc w:val="right"/>
    </w:pPr>
    <w:fldSimple w:instr=" TITLE  \* MERGEFORMAT ">
      <w:r>
        <w:t>ECE/TRANS/WP.15/AC.1/2018/30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3F"/>
    <w:rsid w:val="00017F94"/>
    <w:rsid w:val="00023842"/>
    <w:rsid w:val="00032511"/>
    <w:rsid w:val="000334F9"/>
    <w:rsid w:val="00033C8F"/>
    <w:rsid w:val="00045AE6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D4D06"/>
    <w:rsid w:val="004E2EED"/>
    <w:rsid w:val="004E468C"/>
    <w:rsid w:val="005505B7"/>
    <w:rsid w:val="00573BE5"/>
    <w:rsid w:val="00586ED3"/>
    <w:rsid w:val="00596AA9"/>
    <w:rsid w:val="006A61CC"/>
    <w:rsid w:val="006F20DF"/>
    <w:rsid w:val="0071601D"/>
    <w:rsid w:val="007A62E6"/>
    <w:rsid w:val="007D4463"/>
    <w:rsid w:val="007F20FA"/>
    <w:rsid w:val="0080684C"/>
    <w:rsid w:val="00871C75"/>
    <w:rsid w:val="008776DC"/>
    <w:rsid w:val="009446C0"/>
    <w:rsid w:val="009705C8"/>
    <w:rsid w:val="009867CF"/>
    <w:rsid w:val="009C1CF4"/>
    <w:rsid w:val="009F6B74"/>
    <w:rsid w:val="00A3029F"/>
    <w:rsid w:val="00A30353"/>
    <w:rsid w:val="00A51DC5"/>
    <w:rsid w:val="00AC3823"/>
    <w:rsid w:val="00AE323C"/>
    <w:rsid w:val="00AF0CB5"/>
    <w:rsid w:val="00AF693F"/>
    <w:rsid w:val="00B00181"/>
    <w:rsid w:val="00B00B0D"/>
    <w:rsid w:val="00B45F2E"/>
    <w:rsid w:val="00B765F7"/>
    <w:rsid w:val="00B77B1C"/>
    <w:rsid w:val="00B81452"/>
    <w:rsid w:val="00B827E5"/>
    <w:rsid w:val="00BA0CA9"/>
    <w:rsid w:val="00C02897"/>
    <w:rsid w:val="00C97039"/>
    <w:rsid w:val="00D3439C"/>
    <w:rsid w:val="00DB1831"/>
    <w:rsid w:val="00DD3BFD"/>
    <w:rsid w:val="00DF6678"/>
    <w:rsid w:val="00E0299A"/>
    <w:rsid w:val="00E60153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6B45BDE-86D7-430D-8828-28CF4965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F20DF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CCF97-A104-45D8-B498-B5C6B165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1854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ECE/TRANS/WP.15/AC.1/2018/30</vt:lpstr>
      <vt:lpstr>ECE/TRANS/WP.15/AC.1/2018/30</vt:lpstr>
    </vt:vector>
  </TitlesOfParts>
  <Company>DCM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ECE/TRANS/WP.15/AC.1/2018/30</dc:title>
  <dc:subject/>
  <dc:creator>Julien OKRZESIK</dc:creator>
  <cp:keywords/>
  <cp:lastModifiedBy>Christine Barrio-Champeau</cp:lastModifiedBy>
  <cp:revision>2</cp:revision>
  <cp:lastPrinted>2018-08-17T16:48:00Z</cp:lastPrinted>
  <dcterms:created xsi:type="dcterms:W3CDTF">2018-08-20T09:34:00Z</dcterms:created>
  <dcterms:modified xsi:type="dcterms:W3CDTF">2018-08-20T09:34:00Z</dcterms:modified>
</cp:coreProperties>
</file>