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Default="002D5AAC" w:rsidP="009C38F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  <w:bookmarkStart w:id="0" w:name="_GoBack"/>
            <w:bookmarkEnd w:id="0"/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Default="009C38F0" w:rsidP="009C38F0">
            <w:pPr>
              <w:jc w:val="right"/>
            </w:pPr>
            <w:r w:rsidRPr="009C38F0">
              <w:rPr>
                <w:sz w:val="40"/>
              </w:rPr>
              <w:t>ECE</w:t>
            </w:r>
            <w:r>
              <w:t>/TRANS/WP.15/AC.1/2018/2</w:t>
            </w:r>
          </w:p>
        </w:tc>
      </w:tr>
      <w:tr w:rsidR="002D5AAC" w:rsidRPr="009C38F0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16639B" wp14:editId="3BF82573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Pr="00033EE1" w:rsidRDefault="008A37C8" w:rsidP="00387CD4">
            <w:pPr>
              <w:suppressAutoHyphens/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w w:val="100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w w:val="100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:rsidR="005716A3" w:rsidRDefault="009C38F0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:rsidR="00B711EE" w:rsidRDefault="00B711EE" w:rsidP="00B711EE">
            <w:pPr>
              <w:rPr>
                <w:lang w:val="en-US"/>
              </w:rPr>
            </w:pPr>
            <w:r>
              <w:rPr>
                <w:lang w:val="en-US"/>
              </w:rPr>
              <w:t>21 December 2017</w:t>
            </w:r>
          </w:p>
          <w:p w:rsidR="009C38F0" w:rsidRDefault="009C38F0" w:rsidP="009C38F0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:rsidR="009C38F0" w:rsidRPr="008D53B6" w:rsidRDefault="009C38F0" w:rsidP="009C38F0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:rsidR="008A37C8" w:rsidRDefault="008A37C8" w:rsidP="009C38F0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9C38F0" w:rsidRPr="009C38F0" w:rsidRDefault="009C38F0" w:rsidP="009C38F0">
      <w:pPr>
        <w:pStyle w:val="SingleTxtGR"/>
        <w:spacing w:before="120"/>
        <w:ind w:left="0"/>
        <w:jc w:val="left"/>
        <w:rPr>
          <w:sz w:val="28"/>
          <w:szCs w:val="28"/>
        </w:rPr>
      </w:pPr>
      <w:bookmarkStart w:id="1" w:name="bookmark_10"/>
      <w:r w:rsidRPr="009C38F0">
        <w:rPr>
          <w:sz w:val="28"/>
          <w:szCs w:val="28"/>
        </w:rPr>
        <w:t>Комитет по внутреннему транспорту</w:t>
      </w:r>
      <w:bookmarkEnd w:id="1"/>
    </w:p>
    <w:p w:rsidR="009C38F0" w:rsidRPr="009C38F0" w:rsidRDefault="009C38F0" w:rsidP="009C38F0">
      <w:pPr>
        <w:pStyle w:val="SingleTxtGR"/>
        <w:ind w:left="0"/>
        <w:jc w:val="left"/>
        <w:rPr>
          <w:b/>
          <w:bCs/>
          <w:sz w:val="24"/>
          <w:szCs w:val="24"/>
        </w:rPr>
      </w:pPr>
      <w:bookmarkStart w:id="2" w:name="bookmark_11"/>
      <w:r w:rsidRPr="009C38F0">
        <w:rPr>
          <w:b/>
          <w:bCs/>
          <w:sz w:val="24"/>
          <w:szCs w:val="24"/>
        </w:rPr>
        <w:t>Рабочая группа по перевозкам опасных грузов</w:t>
      </w:r>
      <w:bookmarkEnd w:id="2"/>
    </w:p>
    <w:p w:rsidR="009C38F0" w:rsidRPr="009C38F0" w:rsidRDefault="009C38F0" w:rsidP="009C38F0">
      <w:pPr>
        <w:pStyle w:val="SingleTxtGR"/>
        <w:spacing w:after="0"/>
        <w:ind w:left="0"/>
        <w:jc w:val="left"/>
        <w:rPr>
          <w:b/>
          <w:bCs/>
        </w:rPr>
      </w:pPr>
      <w:bookmarkStart w:id="3" w:name="bookmark_12"/>
      <w:r w:rsidRPr="009C38F0">
        <w:rPr>
          <w:b/>
          <w:bCs/>
        </w:rPr>
        <w:t xml:space="preserve">Совместное совещание Комиссии экспертов МПОГ </w:t>
      </w:r>
      <w:r w:rsidRPr="009C38F0">
        <w:rPr>
          <w:b/>
          <w:bCs/>
        </w:rPr>
        <w:br/>
        <w:t>и</w:t>
      </w:r>
      <w:bookmarkEnd w:id="3"/>
      <w:r>
        <w:rPr>
          <w:b/>
          <w:bCs/>
          <w:lang w:val="en-US"/>
        </w:rPr>
        <w:t> </w:t>
      </w:r>
      <w:bookmarkStart w:id="4" w:name="bookmark_13"/>
      <w:r w:rsidRPr="009C38F0">
        <w:rPr>
          <w:b/>
          <w:bCs/>
        </w:rPr>
        <w:t>Рабочей группы по перевозкам опасных грузов</w:t>
      </w:r>
      <w:bookmarkEnd w:id="4"/>
    </w:p>
    <w:p w:rsidR="009C38F0" w:rsidRPr="009C38F0" w:rsidRDefault="009C38F0" w:rsidP="009C38F0">
      <w:pPr>
        <w:pStyle w:val="SingleTxtGR"/>
        <w:spacing w:after="0"/>
        <w:ind w:left="0"/>
        <w:jc w:val="left"/>
      </w:pPr>
      <w:bookmarkStart w:id="5" w:name="bookmark_14"/>
      <w:r w:rsidRPr="009C38F0">
        <w:t>Берн, 12–16 марта 2018 года</w:t>
      </w:r>
      <w:bookmarkEnd w:id="5"/>
    </w:p>
    <w:p w:rsidR="009C38F0" w:rsidRPr="009C38F0" w:rsidRDefault="009C38F0" w:rsidP="009C38F0">
      <w:pPr>
        <w:pStyle w:val="SingleTxtGR"/>
        <w:spacing w:after="0"/>
        <w:ind w:left="0"/>
        <w:jc w:val="left"/>
      </w:pPr>
      <w:bookmarkStart w:id="6" w:name="bookmark_15"/>
      <w:r w:rsidRPr="009C38F0">
        <w:t>Пункт 5 a) предварительной повестки дня</w:t>
      </w:r>
      <w:bookmarkEnd w:id="6"/>
    </w:p>
    <w:p w:rsidR="009C38F0" w:rsidRPr="009C38F0" w:rsidRDefault="009C38F0" w:rsidP="009C38F0">
      <w:pPr>
        <w:pStyle w:val="SingleTxtGR"/>
        <w:spacing w:after="0"/>
        <w:ind w:left="0"/>
        <w:jc w:val="left"/>
        <w:rPr>
          <w:b/>
          <w:bCs/>
        </w:rPr>
      </w:pPr>
      <w:bookmarkStart w:id="7" w:name="bookmark_16"/>
      <w:r w:rsidRPr="009C38F0">
        <w:rPr>
          <w:b/>
          <w:bCs/>
        </w:rPr>
        <w:t>Предложения о внесении поправок в МПОГ/ДОПОГ/ВОПОГ:</w:t>
      </w:r>
    </w:p>
    <w:p w:rsidR="009C38F0" w:rsidRPr="009C38F0" w:rsidRDefault="009C38F0" w:rsidP="009C38F0">
      <w:pPr>
        <w:pStyle w:val="SingleTxtGR"/>
        <w:spacing w:after="0"/>
        <w:ind w:left="0"/>
        <w:jc w:val="left"/>
        <w:rPr>
          <w:b/>
        </w:rPr>
      </w:pPr>
      <w:r w:rsidRPr="009C38F0">
        <w:rPr>
          <w:b/>
          <w:bCs/>
        </w:rPr>
        <w:t>нерассмотренные вопросы</w:t>
      </w:r>
      <w:bookmarkEnd w:id="7"/>
    </w:p>
    <w:p w:rsidR="009C38F0" w:rsidRPr="009C38F0" w:rsidRDefault="009C38F0" w:rsidP="009C38F0">
      <w:pPr>
        <w:pStyle w:val="HChGR"/>
      </w:pPr>
      <w:bookmarkStart w:id="8" w:name="bookmark_17"/>
      <w:r w:rsidRPr="009C38F0">
        <w:tab/>
      </w:r>
      <w:r w:rsidRPr="009C38F0">
        <w:tab/>
        <w:t>Уточнение требований в отношении защиты вентилей в пункте 4.1.6.8</w:t>
      </w:r>
      <w:bookmarkEnd w:id="8"/>
    </w:p>
    <w:p w:rsidR="009C38F0" w:rsidRDefault="009C38F0" w:rsidP="009C38F0">
      <w:pPr>
        <w:pStyle w:val="H1GR"/>
        <w:rPr>
          <w:vertAlign w:val="superscript"/>
          <w:lang w:val="en-US"/>
        </w:rPr>
      </w:pPr>
      <w:bookmarkStart w:id="9" w:name="bookmark_18"/>
      <w:r w:rsidRPr="009C38F0">
        <w:tab/>
      </w:r>
      <w:r w:rsidRPr="009C38F0">
        <w:tab/>
        <w:t>Передано правительством Германии</w:t>
      </w:r>
      <w:r w:rsidRPr="009C38F0">
        <w:rPr>
          <w:b w:val="0"/>
          <w:sz w:val="20"/>
        </w:rPr>
        <w:footnoteReference w:customMarkFollows="1" w:id="1"/>
        <w:t>*</w:t>
      </w:r>
      <w:bookmarkEnd w:id="9"/>
    </w:p>
    <w:tbl>
      <w:tblPr>
        <w:tblStyle w:val="TableGrid"/>
        <w:tblW w:w="0" w:type="auto"/>
        <w:jc w:val="center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637"/>
      </w:tblGrid>
      <w:tr w:rsidR="009C38F0" w:rsidRPr="009C38F0" w:rsidTr="00850215">
        <w:trPr>
          <w:jc w:val="center"/>
        </w:trPr>
        <w:tc>
          <w:tcPr>
            <w:tcW w:w="9637" w:type="dxa"/>
            <w:tcBorders>
              <w:bottom w:val="nil"/>
            </w:tcBorders>
          </w:tcPr>
          <w:p w:rsidR="009C38F0" w:rsidRPr="009C38F0" w:rsidRDefault="009C38F0" w:rsidP="00850215">
            <w:pPr>
              <w:tabs>
                <w:tab w:val="left" w:pos="255"/>
              </w:tabs>
              <w:spacing w:before="240" w:after="120"/>
              <w:rPr>
                <w:rFonts w:cs="Times New Roman"/>
                <w:sz w:val="24"/>
              </w:rPr>
            </w:pPr>
            <w:r w:rsidRPr="009C38F0">
              <w:rPr>
                <w:rFonts w:cs="Times New Roman"/>
              </w:rPr>
              <w:tab/>
            </w:r>
            <w:r w:rsidRPr="009C38F0">
              <w:rPr>
                <w:rFonts w:cs="Times New Roman"/>
                <w:i/>
                <w:sz w:val="24"/>
              </w:rPr>
              <w:t>Резюме</w:t>
            </w:r>
          </w:p>
        </w:tc>
      </w:tr>
      <w:tr w:rsidR="009C38F0" w:rsidRPr="009C38F0" w:rsidTr="0085021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:rsidR="009C38F0" w:rsidRPr="009C38F0" w:rsidRDefault="009C38F0" w:rsidP="009C38F0">
            <w:pPr>
              <w:pStyle w:val="SingleTxtGR"/>
              <w:ind w:left="3969" w:hanging="2835"/>
            </w:pPr>
            <w:bookmarkStart w:id="11" w:name="bookmark_21"/>
            <w:r w:rsidRPr="009C38F0">
              <w:rPr>
                <w:b/>
                <w:bCs/>
              </w:rPr>
              <w:t>Существо предложения:</w:t>
            </w:r>
            <w:r w:rsidRPr="009C38F0">
              <w:tab/>
              <w:t>Уточнить требования в отношении защиты вентилей.</w:t>
            </w:r>
            <w:bookmarkEnd w:id="11"/>
          </w:p>
        </w:tc>
      </w:tr>
      <w:tr w:rsidR="009C38F0" w:rsidRPr="009C38F0" w:rsidTr="0085021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:rsidR="009C38F0" w:rsidRPr="009C38F0" w:rsidRDefault="009C38F0" w:rsidP="009C38F0">
            <w:pPr>
              <w:pStyle w:val="SingleTxtGR"/>
            </w:pPr>
            <w:bookmarkStart w:id="12" w:name="bookmark_22"/>
            <w:r w:rsidRPr="009C38F0">
              <w:rPr>
                <w:b/>
                <w:bCs/>
              </w:rPr>
              <w:t>Предлагаемое решение:</w:t>
            </w:r>
            <w:r w:rsidRPr="009C38F0">
              <w:t xml:space="preserve"> </w:t>
            </w:r>
            <w:r w:rsidRPr="009C38F0">
              <w:tab/>
              <w:t>Включить дополнительный текст в пункт 4.1.6.8.</w:t>
            </w:r>
            <w:bookmarkEnd w:id="12"/>
          </w:p>
        </w:tc>
      </w:tr>
      <w:tr w:rsidR="009C38F0" w:rsidRPr="009C38F0" w:rsidTr="0085021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:rsidR="009C38F0" w:rsidRPr="009C38F0" w:rsidRDefault="009C38F0" w:rsidP="009C38F0">
            <w:pPr>
              <w:pStyle w:val="SingleTxtGR"/>
              <w:ind w:left="3969" w:hanging="2835"/>
              <w:rPr>
                <w:b/>
                <w:bCs/>
              </w:rPr>
            </w:pPr>
            <w:bookmarkStart w:id="13" w:name="bookmark_23"/>
            <w:r w:rsidRPr="009C38F0">
              <w:rPr>
                <w:b/>
                <w:bCs/>
              </w:rPr>
              <w:t>Справочные документы:</w:t>
            </w:r>
            <w:r w:rsidRPr="009C38F0">
              <w:rPr>
                <w:b/>
                <w:bCs/>
              </w:rPr>
              <w:tab/>
            </w:r>
            <w:r w:rsidRPr="009C38F0">
              <w:t>Неофициальный документ INF.33 сентябрьской сессии 2017 года и документ ECE/TRANS/</w:t>
            </w:r>
            <w:r w:rsidRPr="009C38F0">
              <w:br/>
              <w:t>WP.15/AC.1/148, пункт 71 (доклад Совместного совещания, Женева, 19–29 сентября 2017 года)</w:t>
            </w:r>
            <w:bookmarkEnd w:id="13"/>
            <w:r w:rsidRPr="009C38F0">
              <w:t>.</w:t>
            </w:r>
          </w:p>
        </w:tc>
      </w:tr>
      <w:tr w:rsidR="009C38F0" w:rsidRPr="009C38F0" w:rsidTr="00850215">
        <w:trPr>
          <w:jc w:val="center"/>
        </w:trPr>
        <w:tc>
          <w:tcPr>
            <w:tcW w:w="9637" w:type="dxa"/>
            <w:tcBorders>
              <w:top w:val="nil"/>
            </w:tcBorders>
          </w:tcPr>
          <w:p w:rsidR="009C38F0" w:rsidRPr="009C38F0" w:rsidRDefault="009C38F0" w:rsidP="00850215">
            <w:pPr>
              <w:rPr>
                <w:rFonts w:cs="Times New Roman"/>
              </w:rPr>
            </w:pPr>
          </w:p>
        </w:tc>
      </w:tr>
    </w:tbl>
    <w:p w:rsidR="009C38F0" w:rsidRPr="009C38F0" w:rsidRDefault="009C38F0" w:rsidP="009C38F0">
      <w:pPr>
        <w:pStyle w:val="HChGR"/>
      </w:pPr>
      <w:bookmarkStart w:id="14" w:name="bookmark_24"/>
      <w:r w:rsidRPr="009C38F0">
        <w:tab/>
      </w:r>
      <w:r w:rsidRPr="009C38F0">
        <w:tab/>
        <w:t>Введение</w:t>
      </w:r>
      <w:bookmarkEnd w:id="14"/>
    </w:p>
    <w:p w:rsidR="009C38F0" w:rsidRPr="009C38F0" w:rsidRDefault="009C38F0" w:rsidP="009C38F0">
      <w:pPr>
        <w:pStyle w:val="SingleTxtGR"/>
      </w:pPr>
      <w:bookmarkStart w:id="15" w:name="bookmark_25"/>
      <w:r w:rsidRPr="009C38F0">
        <w:t>1.</w:t>
      </w:r>
      <w:r w:rsidRPr="009C38F0">
        <w:tab/>
        <w:t>В пункте 4.1.6.8 предусмотрено требование о том, что вентили должны быть сконструированы и изготовлены таким образом, чтобы в силу своей конструкции они могли выдерживать повреждения без выброса содержимого сосуда под давлением, или должны быть защищены от повреждений с использованием одного или нескольких из методов, перечисленных в подпунктах a)–е).</w:t>
      </w:r>
      <w:bookmarkStart w:id="16" w:name="bookmark_26"/>
      <w:bookmarkEnd w:id="15"/>
    </w:p>
    <w:p w:rsidR="00E12C5F" w:rsidRDefault="009C38F0" w:rsidP="009C38F0">
      <w:pPr>
        <w:pStyle w:val="SingleTxtGR"/>
        <w:rPr>
          <w:lang w:val="en-US"/>
        </w:rPr>
      </w:pPr>
      <w:r w:rsidRPr="009C38F0">
        <w:t>2.</w:t>
      </w:r>
      <w:r w:rsidRPr="009C38F0">
        <w:tab/>
        <w:t>В последние годы вентили оборудуются деталями, которые остаются на соответствующих вентилях во время перевозки. Примерами таких деталей яв</w:t>
      </w:r>
      <w:r w:rsidRPr="009C38F0">
        <w:lastRenderedPageBreak/>
        <w:t>ляются транспортно-загрузочные приспособления (главным образом для вентилей газовых баллонов с встроенным регулятором давления) или адаптеры (например, для</w:t>
      </w:r>
      <w:r w:rsidR="005716A3">
        <w:t xml:space="preserve"> </w:t>
      </w:r>
      <w:r w:rsidRPr="009C38F0">
        <w:t>самозакрывающихся вентилей газовых баллонов). Эти детали не сконструированы и не предназначены для защиты вентиля в соответствии с подпунктом b) или с) пункта 4.1.6.8.</w:t>
      </w:r>
      <w:bookmarkEnd w:id="16"/>
    </w:p>
    <w:p w:rsidR="009C38F0" w:rsidRDefault="009C38F0" w:rsidP="00304437">
      <w:pPr>
        <w:pStyle w:val="SingleTxtGR"/>
        <w:spacing w:after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6016B09" wp14:editId="0F741D20">
            <wp:extent cx="3164400" cy="4136400"/>
            <wp:effectExtent l="0" t="0" r="0" b="0"/>
            <wp:docPr id="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00" cy="41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F0" w:rsidRPr="003B66DC" w:rsidRDefault="003B66DC" w:rsidP="00304437">
      <w:pPr>
        <w:pStyle w:val="SingleTxtGR"/>
        <w:spacing w:before="120"/>
        <w:jc w:val="center"/>
      </w:pPr>
      <w:bookmarkStart w:id="17" w:name="bookmark_27"/>
      <w:r w:rsidRPr="003B66DC">
        <w:t xml:space="preserve">Вентиль газового баллона с закрепленным на нем </w:t>
      </w:r>
      <w:r w:rsidR="009A061F" w:rsidRPr="009A061F">
        <w:br/>
      </w:r>
      <w:r w:rsidRPr="003B66DC">
        <w:t>транспортно-загрузочным приспособлением</w:t>
      </w:r>
      <w:bookmarkEnd w:id="17"/>
    </w:p>
    <w:p w:rsidR="009C38F0" w:rsidRPr="003B66DC" w:rsidRDefault="003B66DC" w:rsidP="003B66DC">
      <w:pPr>
        <w:pStyle w:val="SingleTxtGR"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AA0A151" wp14:editId="7F59A0ED">
            <wp:extent cx="2962800" cy="3459600"/>
            <wp:effectExtent l="0" t="0" r="9525" b="7620"/>
            <wp:docPr id="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0" cy="34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F0" w:rsidRPr="003B66DC" w:rsidRDefault="003B66DC" w:rsidP="00304437">
      <w:pPr>
        <w:pStyle w:val="SingleTxtGR"/>
        <w:jc w:val="center"/>
      </w:pPr>
      <w:r w:rsidRPr="003B66DC">
        <w:lastRenderedPageBreak/>
        <w:t xml:space="preserve">Вентиль газового баллона для СНГ с встроенным </w:t>
      </w:r>
      <w:r w:rsidR="009A061F" w:rsidRPr="009A061F">
        <w:br/>
      </w:r>
      <w:r w:rsidRPr="003B66DC">
        <w:t>адаптером для наполнения и</w:t>
      </w:r>
      <w:r w:rsidR="00685AED" w:rsidRPr="00FD79E3">
        <w:t xml:space="preserve"> </w:t>
      </w:r>
      <w:r w:rsidRPr="003B66DC">
        <w:t>опорожнения</w:t>
      </w:r>
    </w:p>
    <w:p w:rsidR="003B66DC" w:rsidRPr="003B66DC" w:rsidRDefault="003B66DC" w:rsidP="003B66DC">
      <w:pPr>
        <w:pStyle w:val="SingleTxtGR"/>
      </w:pPr>
      <w:bookmarkStart w:id="18" w:name="bookmark_29"/>
      <w:r w:rsidRPr="003B66DC">
        <w:t>3.</w:t>
      </w:r>
      <w:r w:rsidRPr="003B66DC">
        <w:tab/>
        <w:t xml:space="preserve">Оборудование такими деталями жестко зафиксированных вентилей </w:t>
      </w:r>
      <w:r w:rsidRPr="003B66DC">
        <w:rPr>
          <w:u w:val="single"/>
        </w:rPr>
        <w:t>могло бы</w:t>
      </w:r>
      <w:r w:rsidRPr="003B66DC">
        <w:t xml:space="preserve"> иметь негативные последствия для присущей им прочности. В этой связи должно быть доказано, что вентиль с закрепленной на нем деталью сохраняет присущую ему прочность, или должен использоваться один из методов защиты вентилей согласно пункту 4.1.6.8 а)–e).</w:t>
      </w:r>
      <w:bookmarkEnd w:id="18"/>
    </w:p>
    <w:p w:rsidR="003B66DC" w:rsidRPr="003B66DC" w:rsidRDefault="003B66DC" w:rsidP="003B66DC">
      <w:pPr>
        <w:pStyle w:val="SingleTxtGR"/>
      </w:pPr>
      <w:bookmarkStart w:id="19" w:name="bookmark_30"/>
      <w:r w:rsidRPr="003B66DC">
        <w:t>4.</w:t>
      </w:r>
      <w:r w:rsidRPr="003B66DC">
        <w:tab/>
        <w:t xml:space="preserve">Если такие детали устанавливаются на вентилях, которые не являются прочными в силу своей конструкции и поэтому должны быть обеспечены защитой, </w:t>
      </w:r>
      <w:r w:rsidRPr="003B66DC">
        <w:rPr>
          <w:u w:val="single"/>
        </w:rPr>
        <w:t>может</w:t>
      </w:r>
      <w:r w:rsidRPr="003B66DC">
        <w:t xml:space="preserve"> оказаться, что первоначально предусмотренной защиты уже недостаточно для вентилей с дополнительной деталью. Как результат, должно быть доказано, что защита вентилей, оборудованных дополнительной деталью, по-прежнему является надлежащей, или должен использоваться другой подходящий метод защиты вентилей согласно пункту 4.1.6.8 а)–e).</w:t>
      </w:r>
      <w:bookmarkEnd w:id="19"/>
    </w:p>
    <w:p w:rsidR="003B66DC" w:rsidRPr="003B66DC" w:rsidRDefault="003B66DC" w:rsidP="00A07F22">
      <w:pPr>
        <w:pStyle w:val="HChGR"/>
      </w:pPr>
      <w:bookmarkStart w:id="20" w:name="bookmark_31"/>
      <w:r w:rsidRPr="003B66DC">
        <w:tab/>
      </w:r>
      <w:r w:rsidRPr="003B66DC">
        <w:tab/>
        <w:t>Предложение</w:t>
      </w:r>
      <w:bookmarkEnd w:id="20"/>
    </w:p>
    <w:p w:rsidR="003B66DC" w:rsidRPr="003B66DC" w:rsidRDefault="003B66DC" w:rsidP="003B66DC">
      <w:pPr>
        <w:pStyle w:val="SingleTxtGR"/>
      </w:pPr>
      <w:bookmarkStart w:id="21" w:name="bookmark_32"/>
      <w:r w:rsidRPr="003B66DC">
        <w:t>5.</w:t>
      </w:r>
      <w:r w:rsidRPr="003B66DC">
        <w:tab/>
        <w:t>Предлагается включить в конце пункта 4.1.6.8 новый абзац следующего содержания:</w:t>
      </w:r>
      <w:bookmarkEnd w:id="21"/>
    </w:p>
    <w:p w:rsidR="003B66DC" w:rsidRPr="003B66DC" w:rsidRDefault="003B66DC" w:rsidP="003B66DC">
      <w:pPr>
        <w:pStyle w:val="SingleTxtGR"/>
      </w:pPr>
      <w:bookmarkStart w:id="22" w:name="bookmark_33"/>
      <w:r w:rsidRPr="003B66DC">
        <w:t>«Если вентили оборудованы другими деталями, которые должны оставаться на своем месте во время перевозки (например, транспортно-загрузочное приспособление или адаптер), последние должны быть включены в оценку.».</w:t>
      </w:r>
      <w:bookmarkEnd w:id="22"/>
    </w:p>
    <w:p w:rsidR="009C38F0" w:rsidRDefault="003B66DC" w:rsidP="003B66DC">
      <w:pPr>
        <w:pStyle w:val="SingleTxtGR"/>
        <w:rPr>
          <w:lang w:val="en-US"/>
        </w:rPr>
      </w:pPr>
      <w:bookmarkStart w:id="23" w:name="bookmark_34"/>
      <w:r w:rsidRPr="003B66DC">
        <w:rPr>
          <w:b/>
          <w:bCs/>
        </w:rPr>
        <w:t>Обоснование:</w:t>
      </w:r>
      <w:r w:rsidRPr="003B66DC">
        <w:t xml:space="preserve"> разъяснение правовой ситуации.</w:t>
      </w:r>
      <w:bookmarkEnd w:id="23"/>
    </w:p>
    <w:p w:rsidR="009C38F0" w:rsidRPr="003B66DC" w:rsidRDefault="003B66DC" w:rsidP="003B66DC">
      <w:pPr>
        <w:pStyle w:val="SingleTxtGR"/>
        <w:spacing w:before="240" w:after="0"/>
        <w:jc w:val="center"/>
      </w:pP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</w:p>
    <w:sectPr w:rsidR="009C38F0" w:rsidRPr="003B66DC" w:rsidSect="009C38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1AC" w:rsidRPr="00A312BC" w:rsidRDefault="008061AC" w:rsidP="00A312BC"/>
  </w:endnote>
  <w:endnote w:type="continuationSeparator" w:id="0">
    <w:p w:rsidR="008061AC" w:rsidRPr="00A312BC" w:rsidRDefault="008061AC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8F0" w:rsidRPr="009C38F0" w:rsidRDefault="009C38F0">
    <w:pPr>
      <w:pStyle w:val="Footer"/>
    </w:pPr>
    <w:r w:rsidRPr="009C38F0">
      <w:rPr>
        <w:b/>
        <w:sz w:val="18"/>
      </w:rPr>
      <w:fldChar w:fldCharType="begin"/>
    </w:r>
    <w:r w:rsidRPr="009C38F0">
      <w:rPr>
        <w:b/>
        <w:sz w:val="18"/>
      </w:rPr>
      <w:instrText xml:space="preserve"> PAGE  \* MERGEFORMAT </w:instrText>
    </w:r>
    <w:r w:rsidRPr="009C38F0">
      <w:rPr>
        <w:b/>
        <w:sz w:val="18"/>
      </w:rPr>
      <w:fldChar w:fldCharType="separate"/>
    </w:r>
    <w:r w:rsidR="00B92721">
      <w:rPr>
        <w:b/>
        <w:noProof/>
        <w:sz w:val="18"/>
      </w:rPr>
      <w:t>2</w:t>
    </w:r>
    <w:r w:rsidRPr="009C38F0">
      <w:rPr>
        <w:b/>
        <w:sz w:val="18"/>
      </w:rPr>
      <w:fldChar w:fldCharType="end"/>
    </w:r>
    <w:r>
      <w:rPr>
        <w:b/>
        <w:sz w:val="18"/>
      </w:rPr>
      <w:tab/>
    </w:r>
    <w:r>
      <w:t>GE.17-23039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8F0" w:rsidRPr="009C38F0" w:rsidRDefault="009C38F0" w:rsidP="009C38F0">
    <w:pPr>
      <w:pStyle w:val="Footer"/>
      <w:tabs>
        <w:tab w:val="clear" w:pos="9639"/>
        <w:tab w:val="right" w:pos="9638"/>
      </w:tabs>
      <w:rPr>
        <w:b/>
        <w:sz w:val="18"/>
      </w:rPr>
    </w:pPr>
    <w:r>
      <w:t>GE.17-23039</w:t>
    </w:r>
    <w:r>
      <w:tab/>
    </w:r>
    <w:r w:rsidRPr="009C38F0">
      <w:rPr>
        <w:b/>
        <w:sz w:val="18"/>
      </w:rPr>
      <w:fldChar w:fldCharType="begin"/>
    </w:r>
    <w:r w:rsidRPr="009C38F0">
      <w:rPr>
        <w:b/>
        <w:sz w:val="18"/>
      </w:rPr>
      <w:instrText xml:space="preserve"> PAGE  \* MERGEFORMAT </w:instrText>
    </w:r>
    <w:r w:rsidRPr="009C38F0">
      <w:rPr>
        <w:b/>
        <w:sz w:val="18"/>
      </w:rPr>
      <w:fldChar w:fldCharType="separate"/>
    </w:r>
    <w:r w:rsidR="00B92721">
      <w:rPr>
        <w:b/>
        <w:noProof/>
        <w:sz w:val="18"/>
      </w:rPr>
      <w:t>3</w:t>
    </w:r>
    <w:r w:rsidRPr="009C38F0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B72" w:rsidRPr="009C38F0" w:rsidRDefault="009C38F0" w:rsidP="009C38F0">
    <w:pPr>
      <w:spacing w:before="120" w:line="240" w:lineRule="auto"/>
    </w:pPr>
    <w:r>
      <w:t>GE.</w:t>
    </w:r>
    <w:r w:rsidR="00DF71B9">
      <w:rPr>
        <w:b/>
        <w:noProof/>
        <w:lang w:eastAsia="ru-RU"/>
      </w:rPr>
      <w:drawing>
        <wp:anchor distT="0" distB="0" distL="114300" distR="114300" simplePos="0" relativeHeight="251658240" behindDoc="0" locked="0" layoutInCell="1" allowOverlap="1" wp14:anchorId="260EA374" wp14:editId="1AA156CF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17-23039  (R)</w:t>
    </w:r>
    <w:r>
      <w:rPr>
        <w:lang w:val="en-US"/>
      </w:rPr>
      <w:t xml:space="preserve">  160118  160118</w:t>
    </w:r>
    <w:r>
      <w:br/>
    </w:r>
    <w:r w:rsidRPr="009C38F0">
      <w:rPr>
        <w:rFonts w:ascii="C39T30Lfz" w:hAnsi="C39T30Lfz"/>
        <w:spacing w:val="0"/>
        <w:w w:val="100"/>
        <w:sz w:val="56"/>
      </w:rPr>
      <w:t></w:t>
    </w:r>
    <w:r w:rsidRPr="009C38F0">
      <w:rPr>
        <w:rFonts w:ascii="C39T30Lfz" w:hAnsi="C39T30Lfz"/>
        <w:spacing w:val="0"/>
        <w:w w:val="100"/>
        <w:sz w:val="56"/>
      </w:rPr>
      <w:t></w:t>
    </w:r>
    <w:r w:rsidRPr="009C38F0">
      <w:rPr>
        <w:rFonts w:ascii="C39T30Lfz" w:hAnsi="C39T30Lfz"/>
        <w:spacing w:val="0"/>
        <w:w w:val="100"/>
        <w:sz w:val="56"/>
      </w:rPr>
      <w:t></w:t>
    </w:r>
    <w:r w:rsidRPr="009C38F0">
      <w:rPr>
        <w:rFonts w:ascii="C39T30Lfz" w:hAnsi="C39T30Lfz"/>
        <w:spacing w:val="0"/>
        <w:w w:val="100"/>
        <w:sz w:val="56"/>
      </w:rPr>
      <w:t></w:t>
    </w:r>
    <w:r w:rsidRPr="009C38F0">
      <w:rPr>
        <w:rFonts w:ascii="C39T30Lfz" w:hAnsi="C39T30Lfz"/>
        <w:spacing w:val="0"/>
        <w:w w:val="100"/>
        <w:sz w:val="56"/>
      </w:rPr>
      <w:t></w:t>
    </w:r>
    <w:r w:rsidRPr="009C38F0">
      <w:rPr>
        <w:rFonts w:ascii="C39T30Lfz" w:hAnsi="C39T30Lfz"/>
        <w:spacing w:val="0"/>
        <w:w w:val="100"/>
        <w:sz w:val="56"/>
      </w:rPr>
      <w:t></w:t>
    </w:r>
    <w:r w:rsidRPr="009C38F0">
      <w:rPr>
        <w:rFonts w:ascii="C39T30Lfz" w:hAnsi="C39T30Lfz"/>
        <w:spacing w:val="0"/>
        <w:w w:val="100"/>
        <w:sz w:val="56"/>
      </w:rPr>
      <w:t></w:t>
    </w:r>
    <w:r w:rsidRPr="009C38F0">
      <w:rPr>
        <w:rFonts w:ascii="C39T30Lfz" w:hAnsi="C39T30Lfz"/>
        <w:spacing w:val="0"/>
        <w:w w:val="100"/>
        <w:sz w:val="56"/>
      </w:rPr>
      <w:t></w:t>
    </w:r>
    <w:r w:rsidRPr="009C38F0">
      <w:rPr>
        <w:rFonts w:ascii="C39T30Lfz" w:hAnsi="C39T30Lfz"/>
        <w:spacing w:val="0"/>
        <w:w w:val="100"/>
        <w:sz w:val="56"/>
      </w:rPr>
      <w:t></w:t>
    </w:r>
    <w:r>
      <w:rPr>
        <w:noProof/>
        <w:w w:val="100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 descr="https://undocs.org/m2/QRCode.ashx?DS=ECE/TRANS/WP.15/AC.1/2018/2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WP.15/AC.1/2018/2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1AC" w:rsidRPr="001075E9" w:rsidRDefault="008061AC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8061AC" w:rsidRDefault="008061AC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:rsidR="009C38F0" w:rsidRPr="00FD34B0" w:rsidRDefault="009C38F0" w:rsidP="009C38F0">
      <w:pPr>
        <w:pStyle w:val="FootnoteText"/>
        <w:rPr>
          <w:lang w:val="ru-RU"/>
        </w:rPr>
      </w:pPr>
      <w:bookmarkStart w:id="10" w:name="footnoteBookmark_19"/>
      <w:r>
        <w:rPr>
          <w:lang w:val="ru-RU"/>
        </w:rPr>
        <w:tab/>
      </w:r>
      <w:r w:rsidRPr="00A07F22">
        <w:rPr>
          <w:sz w:val="20"/>
          <w:lang w:val="ru-RU"/>
        </w:rPr>
        <w:t>*</w:t>
      </w:r>
      <w:r>
        <w:rPr>
          <w:lang w:val="ru-RU"/>
        </w:rPr>
        <w:t xml:space="preserve"> </w:t>
      </w:r>
      <w:r>
        <w:rPr>
          <w:lang w:val="ru-RU"/>
        </w:rPr>
        <w:tab/>
        <w:t>В соответствии с проектом программы работы Комитета по внутреннему транспорту на 2018–2019 годы (ECE/TRANS/WP.15/237, приложение V (9.2)).</w:t>
      </w:r>
      <w:bookmarkEnd w:id="1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8F0" w:rsidRPr="009C38F0" w:rsidRDefault="00B92721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CA31B6">
      <w:t>ECE/TRANS/WP.15/AC.1/2018/2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8F0" w:rsidRPr="009C38F0" w:rsidRDefault="00B92721" w:rsidP="009C38F0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CA31B6">
      <w:t>ECE/TRANS/WP.15/AC.1/2018/2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8F0" w:rsidRDefault="009C38F0" w:rsidP="009C38F0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E2E2D"/>
    <w:multiLevelType w:val="hybridMultilevel"/>
    <w:tmpl w:val="2E7A7832"/>
    <w:lvl w:ilvl="0" w:tplc="B58A0C70">
      <w:start w:val="2"/>
      <w:numFmt w:val="bullet"/>
      <w:lvlText w:val="•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7BC6D20E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18600E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66E4D2DC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C6229E3C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CCAEC820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05483B2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C6D2FFC2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7C3C9064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18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6"/>
  </w:num>
  <w:num w:numId="17">
    <w:abstractNumId w:val="12"/>
  </w:num>
  <w:num w:numId="18">
    <w:abstractNumId w:val="15"/>
  </w:num>
  <w:num w:numId="19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revisionView w:inkAnnotation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1AC"/>
    <w:rsid w:val="00033EE1"/>
    <w:rsid w:val="00042B72"/>
    <w:rsid w:val="000558BD"/>
    <w:rsid w:val="00090186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B3EF6"/>
    <w:rsid w:val="001C7A89"/>
    <w:rsid w:val="00255343"/>
    <w:rsid w:val="0027151D"/>
    <w:rsid w:val="002A2EFC"/>
    <w:rsid w:val="002B0106"/>
    <w:rsid w:val="002B74B1"/>
    <w:rsid w:val="002C0E18"/>
    <w:rsid w:val="002D0EF2"/>
    <w:rsid w:val="002D5AAC"/>
    <w:rsid w:val="002E5067"/>
    <w:rsid w:val="002F405F"/>
    <w:rsid w:val="002F7EEC"/>
    <w:rsid w:val="00301299"/>
    <w:rsid w:val="00304437"/>
    <w:rsid w:val="00305C08"/>
    <w:rsid w:val="00307FB6"/>
    <w:rsid w:val="00317339"/>
    <w:rsid w:val="00322004"/>
    <w:rsid w:val="003402C2"/>
    <w:rsid w:val="00351D0B"/>
    <w:rsid w:val="00381C24"/>
    <w:rsid w:val="00387CD4"/>
    <w:rsid w:val="003958D0"/>
    <w:rsid w:val="003A0D43"/>
    <w:rsid w:val="003A48CE"/>
    <w:rsid w:val="003B00E5"/>
    <w:rsid w:val="003B66DC"/>
    <w:rsid w:val="00407B78"/>
    <w:rsid w:val="00424203"/>
    <w:rsid w:val="00452493"/>
    <w:rsid w:val="00453318"/>
    <w:rsid w:val="00454AF2"/>
    <w:rsid w:val="00454E07"/>
    <w:rsid w:val="00472C5C"/>
    <w:rsid w:val="004E05B7"/>
    <w:rsid w:val="0050108D"/>
    <w:rsid w:val="00513081"/>
    <w:rsid w:val="00517901"/>
    <w:rsid w:val="00526683"/>
    <w:rsid w:val="005639C1"/>
    <w:rsid w:val="005709E0"/>
    <w:rsid w:val="005716A3"/>
    <w:rsid w:val="00572E19"/>
    <w:rsid w:val="005961C8"/>
    <w:rsid w:val="005966F1"/>
    <w:rsid w:val="005D7914"/>
    <w:rsid w:val="005E2B41"/>
    <w:rsid w:val="005F0B42"/>
    <w:rsid w:val="006345DB"/>
    <w:rsid w:val="00640088"/>
    <w:rsid w:val="00640F49"/>
    <w:rsid w:val="00680D03"/>
    <w:rsid w:val="00681A10"/>
    <w:rsid w:val="00685AED"/>
    <w:rsid w:val="006A1ED8"/>
    <w:rsid w:val="006C2031"/>
    <w:rsid w:val="006D461A"/>
    <w:rsid w:val="006F35EE"/>
    <w:rsid w:val="007021FF"/>
    <w:rsid w:val="00712895"/>
    <w:rsid w:val="00724324"/>
    <w:rsid w:val="00734ACB"/>
    <w:rsid w:val="00757357"/>
    <w:rsid w:val="00792497"/>
    <w:rsid w:val="008061AC"/>
    <w:rsid w:val="00806737"/>
    <w:rsid w:val="00825F8D"/>
    <w:rsid w:val="00834B71"/>
    <w:rsid w:val="0086445C"/>
    <w:rsid w:val="00894693"/>
    <w:rsid w:val="008A08D7"/>
    <w:rsid w:val="008A37C8"/>
    <w:rsid w:val="008B6909"/>
    <w:rsid w:val="008D53B6"/>
    <w:rsid w:val="008F6E37"/>
    <w:rsid w:val="008F7609"/>
    <w:rsid w:val="00906890"/>
    <w:rsid w:val="00911BE4"/>
    <w:rsid w:val="00951972"/>
    <w:rsid w:val="009608F3"/>
    <w:rsid w:val="009A061F"/>
    <w:rsid w:val="009A24AC"/>
    <w:rsid w:val="009C38F0"/>
    <w:rsid w:val="009C6FE6"/>
    <w:rsid w:val="009D7E7D"/>
    <w:rsid w:val="00A07F22"/>
    <w:rsid w:val="00A14DA8"/>
    <w:rsid w:val="00A312BC"/>
    <w:rsid w:val="00A53642"/>
    <w:rsid w:val="00A84021"/>
    <w:rsid w:val="00A84D35"/>
    <w:rsid w:val="00A917B3"/>
    <w:rsid w:val="00AA5111"/>
    <w:rsid w:val="00AB4B51"/>
    <w:rsid w:val="00B10CC7"/>
    <w:rsid w:val="00B36DF7"/>
    <w:rsid w:val="00B539E7"/>
    <w:rsid w:val="00B62458"/>
    <w:rsid w:val="00B711EE"/>
    <w:rsid w:val="00B92721"/>
    <w:rsid w:val="00BC18B2"/>
    <w:rsid w:val="00BD33EE"/>
    <w:rsid w:val="00BE1CC7"/>
    <w:rsid w:val="00C106D6"/>
    <w:rsid w:val="00C119AE"/>
    <w:rsid w:val="00C1456D"/>
    <w:rsid w:val="00C60F0C"/>
    <w:rsid w:val="00C805C9"/>
    <w:rsid w:val="00C92939"/>
    <w:rsid w:val="00CA1679"/>
    <w:rsid w:val="00CA31B6"/>
    <w:rsid w:val="00CB151C"/>
    <w:rsid w:val="00CE5A1A"/>
    <w:rsid w:val="00CF55F6"/>
    <w:rsid w:val="00D33D63"/>
    <w:rsid w:val="00D5253A"/>
    <w:rsid w:val="00D90028"/>
    <w:rsid w:val="00D90138"/>
    <w:rsid w:val="00DD78D1"/>
    <w:rsid w:val="00DE32CD"/>
    <w:rsid w:val="00DF5767"/>
    <w:rsid w:val="00DF71B9"/>
    <w:rsid w:val="00E12C5F"/>
    <w:rsid w:val="00E73F76"/>
    <w:rsid w:val="00EA2C9F"/>
    <w:rsid w:val="00EA420E"/>
    <w:rsid w:val="00ED0BDA"/>
    <w:rsid w:val="00EE142A"/>
    <w:rsid w:val="00EF1360"/>
    <w:rsid w:val="00EF3220"/>
    <w:rsid w:val="00F00FC4"/>
    <w:rsid w:val="00F2523A"/>
    <w:rsid w:val="00F43903"/>
    <w:rsid w:val="00F94155"/>
    <w:rsid w:val="00F9783F"/>
    <w:rsid w:val="00FA0689"/>
    <w:rsid w:val="00FD2EF7"/>
    <w:rsid w:val="00FD79E3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DEE1F82-BFCF-4DBF-968B-EB2958B2F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C6FE6"/>
    <w:pPr>
      <w:spacing w:line="240" w:lineRule="atLeast"/>
    </w:pPr>
    <w:rPr>
      <w:rFonts w:eastAsiaTheme="minorEastAsia" w:cstheme="minorBidi"/>
      <w:spacing w:val="4"/>
      <w:w w:val="103"/>
      <w:kern w:val="14"/>
      <w:szCs w:val="22"/>
      <w:lang w:val="ru-RU" w:eastAsia="zh-CN"/>
    </w:rPr>
  </w:style>
  <w:style w:type="paragraph" w:styleId="Heading1">
    <w:name w:val="heading 1"/>
    <w:aliases w:val="Table_GR"/>
    <w:basedOn w:val="Normal"/>
    <w:next w:val="Normal"/>
    <w:link w:val="Heading1Char"/>
    <w:qFormat/>
    <w:rsid w:val="009C6FE6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6FE6"/>
    <w:rPr>
      <w:rFonts w:ascii="Tahoma" w:eastAsiaTheme="minorEastAsia" w:hAnsi="Tahoma" w:cs="Tahoma"/>
      <w:spacing w:val="4"/>
      <w:w w:val="103"/>
      <w:kern w:val="14"/>
      <w:sz w:val="16"/>
      <w:szCs w:val="16"/>
      <w:lang w:val="ru-RU" w:eastAsia="zh-CN"/>
    </w:rPr>
  </w:style>
  <w:style w:type="paragraph" w:customStyle="1" w:styleId="HMGR">
    <w:name w:val="_ H __M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pacing w:val="3"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qFormat/>
    <w:rsid w:val="009C6FE6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Normal"/>
    <w:next w:val="Normal"/>
    <w:qFormat/>
    <w:rsid w:val="009C6FE6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9C6FE6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9C6FE6"/>
    <w:pPr>
      <w:numPr>
        <w:numId w:val="16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9C6FE6"/>
    <w:pPr>
      <w:numPr>
        <w:numId w:val="17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9C6FE6"/>
    <w:pPr>
      <w:numPr>
        <w:numId w:val="18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9C6FE6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9C6FE6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"/>
    <w:basedOn w:val="Normal"/>
    <w:next w:val="Normal"/>
    <w:link w:val="HeaderChar"/>
    <w:qFormat/>
    <w:rsid w:val="009C6FE6"/>
    <w:pPr>
      <w:pBdr>
        <w:bottom w:val="single" w:sz="4" w:space="4" w:color="auto"/>
      </w:pBdr>
      <w:tabs>
        <w:tab w:val="right" w:pos="9639"/>
      </w:tabs>
      <w:suppressAutoHyphens/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"/>
    <w:basedOn w:val="DefaultParagraphFont"/>
    <w:link w:val="Header"/>
    <w:rsid w:val="009C6FE6"/>
    <w:rPr>
      <w:b/>
      <w:spacing w:val="4"/>
      <w:w w:val="103"/>
      <w:kern w:val="14"/>
      <w:sz w:val="18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9C6FE6"/>
    <w:rPr>
      <w:rFonts w:ascii="Times New Roman" w:hAnsi="Times New Roman"/>
      <w:b/>
      <w:sz w:val="18"/>
    </w:rPr>
  </w:style>
  <w:style w:type="paragraph" w:styleId="Footer">
    <w:name w:val="footer"/>
    <w:aliases w:val="3_GR"/>
    <w:basedOn w:val="Normal"/>
    <w:link w:val="FooterChar"/>
    <w:qFormat/>
    <w:rsid w:val="009C6FE6"/>
    <w:pPr>
      <w:tabs>
        <w:tab w:val="right" w:pos="9639"/>
      </w:tabs>
      <w:suppressAutoHyphens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"/>
    <w:basedOn w:val="DefaultParagraphFont"/>
    <w:link w:val="Footer"/>
    <w:rsid w:val="009C6FE6"/>
    <w:rPr>
      <w:spacing w:val="4"/>
      <w:w w:val="103"/>
      <w:kern w:val="14"/>
      <w:sz w:val="16"/>
      <w:lang w:val="en-GB" w:eastAsia="ru-RU"/>
    </w:rPr>
  </w:style>
  <w:style w:type="character" w:styleId="FootnoteReference">
    <w:name w:val="footnote reference"/>
    <w:aliases w:val="4_GR"/>
    <w:basedOn w:val="DefaultParagraphFont"/>
    <w:qFormat/>
    <w:rsid w:val="009C6FE6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"/>
    <w:basedOn w:val="FootnoteReference"/>
    <w:qFormat/>
    <w:rsid w:val="009C6FE6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rsid w:val="00F2523A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5_GR"/>
    <w:basedOn w:val="Normal"/>
    <w:link w:val="FootnoteTextChar"/>
    <w:qFormat/>
    <w:rsid w:val="009C6FE6"/>
    <w:pPr>
      <w:tabs>
        <w:tab w:val="right" w:pos="1021"/>
      </w:tabs>
      <w:suppressAutoHyphens/>
      <w:spacing w:line="220" w:lineRule="exact"/>
      <w:ind w:left="1134" w:right="1134" w:hanging="1134"/>
    </w:pPr>
    <w:rPr>
      <w:rFonts w:eastAsia="Times New Roman" w:cs="Times New Roman"/>
      <w:spacing w:val="5"/>
      <w:w w:val="104"/>
      <w:sz w:val="18"/>
      <w:szCs w:val="20"/>
      <w:lang w:val="en-GB" w:eastAsia="ru-RU"/>
    </w:rPr>
  </w:style>
  <w:style w:type="character" w:customStyle="1" w:styleId="FootnoteTextChar">
    <w:name w:val="Footnote Text Char"/>
    <w:aliases w:val="5_GR Char"/>
    <w:basedOn w:val="DefaultParagraphFont"/>
    <w:link w:val="FootnoteText"/>
    <w:rsid w:val="009C6FE6"/>
    <w:rPr>
      <w:spacing w:val="5"/>
      <w:w w:val="104"/>
      <w:kern w:val="14"/>
      <w:sz w:val="18"/>
      <w:lang w:val="en-GB" w:eastAsia="ru-RU"/>
    </w:rPr>
  </w:style>
  <w:style w:type="paragraph" w:styleId="EndnoteText">
    <w:name w:val="endnote text"/>
    <w:aliases w:val="2_GR"/>
    <w:basedOn w:val="FootnoteText"/>
    <w:link w:val="EndnoteTextChar"/>
    <w:qFormat/>
    <w:rsid w:val="009C6FE6"/>
  </w:style>
  <w:style w:type="character" w:customStyle="1" w:styleId="EndnoteTextChar">
    <w:name w:val="Endnote Text Char"/>
    <w:aliases w:val="2_GR Char"/>
    <w:basedOn w:val="DefaultParagraphFont"/>
    <w:link w:val="EndnoteText"/>
    <w:rsid w:val="009C6FE6"/>
    <w:rPr>
      <w:spacing w:val="5"/>
      <w:w w:val="104"/>
      <w:kern w:val="14"/>
      <w:sz w:val="18"/>
      <w:lang w:val="en-GB" w:eastAsia="ru-RU"/>
    </w:rPr>
  </w:style>
  <w:style w:type="character" w:customStyle="1" w:styleId="Heading1Char">
    <w:name w:val="Heading 1 Char"/>
    <w:aliases w:val="Table_GR Char"/>
    <w:basedOn w:val="DefaultParagraphFont"/>
    <w:link w:val="Heading1"/>
    <w:rsid w:val="009C6FE6"/>
    <w:rPr>
      <w:rFonts w:cs="Arial"/>
      <w:b/>
      <w:bCs/>
      <w:spacing w:val="4"/>
      <w:w w:val="103"/>
      <w:kern w:val="14"/>
      <w:szCs w:val="32"/>
      <w:lang w:val="ru-RU" w:eastAsia="ru-RU"/>
    </w:rPr>
  </w:style>
  <w:style w:type="character" w:styleId="Hyperlink">
    <w:name w:val="Hyperlink"/>
    <w:basedOn w:val="DefaultParagraphFont"/>
    <w:semiHidden/>
    <w:unhideWhenUsed/>
    <w:rsid w:val="009C6FE6"/>
    <w:rPr>
      <w:color w:val="0000FF" w:themeColor="hyperlink"/>
      <w:u w:val="none"/>
    </w:rPr>
  </w:style>
  <w:style w:type="character" w:styleId="FollowedHyperlink">
    <w:name w:val="FollowedHyperlink"/>
    <w:basedOn w:val="DefaultParagraphFont"/>
    <w:semiHidden/>
    <w:unhideWhenUsed/>
    <w:rsid w:val="009C6FE6"/>
    <w:rPr>
      <w:color w:val="800080" w:themeColor="followedHyperlink"/>
      <w:u w:val="none"/>
    </w:rPr>
  </w:style>
  <w:style w:type="paragraph" w:styleId="BlockText">
    <w:name w:val="Block Text"/>
    <w:basedOn w:val="Normal"/>
    <w:semiHidden/>
    <w:unhideWhenUsed/>
    <w:rsid w:val="009C38F0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hAnsiTheme="minorHAnsi"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gi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468</Words>
  <Characters>2674</Characters>
  <Application>Microsoft Office Word</Application>
  <DocSecurity>0</DocSecurity>
  <Lines>22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ECE/TRANS/WP.15/AC.1/2018/2</vt:lpstr>
      <vt:lpstr>ECE/TRANS/WP.15/AC.1/2018/2</vt:lpstr>
      <vt:lpstr>A/</vt:lpstr>
    </vt:vector>
  </TitlesOfParts>
  <Company>DCM</Company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ECE/TRANS/WP.15/AC.1/2018/2</dc:title>
  <dc:subject/>
  <dc:creator>Ovchinnikova Olga</dc:creator>
  <cp:keywords/>
  <cp:lastModifiedBy>Christine Barrio-Champeau</cp:lastModifiedBy>
  <cp:revision>2</cp:revision>
  <cp:lastPrinted>2018-01-16T09:50:00Z</cp:lastPrinted>
  <dcterms:created xsi:type="dcterms:W3CDTF">2018-01-17T08:32:00Z</dcterms:created>
  <dcterms:modified xsi:type="dcterms:W3CDTF">2018-01-17T08:32:00Z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