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B11BB4">
        <w:trPr>
          <w:cantSplit/>
          <w:trHeight w:hRule="exact" w:val="851"/>
        </w:trPr>
        <w:tc>
          <w:tcPr>
            <w:tcW w:w="1276" w:type="dxa"/>
            <w:tcBorders>
              <w:bottom w:val="single" w:sz="4" w:space="0" w:color="auto"/>
            </w:tcBorders>
            <w:shd w:val="clear" w:color="auto" w:fill="auto"/>
            <w:vAlign w:val="bottom"/>
          </w:tcPr>
          <w:p w:rsidR="00B56E9C" w:rsidRDefault="00B56E9C" w:rsidP="00B11BB4">
            <w:pPr>
              <w:spacing w:after="80"/>
            </w:pPr>
          </w:p>
        </w:tc>
        <w:tc>
          <w:tcPr>
            <w:tcW w:w="2268" w:type="dxa"/>
            <w:tcBorders>
              <w:bottom w:val="single" w:sz="4" w:space="0" w:color="auto"/>
            </w:tcBorders>
            <w:shd w:val="clear" w:color="auto" w:fill="auto"/>
            <w:vAlign w:val="bottom"/>
          </w:tcPr>
          <w:p w:rsidR="00B56E9C" w:rsidRPr="00B11BB4" w:rsidRDefault="00B56E9C" w:rsidP="00B11BB4">
            <w:pPr>
              <w:spacing w:after="80" w:line="300" w:lineRule="exact"/>
              <w:rPr>
                <w:b/>
                <w:sz w:val="24"/>
                <w:szCs w:val="24"/>
              </w:rPr>
            </w:pPr>
            <w:r w:rsidRPr="00B11BB4">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9D2A5B" w:rsidP="004665BA">
            <w:pPr>
              <w:suppressAutoHyphens w:val="0"/>
              <w:spacing w:after="20"/>
              <w:jc w:val="right"/>
            </w:pPr>
            <w:r w:rsidRPr="00B11BB4">
              <w:rPr>
                <w:sz w:val="40"/>
              </w:rPr>
              <w:t>ECE</w:t>
            </w:r>
            <w:r>
              <w:t>/TRANS/WP.15/AC.1/201</w:t>
            </w:r>
            <w:r w:rsidR="000D656A">
              <w:t>8</w:t>
            </w:r>
            <w:r>
              <w:t>/</w:t>
            </w:r>
            <w:r w:rsidR="004665BA">
              <w:t>2</w:t>
            </w:r>
          </w:p>
        </w:tc>
      </w:tr>
      <w:tr w:rsidR="00B56E9C" w:rsidTr="00B11BB4">
        <w:trPr>
          <w:cantSplit/>
          <w:trHeight w:hRule="exact" w:val="2835"/>
        </w:trPr>
        <w:tc>
          <w:tcPr>
            <w:tcW w:w="1276" w:type="dxa"/>
            <w:tcBorders>
              <w:top w:val="single" w:sz="4" w:space="0" w:color="auto"/>
              <w:bottom w:val="single" w:sz="12" w:space="0" w:color="auto"/>
            </w:tcBorders>
            <w:shd w:val="clear" w:color="auto" w:fill="auto"/>
          </w:tcPr>
          <w:p w:rsidR="00B56E9C" w:rsidRDefault="00080491" w:rsidP="00B11BB4">
            <w:pPr>
              <w:spacing w:before="120"/>
            </w:pPr>
            <w:r>
              <w:rPr>
                <w:noProof/>
                <w:lang w:val="en-US"/>
              </w:rPr>
              <w:drawing>
                <wp:inline distT="0" distB="0" distL="0" distR="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B11BB4" w:rsidRDefault="00D773DF" w:rsidP="00B11BB4">
            <w:pPr>
              <w:spacing w:before="120" w:line="420" w:lineRule="exact"/>
              <w:rPr>
                <w:sz w:val="40"/>
                <w:szCs w:val="40"/>
              </w:rPr>
            </w:pPr>
            <w:r w:rsidRPr="00B11BB4">
              <w:rPr>
                <w:b/>
                <w:sz w:val="40"/>
                <w:szCs w:val="40"/>
              </w:rPr>
              <w:t>Economic and Social Council</w:t>
            </w:r>
          </w:p>
        </w:tc>
        <w:tc>
          <w:tcPr>
            <w:tcW w:w="2835" w:type="dxa"/>
            <w:tcBorders>
              <w:top w:val="single" w:sz="4" w:space="0" w:color="auto"/>
              <w:bottom w:val="single" w:sz="12" w:space="0" w:color="auto"/>
            </w:tcBorders>
            <w:shd w:val="clear" w:color="auto" w:fill="auto"/>
          </w:tcPr>
          <w:p w:rsidR="009D2A5B" w:rsidRDefault="009D2A5B" w:rsidP="00B11BB4">
            <w:pPr>
              <w:suppressAutoHyphens w:val="0"/>
              <w:spacing w:before="240" w:line="240" w:lineRule="exact"/>
            </w:pPr>
            <w:r>
              <w:t>Distr.: General</w:t>
            </w:r>
          </w:p>
          <w:p w:rsidR="009D2A5B" w:rsidRDefault="006D66D0" w:rsidP="00B11BB4">
            <w:pPr>
              <w:suppressAutoHyphens w:val="0"/>
            </w:pPr>
            <w:r>
              <w:t>21</w:t>
            </w:r>
            <w:r w:rsidR="00B42658">
              <w:t xml:space="preserve"> </w:t>
            </w:r>
            <w:r w:rsidR="005A575C">
              <w:t>December</w:t>
            </w:r>
            <w:r w:rsidR="001B13A5">
              <w:t xml:space="preserve"> 201</w:t>
            </w:r>
            <w:r w:rsidR="000D656A">
              <w:t>7</w:t>
            </w:r>
          </w:p>
          <w:p w:rsidR="009D2A5B" w:rsidRDefault="009D2A5B" w:rsidP="00B11BB4">
            <w:pPr>
              <w:suppressAutoHyphens w:val="0"/>
            </w:pPr>
          </w:p>
          <w:p w:rsidR="00B56E9C" w:rsidRDefault="009D2A5B" w:rsidP="000D656A">
            <w:pPr>
              <w:suppressAutoHyphens w:val="0"/>
            </w:pPr>
            <w:r>
              <w:t xml:space="preserve">Original: </w:t>
            </w:r>
            <w:r w:rsidR="0094558F">
              <w:t xml:space="preserve"> </w:t>
            </w:r>
            <w:r w:rsidR="0003498C">
              <w:t>English</w:t>
            </w:r>
          </w:p>
        </w:tc>
      </w:tr>
    </w:tbl>
    <w:p w:rsidR="00EC106A" w:rsidRDefault="00EC106A">
      <w:pPr>
        <w:spacing w:before="120"/>
        <w:rPr>
          <w:b/>
          <w:sz w:val="28"/>
          <w:szCs w:val="28"/>
        </w:rPr>
      </w:pPr>
      <w:r>
        <w:rPr>
          <w:b/>
          <w:sz w:val="28"/>
          <w:szCs w:val="28"/>
        </w:rPr>
        <w:t>Economic Commission for Europe</w:t>
      </w:r>
    </w:p>
    <w:p w:rsidR="00EC106A" w:rsidRDefault="00EC106A">
      <w:pPr>
        <w:spacing w:before="120"/>
        <w:rPr>
          <w:sz w:val="28"/>
          <w:szCs w:val="28"/>
        </w:rPr>
      </w:pPr>
      <w:r>
        <w:rPr>
          <w:sz w:val="28"/>
          <w:szCs w:val="28"/>
        </w:rPr>
        <w:t>Inland Transport Committee</w:t>
      </w:r>
    </w:p>
    <w:p w:rsidR="00EC106A" w:rsidRDefault="00EC106A" w:rsidP="00EC106A">
      <w:pPr>
        <w:spacing w:before="120" w:after="120"/>
        <w:rPr>
          <w:b/>
          <w:sz w:val="24"/>
          <w:szCs w:val="24"/>
        </w:rPr>
      </w:pPr>
      <w:r>
        <w:rPr>
          <w:b/>
          <w:sz w:val="24"/>
          <w:szCs w:val="24"/>
        </w:rPr>
        <w:t>Working Party on the Transport of Dangerous Goods</w:t>
      </w:r>
    </w:p>
    <w:p w:rsidR="009D2A5B" w:rsidRDefault="009D2A5B" w:rsidP="009D2A5B">
      <w:pPr>
        <w:rPr>
          <w:b/>
        </w:rPr>
      </w:pPr>
      <w:r>
        <w:rPr>
          <w:b/>
        </w:rPr>
        <w:t>Joint Meeting of the RID Committee of Experts and the</w:t>
      </w:r>
    </w:p>
    <w:p w:rsidR="009D2A5B" w:rsidRDefault="009D2A5B" w:rsidP="009D2A5B">
      <w:pPr>
        <w:rPr>
          <w:b/>
        </w:rPr>
      </w:pPr>
      <w:r>
        <w:rPr>
          <w:b/>
        </w:rPr>
        <w:t>Working Party on the Transport of Dangerous Goods</w:t>
      </w:r>
    </w:p>
    <w:p w:rsidR="009D2A5B" w:rsidRDefault="00BB7CD1" w:rsidP="00BB7CD1">
      <w:r>
        <w:t xml:space="preserve">Bern, </w:t>
      </w:r>
      <w:r w:rsidR="000D656A">
        <w:t>12</w:t>
      </w:r>
      <w:r>
        <w:t>–</w:t>
      </w:r>
      <w:r w:rsidR="000D656A">
        <w:t>16</w:t>
      </w:r>
      <w:r w:rsidR="00F66565">
        <w:t xml:space="preserve"> </w:t>
      </w:r>
      <w:r>
        <w:t>March 201</w:t>
      </w:r>
      <w:r w:rsidR="000D656A">
        <w:t>8</w:t>
      </w:r>
    </w:p>
    <w:p w:rsidR="00B175D8" w:rsidRDefault="00B175D8" w:rsidP="00B175D8">
      <w:r>
        <w:t xml:space="preserve">Item </w:t>
      </w:r>
      <w:r w:rsidR="000D656A">
        <w:t xml:space="preserve">5 </w:t>
      </w:r>
      <w:r w:rsidR="007817B7">
        <w:t>(</w:t>
      </w:r>
      <w:bookmarkStart w:id="0" w:name="_GoBack"/>
      <w:bookmarkEnd w:id="0"/>
      <w:r w:rsidR="000D656A">
        <w:t>a)</w:t>
      </w:r>
      <w:r>
        <w:t xml:space="preserve"> of the provisional agenda</w:t>
      </w:r>
    </w:p>
    <w:p w:rsidR="00BB7CD1" w:rsidRPr="000D656A" w:rsidRDefault="000D656A" w:rsidP="00B175D8">
      <w:pPr>
        <w:rPr>
          <w:b/>
        </w:rPr>
      </w:pPr>
      <w:r w:rsidRPr="000D656A">
        <w:rPr>
          <w:b/>
        </w:rPr>
        <w:t>Proposals for amendments to RID/ADR/</w:t>
      </w:r>
      <w:r>
        <w:rPr>
          <w:b/>
        </w:rPr>
        <w:t>ADN:</w:t>
      </w:r>
      <w:r>
        <w:rPr>
          <w:b/>
        </w:rPr>
        <w:br/>
        <w:t>pending issues</w:t>
      </w:r>
    </w:p>
    <w:p w:rsidR="004665BA" w:rsidRPr="007B6FA5" w:rsidRDefault="009B1518" w:rsidP="004665BA">
      <w:pPr>
        <w:pStyle w:val="HChG"/>
      </w:pPr>
      <w:r>
        <w:tab/>
      </w:r>
      <w:r>
        <w:tab/>
      </w:r>
      <w:r w:rsidR="004665BA">
        <w:t>Specifying the requirements for the protection of valves in 4.1.6.8</w:t>
      </w:r>
    </w:p>
    <w:p w:rsidR="00B175D8" w:rsidRPr="005124CC" w:rsidRDefault="00B175D8" w:rsidP="004665BA">
      <w:pPr>
        <w:pStyle w:val="H1G"/>
      </w:pPr>
      <w:r>
        <w:tab/>
      </w:r>
      <w:r>
        <w:tab/>
      </w:r>
      <w:r>
        <w:tab/>
      </w:r>
      <w:r w:rsidRPr="00A66E8A">
        <w:t xml:space="preserve">Transmitted by the </w:t>
      </w:r>
      <w:r>
        <w:t xml:space="preserve">Government of </w:t>
      </w:r>
      <w:r w:rsidR="00B42658">
        <w:t>Germany</w:t>
      </w:r>
      <w:r w:rsidR="00897362" w:rsidRPr="00897362">
        <w:rPr>
          <w:rStyle w:val="FootnoteReference"/>
          <w:sz w:val="20"/>
        </w:rPr>
        <w:footnoteReference w:customMarkFollows="1" w:id="2"/>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629"/>
      </w:tblGrid>
      <w:tr w:rsidR="000D656A" w:rsidTr="000D656A">
        <w:trPr>
          <w:jc w:val="center"/>
        </w:trPr>
        <w:tc>
          <w:tcPr>
            <w:tcW w:w="9629" w:type="dxa"/>
            <w:tcBorders>
              <w:top w:val="single" w:sz="4" w:space="0" w:color="auto"/>
              <w:left w:val="single" w:sz="4" w:space="0" w:color="auto"/>
              <w:bottom w:val="nil"/>
              <w:right w:val="single" w:sz="4" w:space="0" w:color="auto"/>
            </w:tcBorders>
            <w:hideMark/>
          </w:tcPr>
          <w:p w:rsidR="000D656A" w:rsidRDefault="00B175D8" w:rsidP="00AD7949">
            <w:pPr>
              <w:spacing w:before="240" w:after="120"/>
              <w:ind w:left="255"/>
              <w:rPr>
                <w:i/>
                <w:sz w:val="24"/>
              </w:rPr>
            </w:pPr>
            <w:r>
              <w:tab/>
            </w:r>
            <w:r w:rsidR="000D656A">
              <w:rPr>
                <w:i/>
                <w:sz w:val="24"/>
              </w:rPr>
              <w:t>Summary</w:t>
            </w:r>
          </w:p>
        </w:tc>
      </w:tr>
      <w:tr w:rsidR="000D656A" w:rsidRPr="002E6A3D" w:rsidTr="000D656A">
        <w:trPr>
          <w:jc w:val="center"/>
        </w:trPr>
        <w:tc>
          <w:tcPr>
            <w:tcW w:w="9629" w:type="dxa"/>
            <w:tcBorders>
              <w:top w:val="nil"/>
              <w:left w:val="single" w:sz="4" w:space="0" w:color="auto"/>
              <w:bottom w:val="nil"/>
              <w:right w:val="single" w:sz="4" w:space="0" w:color="auto"/>
            </w:tcBorders>
            <w:hideMark/>
          </w:tcPr>
          <w:p w:rsidR="000D656A" w:rsidRDefault="000D656A" w:rsidP="00AD7949">
            <w:pPr>
              <w:pStyle w:val="SingleTxtG"/>
              <w:tabs>
                <w:tab w:val="left" w:pos="3260"/>
              </w:tabs>
              <w:ind w:left="3260" w:hanging="2126"/>
            </w:pPr>
            <w:r>
              <w:rPr>
                <w:b/>
              </w:rPr>
              <w:t>Executive summary:</w:t>
            </w:r>
            <w:r>
              <w:tab/>
            </w:r>
            <w:r w:rsidR="004665BA">
              <w:rPr>
                <w:snapToGrid w:val="0"/>
              </w:rPr>
              <w:t>Specifying the requirements for the protection of valves</w:t>
            </w:r>
            <w:r>
              <w:rPr>
                <w:snapToGrid w:val="0"/>
              </w:rPr>
              <w:t>.</w:t>
            </w:r>
          </w:p>
        </w:tc>
      </w:tr>
      <w:tr w:rsidR="000D656A" w:rsidRPr="002E6A3D" w:rsidTr="004665BA">
        <w:trPr>
          <w:jc w:val="center"/>
        </w:trPr>
        <w:tc>
          <w:tcPr>
            <w:tcW w:w="9629" w:type="dxa"/>
            <w:tcBorders>
              <w:top w:val="nil"/>
              <w:left w:val="single" w:sz="4" w:space="0" w:color="auto"/>
              <w:bottom w:val="nil"/>
              <w:right w:val="single" w:sz="4" w:space="0" w:color="auto"/>
            </w:tcBorders>
          </w:tcPr>
          <w:p w:rsidR="000D656A" w:rsidRDefault="000D656A" w:rsidP="000D656A">
            <w:pPr>
              <w:pStyle w:val="SingleTxtG"/>
              <w:tabs>
                <w:tab w:val="left" w:pos="3260"/>
              </w:tabs>
              <w:ind w:left="3260" w:hanging="2126"/>
              <w:jc w:val="left"/>
            </w:pPr>
            <w:r>
              <w:rPr>
                <w:b/>
              </w:rPr>
              <w:t>Action to be taken:</w:t>
            </w:r>
            <w:r>
              <w:t xml:space="preserve"> </w:t>
            </w:r>
            <w:r>
              <w:tab/>
            </w:r>
            <w:r w:rsidR="004665BA">
              <w:rPr>
                <w:snapToGrid w:val="0"/>
              </w:rPr>
              <w:t>Addition to 4.1.6.8</w:t>
            </w:r>
            <w:r w:rsidR="00DD403E">
              <w:rPr>
                <w:snapToGrid w:val="0"/>
              </w:rPr>
              <w:t>.</w:t>
            </w:r>
          </w:p>
          <w:p w:rsidR="000D656A" w:rsidRPr="004665BA" w:rsidRDefault="004665BA" w:rsidP="00AD7949">
            <w:pPr>
              <w:pStyle w:val="SingleTxtG"/>
              <w:tabs>
                <w:tab w:val="left" w:pos="3260"/>
              </w:tabs>
              <w:ind w:left="3260" w:hanging="2126"/>
              <w:rPr>
                <w:b/>
              </w:rPr>
            </w:pPr>
            <w:r w:rsidRPr="004665BA">
              <w:rPr>
                <w:b/>
              </w:rPr>
              <w:t>Related documents:</w:t>
            </w:r>
            <w:r>
              <w:rPr>
                <w:b/>
              </w:rPr>
              <w:tab/>
            </w:r>
            <w:r w:rsidRPr="004665BA">
              <w:t>Informal document</w:t>
            </w:r>
            <w:r>
              <w:rPr>
                <w:b/>
              </w:rPr>
              <w:t xml:space="preserve"> </w:t>
            </w:r>
            <w:r>
              <w:rPr>
                <w:snapToGrid w:val="0"/>
              </w:rPr>
              <w:t xml:space="preserve">INF.33 </w:t>
            </w:r>
            <w:r w:rsidR="0003498C">
              <w:rPr>
                <w:snapToGrid w:val="0"/>
              </w:rPr>
              <w:t xml:space="preserve">of the September 2017 session </w:t>
            </w:r>
            <w:r>
              <w:rPr>
                <w:snapToGrid w:val="0"/>
              </w:rPr>
              <w:t>and ECE/TRANS/WP.15/AC.1/148, paragraph 71 (report of the Joint Meeting, Geneva, 19 to 29 September 2017).</w:t>
            </w:r>
          </w:p>
        </w:tc>
      </w:tr>
      <w:tr w:rsidR="004665BA" w:rsidRPr="002E6A3D" w:rsidTr="000D656A">
        <w:trPr>
          <w:jc w:val="center"/>
        </w:trPr>
        <w:tc>
          <w:tcPr>
            <w:tcW w:w="9629" w:type="dxa"/>
            <w:tcBorders>
              <w:top w:val="nil"/>
              <w:left w:val="single" w:sz="4" w:space="0" w:color="auto"/>
              <w:bottom w:val="single" w:sz="4" w:space="0" w:color="auto"/>
              <w:right w:val="single" w:sz="4" w:space="0" w:color="auto"/>
            </w:tcBorders>
          </w:tcPr>
          <w:p w:rsidR="004665BA" w:rsidRDefault="004665BA" w:rsidP="000D656A">
            <w:pPr>
              <w:pStyle w:val="SingleTxtG"/>
              <w:tabs>
                <w:tab w:val="left" w:pos="3260"/>
              </w:tabs>
              <w:ind w:left="3260" w:hanging="2126"/>
              <w:jc w:val="left"/>
              <w:rPr>
                <w:b/>
              </w:rPr>
            </w:pPr>
          </w:p>
        </w:tc>
      </w:tr>
    </w:tbl>
    <w:p w:rsidR="000D656A" w:rsidRPr="00C43663" w:rsidRDefault="000D656A" w:rsidP="000D656A">
      <w:pPr>
        <w:pStyle w:val="HChG"/>
        <w:rPr>
          <w:snapToGrid w:val="0"/>
        </w:rPr>
      </w:pPr>
      <w:r>
        <w:rPr>
          <w:snapToGrid w:val="0"/>
        </w:rPr>
        <w:tab/>
      </w:r>
      <w:r>
        <w:rPr>
          <w:snapToGrid w:val="0"/>
        </w:rPr>
        <w:tab/>
        <w:t>Introduction</w:t>
      </w:r>
    </w:p>
    <w:p w:rsidR="00697F42" w:rsidRDefault="00697F42" w:rsidP="00697F42">
      <w:pPr>
        <w:pStyle w:val="SingleTxtG"/>
      </w:pPr>
      <w:r>
        <w:t>1.</w:t>
      </w:r>
      <w:r>
        <w:tab/>
        <w:t>4.1.6.8 requires that valves be designed and constructed in such a way that they are inherently able to withstand damage without release of the contents or they must be protected from damage by one or more of the methods listed in (a) to (e).</w:t>
      </w:r>
    </w:p>
    <w:p w:rsidR="00697F42" w:rsidRDefault="00697F42" w:rsidP="00697F42">
      <w:pPr>
        <w:autoSpaceDE w:val="0"/>
        <w:autoSpaceDN w:val="0"/>
        <w:adjustRightInd w:val="0"/>
        <w:ind w:left="426"/>
      </w:pPr>
    </w:p>
    <w:p w:rsidR="00697F42" w:rsidRDefault="00697F42" w:rsidP="00697F42">
      <w:pPr>
        <w:pStyle w:val="SingleTxtG"/>
      </w:pPr>
      <w:r>
        <w:lastRenderedPageBreak/>
        <w:t>2.</w:t>
      </w:r>
      <w:r>
        <w:tab/>
        <w:t>In recent years, valves have been fitted with component parts that also remain on the valves during transport. Handling devices are an example of such components (mostly for gas cylinder valves with an integrated pressure regulator, VIPR) or adapter (e.g. for self-closing gas cylinder valves). These components are not designed or intended as protection for the valve in accordance with 4.1.6.8 (b) or (c).</w:t>
      </w:r>
    </w:p>
    <w:p w:rsidR="00697F42" w:rsidRDefault="00697F42" w:rsidP="00697F42">
      <w:pPr>
        <w:ind w:left="426" w:hanging="426"/>
      </w:pPr>
    </w:p>
    <w:p w:rsidR="00697F42" w:rsidRDefault="00697F42" w:rsidP="00697F42">
      <w:pPr>
        <w:ind w:left="426" w:hanging="426"/>
        <w:jc w:val="center"/>
      </w:pPr>
      <w:r>
        <w:rPr>
          <w:noProof/>
          <w:lang w:val="de-DE"/>
        </w:rPr>
        <w:drawing>
          <wp:inline distT="0" distB="0" distL="0" distR="0" wp14:anchorId="260553FC" wp14:editId="3573B33A">
            <wp:extent cx="3164400" cy="4136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400" cy="4136400"/>
                    </a:xfrm>
                    <a:prstGeom prst="rect">
                      <a:avLst/>
                    </a:prstGeom>
                    <a:noFill/>
                    <a:ln>
                      <a:noFill/>
                    </a:ln>
                  </pic:spPr>
                </pic:pic>
              </a:graphicData>
            </a:graphic>
          </wp:inline>
        </w:drawing>
      </w:r>
    </w:p>
    <w:p w:rsidR="00697F42" w:rsidRDefault="00697F42" w:rsidP="00697F42">
      <w:pPr>
        <w:ind w:left="426" w:hanging="426"/>
        <w:jc w:val="center"/>
      </w:pPr>
      <w:r>
        <w:t>Gas cylinder valve with handling device attached</w:t>
      </w:r>
    </w:p>
    <w:p w:rsidR="00697F42" w:rsidRDefault="00697F42" w:rsidP="00697F42">
      <w:pPr>
        <w:ind w:left="426" w:hanging="426"/>
        <w:jc w:val="center"/>
      </w:pPr>
    </w:p>
    <w:p w:rsidR="00697F42" w:rsidRDefault="00697F42" w:rsidP="00697F42">
      <w:pPr>
        <w:ind w:left="426" w:hanging="426"/>
        <w:jc w:val="center"/>
      </w:pPr>
      <w:r>
        <w:rPr>
          <w:noProof/>
          <w:lang w:val="de-DE"/>
        </w:rPr>
        <w:lastRenderedPageBreak/>
        <w:drawing>
          <wp:inline distT="0" distB="0" distL="0" distR="0" wp14:anchorId="32AF9941" wp14:editId="15971CA5">
            <wp:extent cx="2962800" cy="3459600"/>
            <wp:effectExtent l="0" t="0" r="9525" b="762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800" cy="3459600"/>
                    </a:xfrm>
                    <a:prstGeom prst="rect">
                      <a:avLst/>
                    </a:prstGeom>
                    <a:noFill/>
                    <a:ln>
                      <a:noFill/>
                    </a:ln>
                  </pic:spPr>
                </pic:pic>
              </a:graphicData>
            </a:graphic>
          </wp:inline>
        </w:drawing>
      </w:r>
    </w:p>
    <w:p w:rsidR="00697F42" w:rsidRDefault="00697F42" w:rsidP="00697F42">
      <w:pPr>
        <w:ind w:left="426" w:hanging="426"/>
        <w:jc w:val="center"/>
      </w:pPr>
      <w:r>
        <w:t>LPG gas cylinder valve with built-in filling and draw-off adapter</w:t>
      </w:r>
    </w:p>
    <w:p w:rsidR="00697F42" w:rsidRDefault="00697F42" w:rsidP="00697F42">
      <w:pPr>
        <w:ind w:left="426" w:hanging="426"/>
      </w:pPr>
    </w:p>
    <w:p w:rsidR="00697F42" w:rsidRDefault="00697F42" w:rsidP="00914590">
      <w:pPr>
        <w:pStyle w:val="SingleTxtG"/>
      </w:pPr>
      <w:r>
        <w:t>3.</w:t>
      </w:r>
      <w:r>
        <w:tab/>
        <w:t xml:space="preserve">Fitting components such as these to inherently stable valves </w:t>
      </w:r>
      <w:r>
        <w:rPr>
          <w:u w:val="single"/>
        </w:rPr>
        <w:t>might</w:t>
      </w:r>
      <w:r>
        <w:t xml:space="preserve"> have a detrimental effect on their inherent strength. In this respect, it must either be proved that a valve fitted with an additional component still retains its inherent strength, or one of the valve protection methods under 4.1.6.8 (a) to (e) must be used.</w:t>
      </w:r>
    </w:p>
    <w:p w:rsidR="00697F42" w:rsidRDefault="00697F42" w:rsidP="00914590">
      <w:pPr>
        <w:pStyle w:val="SingleTxtG"/>
      </w:pPr>
      <w:r>
        <w:t>4.</w:t>
      </w:r>
      <w:r>
        <w:tab/>
        <w:t xml:space="preserve">If such components are fitted to valves that are not inherently strong, and must therefore be provided with valve protection, it </w:t>
      </w:r>
      <w:r>
        <w:rPr>
          <w:u w:val="single"/>
        </w:rPr>
        <w:t>may</w:t>
      </w:r>
      <w:r>
        <w:t xml:space="preserve"> be that the valve protection originally provided for valves with an additional component is no longer sufficient. As a result, it must either be proved that the valve protection on valves fitted with an additional component is still suitable, or another suitable valve protection method under 4.1.6.8 (a) to (e) must be used.</w:t>
      </w:r>
    </w:p>
    <w:p w:rsidR="00697F42" w:rsidRPr="0005267C" w:rsidRDefault="00914590" w:rsidP="00914590">
      <w:pPr>
        <w:pStyle w:val="HChG"/>
      </w:pPr>
      <w:r>
        <w:tab/>
      </w:r>
      <w:r>
        <w:tab/>
      </w:r>
      <w:r w:rsidR="00697F42">
        <w:t>Proposal</w:t>
      </w:r>
    </w:p>
    <w:p w:rsidR="00697F42" w:rsidRDefault="00697F42" w:rsidP="00914590">
      <w:pPr>
        <w:pStyle w:val="SingleTxtG"/>
      </w:pPr>
      <w:r>
        <w:t>5.</w:t>
      </w:r>
      <w:r>
        <w:tab/>
        <w:t>It is proposed to add the following new paragraph to the end of 4.1.6.8:</w:t>
      </w:r>
    </w:p>
    <w:p w:rsidR="00697F42" w:rsidRDefault="00697F42" w:rsidP="00914590">
      <w:pPr>
        <w:pStyle w:val="SingleTxtG"/>
      </w:pPr>
      <w:r>
        <w:t>“If valves are fitted with other components which are to remain in place during transport (e.g. handling device or adapter), these shall be included in the assessment.”</w:t>
      </w:r>
    </w:p>
    <w:p w:rsidR="00697F42" w:rsidRDefault="00697F42" w:rsidP="00914590">
      <w:pPr>
        <w:pStyle w:val="SingleTxtG"/>
      </w:pPr>
      <w:r>
        <w:rPr>
          <w:b/>
        </w:rPr>
        <w:t>Justification</w:t>
      </w:r>
      <w:r>
        <w:t>: Clarification of the legal situation.</w:t>
      </w:r>
    </w:p>
    <w:p w:rsidR="000D656A" w:rsidRPr="000D656A" w:rsidRDefault="000D656A" w:rsidP="000D656A">
      <w:pPr>
        <w:pStyle w:val="SingleTxtG"/>
        <w:spacing w:before="240" w:after="0"/>
        <w:jc w:val="center"/>
        <w:rPr>
          <w:u w:val="single"/>
        </w:rPr>
      </w:pPr>
      <w:r>
        <w:rPr>
          <w:u w:val="single"/>
        </w:rPr>
        <w:tab/>
      </w:r>
      <w:r>
        <w:rPr>
          <w:u w:val="single"/>
        </w:rPr>
        <w:tab/>
      </w:r>
      <w:r>
        <w:rPr>
          <w:u w:val="single"/>
        </w:rPr>
        <w:tab/>
      </w:r>
    </w:p>
    <w:sectPr w:rsidR="000D656A" w:rsidRPr="000D656A" w:rsidSect="009D2A5B">
      <w:headerReference w:type="even" r:id="rId11"/>
      <w:headerReference w:type="default" r:id="rId12"/>
      <w:footerReference w:type="even" r:id="rId13"/>
      <w:footerReference w:type="default" r:id="rId14"/>
      <w:endnotePr>
        <w:numFmt w:val="decimal"/>
      </w:endnotePr>
      <w:type w:val="continuous"/>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220" w:rsidRDefault="00FF4220"/>
  </w:endnote>
  <w:endnote w:type="continuationSeparator" w:id="0">
    <w:p w:rsidR="00FF4220" w:rsidRDefault="00FF4220"/>
  </w:endnote>
  <w:endnote w:type="continuationNotice" w:id="1">
    <w:p w:rsidR="00FF4220" w:rsidRDefault="00FF4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9BD" w:rsidRPr="009D2A5B" w:rsidRDefault="00441896" w:rsidP="009D2A5B">
    <w:pPr>
      <w:pStyle w:val="Footer"/>
      <w:tabs>
        <w:tab w:val="right" w:pos="9598"/>
      </w:tabs>
    </w:pPr>
    <w:r w:rsidRPr="009D2A5B">
      <w:rPr>
        <w:b/>
        <w:sz w:val="18"/>
      </w:rPr>
      <w:fldChar w:fldCharType="begin"/>
    </w:r>
    <w:r w:rsidR="00DD29BD" w:rsidRPr="009D2A5B">
      <w:rPr>
        <w:b/>
        <w:sz w:val="18"/>
      </w:rPr>
      <w:instrText xml:space="preserve"> PAGE  \* MERGEFORMAT </w:instrText>
    </w:r>
    <w:r w:rsidRPr="009D2A5B">
      <w:rPr>
        <w:b/>
        <w:sz w:val="18"/>
      </w:rPr>
      <w:fldChar w:fldCharType="separate"/>
    </w:r>
    <w:r w:rsidR="007817B7">
      <w:rPr>
        <w:b/>
        <w:noProof/>
        <w:sz w:val="18"/>
      </w:rPr>
      <w:t>2</w:t>
    </w:r>
    <w:r w:rsidRPr="009D2A5B">
      <w:rPr>
        <w:b/>
        <w:sz w:val="18"/>
      </w:rPr>
      <w:fldChar w:fldCharType="end"/>
    </w:r>
    <w:r w:rsidR="00DD29BD">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9BD" w:rsidRPr="009D2A5B" w:rsidRDefault="00DD29BD" w:rsidP="009D2A5B">
    <w:pPr>
      <w:pStyle w:val="Footer"/>
      <w:tabs>
        <w:tab w:val="right" w:pos="9598"/>
      </w:tabs>
      <w:rPr>
        <w:b/>
        <w:sz w:val="18"/>
      </w:rPr>
    </w:pPr>
    <w:r>
      <w:tab/>
    </w:r>
    <w:r w:rsidR="00441896" w:rsidRPr="009D2A5B">
      <w:rPr>
        <w:b/>
        <w:sz w:val="18"/>
      </w:rPr>
      <w:fldChar w:fldCharType="begin"/>
    </w:r>
    <w:r w:rsidRPr="009D2A5B">
      <w:rPr>
        <w:b/>
        <w:sz w:val="18"/>
      </w:rPr>
      <w:instrText xml:space="preserve"> PAGE  \* MERGEFORMAT </w:instrText>
    </w:r>
    <w:r w:rsidR="00441896" w:rsidRPr="009D2A5B">
      <w:rPr>
        <w:b/>
        <w:sz w:val="18"/>
      </w:rPr>
      <w:fldChar w:fldCharType="separate"/>
    </w:r>
    <w:r w:rsidR="007817B7">
      <w:rPr>
        <w:b/>
        <w:noProof/>
        <w:sz w:val="18"/>
      </w:rPr>
      <w:t>3</w:t>
    </w:r>
    <w:r w:rsidR="00441896" w:rsidRPr="009D2A5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220" w:rsidRPr="000B175B" w:rsidRDefault="00FF4220" w:rsidP="000B175B">
      <w:pPr>
        <w:tabs>
          <w:tab w:val="right" w:pos="2155"/>
        </w:tabs>
        <w:spacing w:after="80"/>
        <w:ind w:left="680"/>
        <w:rPr>
          <w:u w:val="single"/>
        </w:rPr>
      </w:pPr>
      <w:r>
        <w:rPr>
          <w:u w:val="single"/>
        </w:rPr>
        <w:tab/>
      </w:r>
    </w:p>
  </w:footnote>
  <w:footnote w:type="continuationSeparator" w:id="0">
    <w:p w:rsidR="00FF4220" w:rsidRPr="00FC68B7" w:rsidRDefault="00FF4220" w:rsidP="00FC68B7">
      <w:pPr>
        <w:tabs>
          <w:tab w:val="left" w:pos="2155"/>
        </w:tabs>
        <w:spacing w:after="80"/>
        <w:ind w:left="680"/>
        <w:rPr>
          <w:u w:val="single"/>
        </w:rPr>
      </w:pPr>
      <w:r>
        <w:rPr>
          <w:u w:val="single"/>
        </w:rPr>
        <w:tab/>
      </w:r>
    </w:p>
  </w:footnote>
  <w:footnote w:type="continuationNotice" w:id="1">
    <w:p w:rsidR="00FF4220" w:rsidRDefault="00FF4220"/>
  </w:footnote>
  <w:footnote w:id="2">
    <w:p w:rsidR="00897362" w:rsidRPr="00897362" w:rsidRDefault="001F1D57" w:rsidP="001F1D57">
      <w:pPr>
        <w:pStyle w:val="FootnoteText"/>
        <w:rPr>
          <w:lang w:val="fr-CH"/>
        </w:rPr>
      </w:pPr>
      <w:r>
        <w:rPr>
          <w:sz w:val="20"/>
        </w:rPr>
        <w:tab/>
      </w:r>
      <w:r w:rsidR="00897362" w:rsidRPr="00897362">
        <w:rPr>
          <w:rStyle w:val="FootnoteReference"/>
          <w:sz w:val="20"/>
        </w:rPr>
        <w:t>*</w:t>
      </w:r>
      <w:r w:rsidR="00897362">
        <w:t xml:space="preserve"> </w:t>
      </w:r>
      <w:r w:rsidR="00897362">
        <w:tab/>
      </w:r>
      <w:r w:rsidR="00237D1C">
        <w:rPr>
          <w:color w:val="000000"/>
          <w:lang w:val="en-US" w:eastAsia="en-GB"/>
        </w:rPr>
        <w:t xml:space="preserve">In accordance with the draft </w:t>
      </w:r>
      <w:proofErr w:type="spellStart"/>
      <w:r w:rsidR="00237D1C">
        <w:rPr>
          <w:color w:val="000000"/>
          <w:lang w:val="en-US" w:eastAsia="en-GB"/>
        </w:rPr>
        <w:t>programme</w:t>
      </w:r>
      <w:proofErr w:type="spellEnd"/>
      <w:r w:rsidR="00237D1C">
        <w:rPr>
          <w:color w:val="000000"/>
          <w:lang w:val="en-US" w:eastAsia="en-GB"/>
        </w:rPr>
        <w:t xml:space="preserve"> of work of the Inland Transport Committee for 2018-2019, (ECE/TRANS/WP.15/237, annex V, (9.2)).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9BD" w:rsidRPr="009D2A5B" w:rsidRDefault="00DD29BD" w:rsidP="009D2A5B">
    <w:pPr>
      <w:pStyle w:val="Header"/>
    </w:pPr>
    <w:r w:rsidRPr="009D2A5B">
      <w:t>ECE/TRANS/WP.15/AC.1/201</w:t>
    </w:r>
    <w:r w:rsidR="000D656A">
      <w:t>8</w:t>
    </w:r>
    <w:r w:rsidRPr="009D2A5B">
      <w:t>/</w:t>
    </w:r>
    <w:r w:rsidR="004665BA">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9BD" w:rsidRPr="009D2A5B" w:rsidRDefault="00DD29BD" w:rsidP="009D2A5B">
    <w:pPr>
      <w:pStyle w:val="Header"/>
      <w:jc w:val="right"/>
    </w:pPr>
    <w:r w:rsidRPr="009D2A5B">
      <w:t>ECE/TRANS/WP.15/AC.1/201</w:t>
    </w:r>
    <w:r w:rsidR="00914590">
      <w:t>8</w:t>
    </w:r>
    <w:r w:rsidRPr="009D2A5B">
      <w:t>/</w:t>
    </w:r>
    <w:r w:rsidR="00914590">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DE2E2D"/>
    <w:multiLevelType w:val="hybridMultilevel"/>
    <w:tmpl w:val="2E7A7832"/>
    <w:lvl w:ilvl="0" w:tplc="B58A0C70">
      <w:start w:val="2"/>
      <w:numFmt w:val="bullet"/>
      <w:lvlText w:val="•"/>
      <w:lvlJc w:val="left"/>
      <w:pPr>
        <w:ind w:left="786" w:hanging="360"/>
      </w:pPr>
      <w:rPr>
        <w:rFonts w:ascii="Arial" w:eastAsia="Times New Roman" w:hAnsi="Arial" w:cs="Arial" w:hint="default"/>
      </w:rPr>
    </w:lvl>
    <w:lvl w:ilvl="1" w:tplc="7BC6D20E" w:tentative="1">
      <w:start w:val="1"/>
      <w:numFmt w:val="bullet"/>
      <w:lvlText w:val="o"/>
      <w:lvlJc w:val="left"/>
      <w:pPr>
        <w:ind w:left="1506" w:hanging="360"/>
      </w:pPr>
      <w:rPr>
        <w:rFonts w:ascii="Courier New" w:hAnsi="Courier New" w:cs="Courier New" w:hint="default"/>
      </w:rPr>
    </w:lvl>
    <w:lvl w:ilvl="2" w:tplc="0C18600E" w:tentative="1">
      <w:start w:val="1"/>
      <w:numFmt w:val="bullet"/>
      <w:lvlText w:val=""/>
      <w:lvlJc w:val="left"/>
      <w:pPr>
        <w:ind w:left="2226" w:hanging="360"/>
      </w:pPr>
      <w:rPr>
        <w:rFonts w:ascii="Wingdings" w:hAnsi="Wingdings" w:hint="default"/>
      </w:rPr>
    </w:lvl>
    <w:lvl w:ilvl="3" w:tplc="66E4D2DC" w:tentative="1">
      <w:start w:val="1"/>
      <w:numFmt w:val="bullet"/>
      <w:lvlText w:val=""/>
      <w:lvlJc w:val="left"/>
      <w:pPr>
        <w:ind w:left="2946" w:hanging="360"/>
      </w:pPr>
      <w:rPr>
        <w:rFonts w:ascii="Symbol" w:hAnsi="Symbol" w:hint="default"/>
      </w:rPr>
    </w:lvl>
    <w:lvl w:ilvl="4" w:tplc="C6229E3C" w:tentative="1">
      <w:start w:val="1"/>
      <w:numFmt w:val="bullet"/>
      <w:lvlText w:val="o"/>
      <w:lvlJc w:val="left"/>
      <w:pPr>
        <w:ind w:left="3666" w:hanging="360"/>
      </w:pPr>
      <w:rPr>
        <w:rFonts w:ascii="Courier New" w:hAnsi="Courier New" w:cs="Courier New" w:hint="default"/>
      </w:rPr>
    </w:lvl>
    <w:lvl w:ilvl="5" w:tplc="CCAEC820" w:tentative="1">
      <w:start w:val="1"/>
      <w:numFmt w:val="bullet"/>
      <w:lvlText w:val=""/>
      <w:lvlJc w:val="left"/>
      <w:pPr>
        <w:ind w:left="4386" w:hanging="360"/>
      </w:pPr>
      <w:rPr>
        <w:rFonts w:ascii="Wingdings" w:hAnsi="Wingdings" w:hint="default"/>
      </w:rPr>
    </w:lvl>
    <w:lvl w:ilvl="6" w:tplc="F05483B2" w:tentative="1">
      <w:start w:val="1"/>
      <w:numFmt w:val="bullet"/>
      <w:lvlText w:val=""/>
      <w:lvlJc w:val="left"/>
      <w:pPr>
        <w:ind w:left="5106" w:hanging="360"/>
      </w:pPr>
      <w:rPr>
        <w:rFonts w:ascii="Symbol" w:hAnsi="Symbol" w:hint="default"/>
      </w:rPr>
    </w:lvl>
    <w:lvl w:ilvl="7" w:tplc="C6D2FFC2" w:tentative="1">
      <w:start w:val="1"/>
      <w:numFmt w:val="bullet"/>
      <w:lvlText w:val="o"/>
      <w:lvlJc w:val="left"/>
      <w:pPr>
        <w:ind w:left="5826" w:hanging="360"/>
      </w:pPr>
      <w:rPr>
        <w:rFonts w:ascii="Courier New" w:hAnsi="Courier New" w:cs="Courier New" w:hint="default"/>
      </w:rPr>
    </w:lvl>
    <w:lvl w:ilvl="8" w:tplc="7C3C9064" w:tentative="1">
      <w:start w:val="1"/>
      <w:numFmt w:val="bullet"/>
      <w:lvlText w:val=""/>
      <w:lvlJc w:val="left"/>
      <w:pPr>
        <w:ind w:left="6546" w:hanging="360"/>
      </w:pPr>
      <w:rPr>
        <w:rFonts w:ascii="Wingdings" w:hAnsi="Wingdings" w:hint="default"/>
      </w:rPr>
    </w:lvl>
  </w:abstractNum>
  <w:abstractNum w:abstractNumId="1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0"/>
  </w:num>
  <w:num w:numId="14">
    <w:abstractNumId w:val="16"/>
  </w:num>
  <w:num w:numId="15">
    <w:abstractNumId w:val="12"/>
  </w:num>
  <w:num w:numId="16">
    <w:abstractNumId w:val="11"/>
  </w:num>
  <w:num w:numId="1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96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51"/>
    <w:rsid w:val="0003498C"/>
    <w:rsid w:val="00034A36"/>
    <w:rsid w:val="00037F90"/>
    <w:rsid w:val="00046B1F"/>
    <w:rsid w:val="00050F6B"/>
    <w:rsid w:val="0005583C"/>
    <w:rsid w:val="00057E97"/>
    <w:rsid w:val="00072C8C"/>
    <w:rsid w:val="000733B5"/>
    <w:rsid w:val="00080491"/>
    <w:rsid w:val="00081815"/>
    <w:rsid w:val="000931C0"/>
    <w:rsid w:val="000B0595"/>
    <w:rsid w:val="000B1333"/>
    <w:rsid w:val="000B175B"/>
    <w:rsid w:val="000B3A0F"/>
    <w:rsid w:val="000B4EF7"/>
    <w:rsid w:val="000C2C03"/>
    <w:rsid w:val="000C2D2E"/>
    <w:rsid w:val="000C4D51"/>
    <w:rsid w:val="000D656A"/>
    <w:rsid w:val="000E0415"/>
    <w:rsid w:val="001103AA"/>
    <w:rsid w:val="0011666B"/>
    <w:rsid w:val="00155068"/>
    <w:rsid w:val="00165F3A"/>
    <w:rsid w:val="001B13A5"/>
    <w:rsid w:val="001B4B04"/>
    <w:rsid w:val="001C6663"/>
    <w:rsid w:val="001C7895"/>
    <w:rsid w:val="001D0C8C"/>
    <w:rsid w:val="001D1419"/>
    <w:rsid w:val="001D26DF"/>
    <w:rsid w:val="001D3A03"/>
    <w:rsid w:val="001D7F46"/>
    <w:rsid w:val="001E0B9E"/>
    <w:rsid w:val="001E7B67"/>
    <w:rsid w:val="001F1D57"/>
    <w:rsid w:val="001F7435"/>
    <w:rsid w:val="00202DA8"/>
    <w:rsid w:val="0021157B"/>
    <w:rsid w:val="00211E0B"/>
    <w:rsid w:val="00237D1C"/>
    <w:rsid w:val="00267F5F"/>
    <w:rsid w:val="00277C12"/>
    <w:rsid w:val="00286B4D"/>
    <w:rsid w:val="002A603B"/>
    <w:rsid w:val="002D4643"/>
    <w:rsid w:val="002D4B6C"/>
    <w:rsid w:val="002F175C"/>
    <w:rsid w:val="00302E18"/>
    <w:rsid w:val="003229D8"/>
    <w:rsid w:val="00352709"/>
    <w:rsid w:val="00371178"/>
    <w:rsid w:val="00381475"/>
    <w:rsid w:val="003A6810"/>
    <w:rsid w:val="003C2CC4"/>
    <w:rsid w:val="003D4B23"/>
    <w:rsid w:val="004059B4"/>
    <w:rsid w:val="00410C89"/>
    <w:rsid w:val="00422E03"/>
    <w:rsid w:val="00426B9B"/>
    <w:rsid w:val="004325CB"/>
    <w:rsid w:val="00441896"/>
    <w:rsid w:val="00442A83"/>
    <w:rsid w:val="00443AB5"/>
    <w:rsid w:val="0045495B"/>
    <w:rsid w:val="004665BA"/>
    <w:rsid w:val="0048397A"/>
    <w:rsid w:val="004A12F2"/>
    <w:rsid w:val="004C2461"/>
    <w:rsid w:val="004C7462"/>
    <w:rsid w:val="004D4E04"/>
    <w:rsid w:val="004D5426"/>
    <w:rsid w:val="004E0C05"/>
    <w:rsid w:val="004E77B2"/>
    <w:rsid w:val="00503DEB"/>
    <w:rsid w:val="00504B2D"/>
    <w:rsid w:val="00511A9B"/>
    <w:rsid w:val="0052136D"/>
    <w:rsid w:val="00522B58"/>
    <w:rsid w:val="0052775E"/>
    <w:rsid w:val="00535C90"/>
    <w:rsid w:val="005420F2"/>
    <w:rsid w:val="00545927"/>
    <w:rsid w:val="00546993"/>
    <w:rsid w:val="005628B6"/>
    <w:rsid w:val="00597EDC"/>
    <w:rsid w:val="005A575C"/>
    <w:rsid w:val="005B3DB3"/>
    <w:rsid w:val="005B4E13"/>
    <w:rsid w:val="005E6A77"/>
    <w:rsid w:val="005F7B75"/>
    <w:rsid w:val="006001EE"/>
    <w:rsid w:val="00605042"/>
    <w:rsid w:val="00611FC4"/>
    <w:rsid w:val="006176FB"/>
    <w:rsid w:val="00640B26"/>
    <w:rsid w:val="00652D0A"/>
    <w:rsid w:val="006623D5"/>
    <w:rsid w:val="00662BB6"/>
    <w:rsid w:val="00667F8F"/>
    <w:rsid w:val="00684C21"/>
    <w:rsid w:val="0069232B"/>
    <w:rsid w:val="00697F42"/>
    <w:rsid w:val="006A2530"/>
    <w:rsid w:val="006C3589"/>
    <w:rsid w:val="006D37AF"/>
    <w:rsid w:val="006D51D0"/>
    <w:rsid w:val="006D5DA3"/>
    <w:rsid w:val="006D66D0"/>
    <w:rsid w:val="006E5117"/>
    <w:rsid w:val="006E564B"/>
    <w:rsid w:val="006E7191"/>
    <w:rsid w:val="00703577"/>
    <w:rsid w:val="00705894"/>
    <w:rsid w:val="00714C9C"/>
    <w:rsid w:val="0072632A"/>
    <w:rsid w:val="00731FF0"/>
    <w:rsid w:val="007327D5"/>
    <w:rsid w:val="007404D2"/>
    <w:rsid w:val="007611CF"/>
    <w:rsid w:val="007629C8"/>
    <w:rsid w:val="0077047D"/>
    <w:rsid w:val="007817B7"/>
    <w:rsid w:val="007B6BA5"/>
    <w:rsid w:val="007C3390"/>
    <w:rsid w:val="007C4F4B"/>
    <w:rsid w:val="007D46D5"/>
    <w:rsid w:val="007E01E9"/>
    <w:rsid w:val="007E63F3"/>
    <w:rsid w:val="007F6611"/>
    <w:rsid w:val="007F7106"/>
    <w:rsid w:val="00811920"/>
    <w:rsid w:val="00815AD0"/>
    <w:rsid w:val="008242D7"/>
    <w:rsid w:val="008257B1"/>
    <w:rsid w:val="00843767"/>
    <w:rsid w:val="008521A5"/>
    <w:rsid w:val="008679D9"/>
    <w:rsid w:val="00871389"/>
    <w:rsid w:val="00874CB6"/>
    <w:rsid w:val="00883999"/>
    <w:rsid w:val="008878DE"/>
    <w:rsid w:val="00897362"/>
    <w:rsid w:val="008979B1"/>
    <w:rsid w:val="008A6B25"/>
    <w:rsid w:val="008A6C4F"/>
    <w:rsid w:val="008B2335"/>
    <w:rsid w:val="008B717B"/>
    <w:rsid w:val="008E0678"/>
    <w:rsid w:val="00901B81"/>
    <w:rsid w:val="00914590"/>
    <w:rsid w:val="0092212D"/>
    <w:rsid w:val="009223CA"/>
    <w:rsid w:val="00940F93"/>
    <w:rsid w:val="0094558F"/>
    <w:rsid w:val="00961690"/>
    <w:rsid w:val="009760F3"/>
    <w:rsid w:val="009A0E8D"/>
    <w:rsid w:val="009B1518"/>
    <w:rsid w:val="009B26E7"/>
    <w:rsid w:val="009B6669"/>
    <w:rsid w:val="009C3EED"/>
    <w:rsid w:val="009C454F"/>
    <w:rsid w:val="009D2A5B"/>
    <w:rsid w:val="00A00A3F"/>
    <w:rsid w:val="00A01489"/>
    <w:rsid w:val="00A3009E"/>
    <w:rsid w:val="00A3026E"/>
    <w:rsid w:val="00A338F1"/>
    <w:rsid w:val="00A72F22"/>
    <w:rsid w:val="00A7360F"/>
    <w:rsid w:val="00A748A6"/>
    <w:rsid w:val="00A769F4"/>
    <w:rsid w:val="00A776B4"/>
    <w:rsid w:val="00A81407"/>
    <w:rsid w:val="00A9093D"/>
    <w:rsid w:val="00A94361"/>
    <w:rsid w:val="00AA293C"/>
    <w:rsid w:val="00AE08DA"/>
    <w:rsid w:val="00AF3993"/>
    <w:rsid w:val="00B11BB4"/>
    <w:rsid w:val="00B175D8"/>
    <w:rsid w:val="00B22BC2"/>
    <w:rsid w:val="00B30179"/>
    <w:rsid w:val="00B421C1"/>
    <w:rsid w:val="00B42658"/>
    <w:rsid w:val="00B55C71"/>
    <w:rsid w:val="00B56E4A"/>
    <w:rsid w:val="00B56E9C"/>
    <w:rsid w:val="00B61320"/>
    <w:rsid w:val="00B64B1F"/>
    <w:rsid w:val="00B6553F"/>
    <w:rsid w:val="00B70F1E"/>
    <w:rsid w:val="00B77D05"/>
    <w:rsid w:val="00B81206"/>
    <w:rsid w:val="00B81E12"/>
    <w:rsid w:val="00B857E8"/>
    <w:rsid w:val="00BB7CD1"/>
    <w:rsid w:val="00BC3FA0"/>
    <w:rsid w:val="00BC74E9"/>
    <w:rsid w:val="00BF68A8"/>
    <w:rsid w:val="00C10FE6"/>
    <w:rsid w:val="00C11A03"/>
    <w:rsid w:val="00C22C0C"/>
    <w:rsid w:val="00C255AF"/>
    <w:rsid w:val="00C30C61"/>
    <w:rsid w:val="00C35502"/>
    <w:rsid w:val="00C40B11"/>
    <w:rsid w:val="00C4527F"/>
    <w:rsid w:val="00C463DD"/>
    <w:rsid w:val="00C4724C"/>
    <w:rsid w:val="00C629A0"/>
    <w:rsid w:val="00C64629"/>
    <w:rsid w:val="00C745C3"/>
    <w:rsid w:val="00C76F8B"/>
    <w:rsid w:val="00C92461"/>
    <w:rsid w:val="00CB3E03"/>
    <w:rsid w:val="00CE4A8F"/>
    <w:rsid w:val="00D2031B"/>
    <w:rsid w:val="00D25FE2"/>
    <w:rsid w:val="00D43252"/>
    <w:rsid w:val="00D47EEA"/>
    <w:rsid w:val="00D550D4"/>
    <w:rsid w:val="00D773DF"/>
    <w:rsid w:val="00D872AC"/>
    <w:rsid w:val="00D9255F"/>
    <w:rsid w:val="00D95303"/>
    <w:rsid w:val="00D978C6"/>
    <w:rsid w:val="00DA3C1C"/>
    <w:rsid w:val="00DD29BD"/>
    <w:rsid w:val="00DD403E"/>
    <w:rsid w:val="00DF0F1A"/>
    <w:rsid w:val="00E046DF"/>
    <w:rsid w:val="00E15557"/>
    <w:rsid w:val="00E240D2"/>
    <w:rsid w:val="00E27346"/>
    <w:rsid w:val="00E64DB6"/>
    <w:rsid w:val="00E71610"/>
    <w:rsid w:val="00E71BC8"/>
    <w:rsid w:val="00E7260F"/>
    <w:rsid w:val="00E73F5D"/>
    <w:rsid w:val="00E77E4E"/>
    <w:rsid w:val="00E96630"/>
    <w:rsid w:val="00EC106A"/>
    <w:rsid w:val="00EC1E8A"/>
    <w:rsid w:val="00ED7A2A"/>
    <w:rsid w:val="00EE6B3A"/>
    <w:rsid w:val="00EF1D7F"/>
    <w:rsid w:val="00F31E5F"/>
    <w:rsid w:val="00F32BB7"/>
    <w:rsid w:val="00F47EDC"/>
    <w:rsid w:val="00F6100A"/>
    <w:rsid w:val="00F63C9D"/>
    <w:rsid w:val="00F66565"/>
    <w:rsid w:val="00F75A16"/>
    <w:rsid w:val="00F92A22"/>
    <w:rsid w:val="00F93781"/>
    <w:rsid w:val="00FB613B"/>
    <w:rsid w:val="00FC68B7"/>
    <w:rsid w:val="00FE106A"/>
    <w:rsid w:val="00FF145D"/>
    <w:rsid w:val="00FF4220"/>
    <w:rsid w:val="00FF7D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09758120"/>
  <w15:docId w15:val="{8CC7C582-0B22-468A-8F8F-3B43744B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6E9C"/>
    <w:pPr>
      <w:suppressAutoHyphens/>
      <w:spacing w:line="240" w:lineRule="atLeast"/>
    </w:pPr>
    <w:rPr>
      <w:lang w:eastAsia="en-US"/>
    </w:rPr>
  </w:style>
  <w:style w:type="paragraph" w:styleId="Heading1">
    <w:name w:val="heading 1"/>
    <w:aliases w:val="Table_G"/>
    <w:basedOn w:val="SingleTxtG"/>
    <w:next w:val="SingleTxtG"/>
    <w:qFormat/>
    <w:rsid w:val="00ED7A2A"/>
    <w:pPr>
      <w:spacing w:after="0" w:line="240" w:lineRule="auto"/>
      <w:ind w:right="0"/>
      <w:jc w:val="left"/>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link w:val="SingleTxtGChar"/>
    <w:qFormat/>
    <w:pPr>
      <w:spacing w:after="120"/>
      <w:ind w:left="1134" w:right="1134"/>
      <w:jc w:val="both"/>
    </w:pPr>
  </w:style>
  <w:style w:type="character" w:styleId="PageNumber">
    <w:name w:val="page number"/>
    <w:aliases w:val="7_G"/>
    <w:rsid w:val="008979B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
    <w:rsid w:val="007B6BA5"/>
    <w:rPr>
      <w:rFonts w:ascii="Times New Roman" w:hAnsi="Times New Roman"/>
      <w:sz w:val="18"/>
      <w:vertAlign w:val="superscript"/>
    </w:rPr>
  </w:style>
  <w:style w:type="paragraph" w:styleId="FootnoteText">
    <w:name w:val="footnote text"/>
    <w:aliases w:val="5_G"/>
    <w:basedOn w:val="Normal"/>
    <w:link w:val="FootnoteTextChar"/>
    <w:rsid w:val="0052775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1"/>
      </w:numPr>
      <w:spacing w:after="120"/>
      <w:ind w:right="1134"/>
      <w:jc w:val="both"/>
    </w:pPr>
  </w:style>
  <w:style w:type="paragraph" w:styleId="EndnoteText">
    <w:name w:val="endnote text"/>
    <w:aliases w:val="2_G"/>
    <w:basedOn w:val="FootnoteText"/>
    <w:rsid w:val="007B6BA5"/>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3C2CC4"/>
    <w:pPr>
      <w:numPr>
        <w:numId w:val="12"/>
      </w:numPr>
      <w:spacing w:after="120"/>
      <w:ind w:right="1134"/>
      <w:jc w:val="both"/>
    </w:pPr>
  </w:style>
  <w:style w:type="paragraph" w:customStyle="1" w:styleId="H1G">
    <w:name w:val="_ H_1_G"/>
    <w:basedOn w:val="Normal"/>
    <w:next w:val="Normal"/>
    <w:link w:val="H1GChar"/>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8878DE"/>
    <w:pPr>
      <w:spacing w:line="240" w:lineRule="auto"/>
    </w:pPr>
    <w:rPr>
      <w:sz w:val="16"/>
    </w:rPr>
  </w:style>
  <w:style w:type="paragraph" w:styleId="Header">
    <w:name w:val="header"/>
    <w:aliases w:val="6_G"/>
    <w:basedOn w:val="Normal"/>
    <w:link w:val="HeaderChar"/>
    <w:uiPriority w:val="99"/>
    <w:rsid w:val="00050F6B"/>
    <w:pPr>
      <w:pBdr>
        <w:bottom w:val="single" w:sz="4" w:space="4" w:color="auto"/>
      </w:pBdr>
      <w:spacing w:line="240" w:lineRule="auto"/>
    </w:pPr>
    <w:rPr>
      <w:b/>
      <w:sz w:val="18"/>
    </w:rPr>
  </w:style>
  <w:style w:type="character" w:customStyle="1" w:styleId="H1GChar">
    <w:name w:val="_ H_1_G Char"/>
    <w:link w:val="H1G"/>
    <w:rsid w:val="001F7435"/>
    <w:rPr>
      <w:b/>
      <w:sz w:val="24"/>
      <w:lang w:val="en-GB" w:eastAsia="en-US" w:bidi="ar-SA"/>
    </w:rPr>
  </w:style>
  <w:style w:type="paragraph" w:styleId="BalloonText">
    <w:name w:val="Balloon Text"/>
    <w:basedOn w:val="Normal"/>
    <w:link w:val="BalloonTextChar"/>
    <w:rsid w:val="00D550D4"/>
    <w:pPr>
      <w:spacing w:line="240" w:lineRule="auto"/>
    </w:pPr>
    <w:rPr>
      <w:rFonts w:ascii="Tahoma" w:hAnsi="Tahoma" w:cs="Tahoma"/>
      <w:sz w:val="16"/>
      <w:szCs w:val="16"/>
    </w:rPr>
  </w:style>
  <w:style w:type="character" w:customStyle="1" w:styleId="BalloonTextChar">
    <w:name w:val="Balloon Text Char"/>
    <w:link w:val="BalloonText"/>
    <w:rsid w:val="00D550D4"/>
    <w:rPr>
      <w:rFonts w:ascii="Tahoma" w:hAnsi="Tahoma" w:cs="Tahoma"/>
      <w:sz w:val="16"/>
      <w:szCs w:val="16"/>
      <w:lang w:eastAsia="en-US"/>
    </w:rPr>
  </w:style>
  <w:style w:type="character" w:customStyle="1" w:styleId="FootnoteTextChar">
    <w:name w:val="Footnote Text Char"/>
    <w:aliases w:val="5_G Char"/>
    <w:link w:val="FootnoteText"/>
    <w:rsid w:val="001D7F46"/>
    <w:rPr>
      <w:sz w:val="18"/>
      <w:lang w:eastAsia="en-US"/>
    </w:rPr>
  </w:style>
  <w:style w:type="character" w:customStyle="1" w:styleId="HChGChar">
    <w:name w:val="_ H _Ch_G Char"/>
    <w:link w:val="HChG"/>
    <w:rsid w:val="00B175D8"/>
    <w:rPr>
      <w:b/>
      <w:sz w:val="28"/>
      <w:lang w:eastAsia="en-US"/>
    </w:rPr>
  </w:style>
  <w:style w:type="character" w:customStyle="1" w:styleId="SingleTxtGChar">
    <w:name w:val="_ Single Txt_G Char"/>
    <w:link w:val="SingleTxtG"/>
    <w:rsid w:val="00B175D8"/>
    <w:rPr>
      <w:lang w:eastAsia="en-US"/>
    </w:rPr>
  </w:style>
  <w:style w:type="character" w:customStyle="1" w:styleId="HeaderChar">
    <w:name w:val="Header Char"/>
    <w:aliases w:val="6_G Char"/>
    <w:basedOn w:val="DefaultParagraphFont"/>
    <w:link w:val="Header"/>
    <w:uiPriority w:val="99"/>
    <w:rsid w:val="00B42658"/>
    <w:rPr>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94B16-9F85-4C69-B56B-A8B63AD9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435</Words>
  <Characters>2351</Characters>
  <Application>Microsoft Office Word</Application>
  <DocSecurity>0</DocSecurity>
  <Lines>52</Lines>
  <Paragraphs>33</Paragraphs>
  <ScaleCrop>false</ScaleCrop>
  <HeadingPairs>
    <vt:vector size="2" baseType="variant">
      <vt:variant>
        <vt:lpstr>Title</vt:lpstr>
      </vt:variant>
      <vt:variant>
        <vt:i4>1</vt:i4>
      </vt:variant>
    </vt:vector>
  </HeadingPairs>
  <TitlesOfParts>
    <vt:vector size="1" baseType="lpstr">
      <vt:lpstr>1126259</vt:lpstr>
    </vt:vector>
  </TitlesOfParts>
  <Company>CSD</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1126259</dc:title>
  <dc:creator>BAC</dc:creator>
  <cp:keywords>ECE/TRANS/WP.15/AC.1/2012/8</cp:keywords>
  <dc:description>Final</dc:description>
  <cp:lastModifiedBy>Christine Barrio-Champeau</cp:lastModifiedBy>
  <cp:revision>7</cp:revision>
  <cp:lastPrinted>2017-12-20T15:02:00Z</cp:lastPrinted>
  <dcterms:created xsi:type="dcterms:W3CDTF">2017-12-15T08:54:00Z</dcterms:created>
  <dcterms:modified xsi:type="dcterms:W3CDTF">2017-12-21T13:42:00Z</dcterms:modified>
</cp:coreProperties>
</file>