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B11BB4">
        <w:trPr>
          <w:cantSplit/>
          <w:trHeight w:hRule="exact" w:val="851"/>
        </w:trPr>
        <w:tc>
          <w:tcPr>
            <w:tcW w:w="1276" w:type="dxa"/>
            <w:tcBorders>
              <w:bottom w:val="single" w:sz="4" w:space="0" w:color="auto"/>
            </w:tcBorders>
            <w:shd w:val="clear" w:color="auto" w:fill="auto"/>
            <w:vAlign w:val="bottom"/>
          </w:tcPr>
          <w:p w:rsidR="00B56E9C" w:rsidRDefault="00B56E9C" w:rsidP="00B11BB4">
            <w:pPr>
              <w:spacing w:after="80"/>
            </w:pPr>
          </w:p>
        </w:tc>
        <w:tc>
          <w:tcPr>
            <w:tcW w:w="2268" w:type="dxa"/>
            <w:tcBorders>
              <w:bottom w:val="single" w:sz="4" w:space="0" w:color="auto"/>
            </w:tcBorders>
            <w:shd w:val="clear" w:color="auto" w:fill="auto"/>
            <w:vAlign w:val="bottom"/>
          </w:tcPr>
          <w:p w:rsidR="00B56E9C" w:rsidRPr="00B11BB4" w:rsidRDefault="00B56E9C" w:rsidP="00B11BB4">
            <w:pPr>
              <w:spacing w:after="80" w:line="300" w:lineRule="exact"/>
              <w:rPr>
                <w:b/>
                <w:sz w:val="24"/>
                <w:szCs w:val="24"/>
              </w:rPr>
            </w:pPr>
            <w:r w:rsidRPr="00B11BB4">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9D2A5B" w:rsidP="00B012FA">
            <w:pPr>
              <w:suppressAutoHyphens w:val="0"/>
              <w:spacing w:after="20"/>
              <w:jc w:val="right"/>
            </w:pPr>
            <w:r w:rsidRPr="00B11BB4">
              <w:rPr>
                <w:sz w:val="40"/>
              </w:rPr>
              <w:t>ECE</w:t>
            </w:r>
            <w:r>
              <w:t>/TRANS/WP.15/AC.1/201</w:t>
            </w:r>
            <w:r w:rsidR="00B012FA">
              <w:t>8</w:t>
            </w:r>
            <w:r>
              <w:t>/</w:t>
            </w:r>
            <w:r w:rsidR="00AB3A01">
              <w:t>21</w:t>
            </w:r>
          </w:p>
        </w:tc>
      </w:tr>
      <w:tr w:rsidR="00B56E9C" w:rsidTr="00B11BB4">
        <w:trPr>
          <w:cantSplit/>
          <w:trHeight w:hRule="exact" w:val="2835"/>
        </w:trPr>
        <w:tc>
          <w:tcPr>
            <w:tcW w:w="1276" w:type="dxa"/>
            <w:tcBorders>
              <w:top w:val="single" w:sz="4" w:space="0" w:color="auto"/>
              <w:bottom w:val="single" w:sz="12" w:space="0" w:color="auto"/>
            </w:tcBorders>
            <w:shd w:val="clear" w:color="auto" w:fill="auto"/>
          </w:tcPr>
          <w:p w:rsidR="00B56E9C" w:rsidRDefault="00080491" w:rsidP="00B11BB4">
            <w:pPr>
              <w:spacing w:before="120"/>
            </w:pPr>
            <w:r>
              <w:rPr>
                <w:noProof/>
                <w:lang w:val="sv-SE" w:eastAsia="sv-SE"/>
              </w:rPr>
              <w:drawing>
                <wp:inline distT="0" distB="0" distL="0" distR="0">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B11BB4" w:rsidRDefault="00D773DF" w:rsidP="00B11BB4">
            <w:pPr>
              <w:spacing w:before="120" w:line="420" w:lineRule="exact"/>
              <w:rPr>
                <w:sz w:val="40"/>
                <w:szCs w:val="40"/>
              </w:rPr>
            </w:pPr>
            <w:r w:rsidRPr="00B11BB4">
              <w:rPr>
                <w:b/>
                <w:sz w:val="40"/>
                <w:szCs w:val="40"/>
              </w:rPr>
              <w:t>Economic and Social Council</w:t>
            </w:r>
          </w:p>
        </w:tc>
        <w:tc>
          <w:tcPr>
            <w:tcW w:w="2835" w:type="dxa"/>
            <w:tcBorders>
              <w:top w:val="single" w:sz="4" w:space="0" w:color="auto"/>
              <w:bottom w:val="single" w:sz="12" w:space="0" w:color="auto"/>
            </w:tcBorders>
            <w:shd w:val="clear" w:color="auto" w:fill="auto"/>
          </w:tcPr>
          <w:p w:rsidR="009D2A5B" w:rsidRDefault="009D2A5B" w:rsidP="00B11BB4">
            <w:pPr>
              <w:suppressAutoHyphens w:val="0"/>
              <w:spacing w:before="240" w:line="240" w:lineRule="exact"/>
            </w:pPr>
            <w:r>
              <w:t>Distr.: General</w:t>
            </w:r>
          </w:p>
          <w:p w:rsidR="009D2A5B" w:rsidRDefault="00AB3A01" w:rsidP="00B11BB4">
            <w:pPr>
              <w:suppressAutoHyphens w:val="0"/>
            </w:pPr>
            <w:r>
              <w:t>2</w:t>
            </w:r>
            <w:r w:rsidR="0074794F">
              <w:t>6</w:t>
            </w:r>
            <w:bookmarkStart w:id="0" w:name="_GoBack"/>
            <w:bookmarkEnd w:id="0"/>
            <w:r w:rsidR="00BF7D1D">
              <w:t xml:space="preserve"> June </w:t>
            </w:r>
            <w:r w:rsidR="00004AD5">
              <w:t>2018</w:t>
            </w:r>
          </w:p>
          <w:p w:rsidR="009D2A5B" w:rsidRDefault="009D2A5B" w:rsidP="00B11BB4">
            <w:pPr>
              <w:suppressAutoHyphens w:val="0"/>
            </w:pPr>
          </w:p>
          <w:p w:rsidR="00B56E9C" w:rsidRDefault="009D2A5B" w:rsidP="00C3172E">
            <w:pPr>
              <w:suppressAutoHyphens w:val="0"/>
            </w:pPr>
            <w:r>
              <w:t xml:space="preserve">Original: </w:t>
            </w:r>
            <w:r w:rsidR="0094558F">
              <w:t xml:space="preserve"> English</w:t>
            </w:r>
            <w:r w:rsidR="00B734ED">
              <w:t xml:space="preserve"> </w:t>
            </w:r>
          </w:p>
        </w:tc>
      </w:tr>
    </w:tbl>
    <w:p w:rsidR="00EC106A" w:rsidRDefault="00EC106A">
      <w:pPr>
        <w:spacing w:before="120"/>
        <w:rPr>
          <w:b/>
          <w:sz w:val="28"/>
          <w:szCs w:val="28"/>
        </w:rPr>
      </w:pPr>
      <w:r>
        <w:rPr>
          <w:b/>
          <w:sz w:val="28"/>
          <w:szCs w:val="28"/>
        </w:rPr>
        <w:t>Economic Commission for Europe</w:t>
      </w:r>
    </w:p>
    <w:p w:rsidR="00EC106A" w:rsidRDefault="00EC106A">
      <w:pPr>
        <w:spacing w:before="120"/>
        <w:rPr>
          <w:sz w:val="28"/>
          <w:szCs w:val="28"/>
        </w:rPr>
      </w:pPr>
      <w:r>
        <w:rPr>
          <w:sz w:val="28"/>
          <w:szCs w:val="28"/>
        </w:rPr>
        <w:t>Inland Transport Committee</w:t>
      </w:r>
    </w:p>
    <w:p w:rsidR="00EC106A" w:rsidRDefault="00EC106A" w:rsidP="00EC106A">
      <w:pPr>
        <w:spacing w:before="120" w:after="120"/>
        <w:rPr>
          <w:b/>
          <w:sz w:val="24"/>
          <w:szCs w:val="24"/>
        </w:rPr>
      </w:pPr>
      <w:r>
        <w:rPr>
          <w:b/>
          <w:sz w:val="24"/>
          <w:szCs w:val="24"/>
        </w:rPr>
        <w:t>Working Party on the Transport of Dangerous Goods</w:t>
      </w:r>
    </w:p>
    <w:p w:rsidR="009D2A5B" w:rsidRDefault="009D2A5B" w:rsidP="009D2A5B">
      <w:pPr>
        <w:rPr>
          <w:b/>
        </w:rPr>
      </w:pPr>
      <w:r>
        <w:rPr>
          <w:b/>
        </w:rPr>
        <w:t>Joint Meeting of the RID Committee of Experts and the</w:t>
      </w:r>
    </w:p>
    <w:p w:rsidR="009D2A5B" w:rsidRDefault="009D2A5B" w:rsidP="009D2A5B">
      <w:pPr>
        <w:rPr>
          <w:b/>
        </w:rPr>
      </w:pPr>
      <w:r>
        <w:rPr>
          <w:b/>
        </w:rPr>
        <w:t>Working Party on the Transport of Dangerous Goods</w:t>
      </w:r>
    </w:p>
    <w:p w:rsidR="009D2A5B" w:rsidRDefault="006D1CA9" w:rsidP="00BB7CD1">
      <w:r>
        <w:t>Geneva</w:t>
      </w:r>
      <w:r w:rsidR="00BB7CD1">
        <w:t xml:space="preserve">, </w:t>
      </w:r>
      <w:r w:rsidR="00AE08DA">
        <w:t>1</w:t>
      </w:r>
      <w:r w:rsidR="00004AD5">
        <w:t>7</w:t>
      </w:r>
      <w:r w:rsidR="00BB7CD1">
        <w:t>–</w:t>
      </w:r>
      <w:r w:rsidR="00004AD5">
        <w:t>21</w:t>
      </w:r>
      <w:r w:rsidR="00B012FA">
        <w:t xml:space="preserve"> </w:t>
      </w:r>
      <w:r w:rsidR="00004AD5">
        <w:t>September</w:t>
      </w:r>
      <w:r w:rsidR="00F66565">
        <w:t xml:space="preserve"> </w:t>
      </w:r>
      <w:r w:rsidR="00BB7CD1">
        <w:t>201</w:t>
      </w:r>
      <w:r w:rsidR="002564BC">
        <w:t>8</w:t>
      </w:r>
    </w:p>
    <w:p w:rsidR="006D1CA9" w:rsidRPr="004D5C2B" w:rsidRDefault="006D1CA9" w:rsidP="006D1CA9">
      <w:r w:rsidRPr="004D5C2B">
        <w:t>Item 5 (b) of the provisional agenda</w:t>
      </w:r>
    </w:p>
    <w:p w:rsidR="006D1CA9" w:rsidRPr="00926085" w:rsidRDefault="006D1CA9" w:rsidP="006D1CA9">
      <w:pPr>
        <w:rPr>
          <w:b/>
        </w:rPr>
      </w:pPr>
      <w:r w:rsidRPr="00926085">
        <w:rPr>
          <w:b/>
        </w:rPr>
        <w:t>Proposals for amendments to RID/ADR/ADN:</w:t>
      </w:r>
    </w:p>
    <w:p w:rsidR="002A5964" w:rsidRDefault="006D1CA9" w:rsidP="006D1CA9">
      <w:pPr>
        <w:spacing w:line="240" w:lineRule="auto"/>
        <w:rPr>
          <w:b/>
          <w:bCs/>
        </w:rPr>
      </w:pPr>
      <w:r>
        <w:rPr>
          <w:b/>
        </w:rPr>
        <w:t>n</w:t>
      </w:r>
      <w:r w:rsidRPr="00926085">
        <w:rPr>
          <w:b/>
        </w:rPr>
        <w:t>ew proposals</w:t>
      </w:r>
    </w:p>
    <w:p w:rsidR="00C3172E" w:rsidRPr="00302B8D" w:rsidRDefault="00C3172E" w:rsidP="00F46AC6">
      <w:pPr>
        <w:pStyle w:val="HChG"/>
      </w:pPr>
      <w:r w:rsidRPr="00302B8D">
        <w:tab/>
      </w:r>
      <w:r w:rsidRPr="00302B8D">
        <w:tab/>
      </w:r>
      <w:r w:rsidR="0096425E">
        <w:rPr>
          <w:bCs/>
          <w:szCs w:val="24"/>
        </w:rPr>
        <w:t>Display packs of limited q</w:t>
      </w:r>
      <w:r w:rsidR="00E04424" w:rsidRPr="00AA59EC">
        <w:rPr>
          <w:bCs/>
          <w:szCs w:val="24"/>
        </w:rPr>
        <w:t>uantities</w:t>
      </w:r>
    </w:p>
    <w:p w:rsidR="00C3172E" w:rsidRDefault="00C3172E" w:rsidP="00C3172E">
      <w:pPr>
        <w:pStyle w:val="H1G"/>
        <w:rPr>
          <w:b w:val="0"/>
          <w:sz w:val="20"/>
        </w:rPr>
      </w:pPr>
      <w:r>
        <w:tab/>
      </w:r>
      <w:r>
        <w:tab/>
      </w:r>
      <w:r w:rsidR="00E04424" w:rsidRPr="002D3553">
        <w:rPr>
          <w:bCs/>
          <w:sz w:val="22"/>
        </w:rPr>
        <w:t>Transmitted by the Council on Safe Transportation of Hazardous Articles (COSTHA)</w:t>
      </w:r>
      <w:r w:rsidR="00004AD5" w:rsidRPr="00004AD5">
        <w:rPr>
          <w:rStyle w:val="FootnoteReference"/>
          <w:b w:val="0"/>
          <w:sz w:val="20"/>
        </w:rPr>
        <w:footnoteReference w:id="2"/>
      </w:r>
      <w:r w:rsidR="00004AD5" w:rsidRPr="00004AD5">
        <w:rPr>
          <w:sz w:val="20"/>
          <w:vertAlign w:val="superscript"/>
        </w:rPr>
        <w:t>,</w:t>
      </w:r>
      <w:r w:rsidR="00004AD5">
        <w:rPr>
          <w:sz w:val="18"/>
          <w:szCs w:val="18"/>
          <w:vertAlign w:val="superscript"/>
        </w:rPr>
        <w:t xml:space="preserve"> </w:t>
      </w:r>
      <w:r w:rsidR="00004AD5" w:rsidRPr="00004AD5">
        <w:rPr>
          <w:rStyle w:val="FootnoteReference"/>
          <w:sz w:val="20"/>
        </w:rPr>
        <w:footnoteReference w:customMarkFollows="1" w:id="3"/>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CellMar>
          <w:left w:w="0" w:type="dxa"/>
          <w:right w:w="0" w:type="dxa"/>
        </w:tblCellMar>
        <w:tblLook w:val="05E0" w:firstRow="1" w:lastRow="1" w:firstColumn="1" w:lastColumn="1" w:noHBand="0" w:noVBand="1"/>
      </w:tblPr>
      <w:tblGrid>
        <w:gridCol w:w="9082"/>
      </w:tblGrid>
      <w:tr w:rsidR="00DE4750" w:rsidRPr="00E940D0" w:rsidTr="00021DCA">
        <w:trPr>
          <w:jc w:val="center"/>
        </w:trPr>
        <w:tc>
          <w:tcPr>
            <w:tcW w:w="9082" w:type="dxa"/>
            <w:shd w:val="clear" w:color="auto" w:fill="auto"/>
          </w:tcPr>
          <w:p w:rsidR="00DE4750" w:rsidRPr="00E940D0" w:rsidRDefault="00DE4750" w:rsidP="00021DCA">
            <w:pPr>
              <w:spacing w:before="240" w:after="120"/>
              <w:ind w:left="255"/>
              <w:rPr>
                <w:i/>
                <w:sz w:val="24"/>
              </w:rPr>
            </w:pPr>
            <w:r w:rsidRPr="00E940D0">
              <w:rPr>
                <w:i/>
                <w:sz w:val="24"/>
              </w:rPr>
              <w:t>Summary</w:t>
            </w:r>
          </w:p>
        </w:tc>
      </w:tr>
      <w:tr w:rsidR="00DE4750" w:rsidRPr="0035523F" w:rsidTr="00021DCA">
        <w:trPr>
          <w:jc w:val="center"/>
        </w:trPr>
        <w:tc>
          <w:tcPr>
            <w:tcW w:w="9082" w:type="dxa"/>
            <w:shd w:val="clear" w:color="auto" w:fill="auto"/>
          </w:tcPr>
          <w:p w:rsidR="00DE4750" w:rsidRPr="00CD0808" w:rsidRDefault="00DE4750" w:rsidP="002564BC">
            <w:pPr>
              <w:pStyle w:val="SingleTxtG"/>
              <w:tabs>
                <w:tab w:val="left" w:pos="3260"/>
              </w:tabs>
              <w:ind w:left="3260" w:hanging="2126"/>
              <w:jc w:val="left"/>
            </w:pPr>
            <w:r w:rsidRPr="00CD0808">
              <w:rPr>
                <w:b/>
              </w:rPr>
              <w:t>Executive summary:</w:t>
            </w:r>
            <w:r>
              <w:rPr>
                <w:b/>
              </w:rPr>
              <w:t xml:space="preserve"> </w:t>
            </w:r>
            <w:r w:rsidRPr="00CD0808">
              <w:tab/>
            </w:r>
            <w:r w:rsidR="00E04424" w:rsidRPr="00E77647">
              <w:t xml:space="preserve">The aim of this proposal is to </w:t>
            </w:r>
            <w:r w:rsidR="00E04424">
              <w:t xml:space="preserve">allow the use of display packs with a maximum gross mass not exceeding 550 kg within </w:t>
            </w:r>
            <w:r w:rsidR="00E04424" w:rsidRPr="00E77647">
              <w:t>the ADR</w:t>
            </w:r>
            <w:r w:rsidR="00E04424">
              <w:t xml:space="preserve">, in alignment </w:t>
            </w:r>
            <w:r w:rsidR="00E04424" w:rsidRPr="00E77647">
              <w:t xml:space="preserve">with the </w:t>
            </w:r>
            <w:r w:rsidR="00E04424">
              <w:t>United States of America’s Hazardous Materials Regulations (49 CFR). One of the main advantages is a reduction of the amount of packaging used.</w:t>
            </w:r>
          </w:p>
        </w:tc>
      </w:tr>
      <w:tr w:rsidR="00DE4750" w:rsidRPr="00597302" w:rsidTr="00021DCA">
        <w:trPr>
          <w:jc w:val="center"/>
        </w:trPr>
        <w:tc>
          <w:tcPr>
            <w:tcW w:w="9082" w:type="dxa"/>
            <w:shd w:val="clear" w:color="auto" w:fill="auto"/>
          </w:tcPr>
          <w:p w:rsidR="00DE4750" w:rsidRPr="00CD0808" w:rsidRDefault="00DE4750" w:rsidP="00214D4D">
            <w:pPr>
              <w:pStyle w:val="SingleTxtG"/>
              <w:tabs>
                <w:tab w:val="left" w:pos="3260"/>
              </w:tabs>
              <w:ind w:left="3260" w:hanging="2126"/>
            </w:pPr>
            <w:r w:rsidRPr="00CD0808">
              <w:rPr>
                <w:b/>
              </w:rPr>
              <w:t>Action to be taken:</w:t>
            </w:r>
            <w:r>
              <w:rPr>
                <w:b/>
              </w:rPr>
              <w:t xml:space="preserve">     </w:t>
            </w:r>
            <w:r>
              <w:rPr>
                <w:b/>
              </w:rPr>
              <w:tab/>
            </w:r>
            <w:r w:rsidR="00E04424">
              <w:rPr>
                <w:rFonts w:eastAsia="Arial"/>
                <w:szCs w:val="22"/>
              </w:rPr>
              <w:t xml:space="preserve">Amend the text in </w:t>
            </w:r>
            <w:r w:rsidR="00E04424">
              <w:t>Chapter 3.4 of ADR</w:t>
            </w:r>
            <w:r w:rsidR="00E04424">
              <w:rPr>
                <w:rFonts w:eastAsia="Arial"/>
                <w:szCs w:val="22"/>
              </w:rPr>
              <w:t xml:space="preserve"> to </w:t>
            </w:r>
            <w:r w:rsidR="00E04424">
              <w:t xml:space="preserve">allow the use </w:t>
            </w:r>
            <w:r w:rsidR="00E04424" w:rsidRPr="0021065D">
              <w:t xml:space="preserve">of display packs of limited quantity packages intended for retail distribution </w:t>
            </w:r>
            <w:r w:rsidR="00E04424">
              <w:t xml:space="preserve">with a maximum </w:t>
            </w:r>
            <w:r w:rsidR="00E04424" w:rsidRPr="0021065D">
              <w:t>gross</w:t>
            </w:r>
            <w:r w:rsidR="00E04424">
              <w:t xml:space="preserve"> mass per display pack not exceeding 550 kg</w:t>
            </w:r>
            <w:r w:rsidR="006D1CA9">
              <w:t>.</w:t>
            </w:r>
          </w:p>
        </w:tc>
      </w:tr>
      <w:tr w:rsidR="00DE4750" w:rsidRPr="00AE331E" w:rsidTr="00021DCA">
        <w:trPr>
          <w:jc w:val="center"/>
        </w:trPr>
        <w:tc>
          <w:tcPr>
            <w:tcW w:w="9082" w:type="dxa"/>
            <w:shd w:val="clear" w:color="auto" w:fill="auto"/>
          </w:tcPr>
          <w:p w:rsidR="00DE4750" w:rsidRPr="00D43932" w:rsidRDefault="00DE4750" w:rsidP="00FB06F6">
            <w:pPr>
              <w:pStyle w:val="SingleTxtG"/>
              <w:tabs>
                <w:tab w:val="left" w:pos="3260"/>
              </w:tabs>
              <w:spacing w:after="0"/>
              <w:ind w:left="3260" w:hanging="2126"/>
              <w:jc w:val="left"/>
              <w:rPr>
                <w:b/>
                <w:lang w:val="en-US"/>
              </w:rPr>
            </w:pPr>
            <w:r w:rsidRPr="00CD0808">
              <w:rPr>
                <w:b/>
              </w:rPr>
              <w:t>Related documents:</w:t>
            </w:r>
            <w:r>
              <w:rPr>
                <w:b/>
              </w:rPr>
              <w:t xml:space="preserve">        </w:t>
            </w:r>
            <w:r w:rsidR="00E04424" w:rsidRPr="00E77647">
              <w:rPr>
                <w:szCs w:val="22"/>
              </w:rPr>
              <w:t>I</w:t>
            </w:r>
            <w:r w:rsidR="0096425E">
              <w:rPr>
                <w:szCs w:val="22"/>
              </w:rPr>
              <w:t>NF.46 – Display packs of limited q</w:t>
            </w:r>
            <w:r w:rsidR="00E04424" w:rsidRPr="00E77647">
              <w:rPr>
                <w:szCs w:val="22"/>
              </w:rPr>
              <w:t xml:space="preserve">uantities </w:t>
            </w:r>
            <w:r w:rsidR="00E04424" w:rsidRPr="00E77647">
              <w:rPr>
                <w:spacing w:val="-7"/>
                <w:szCs w:val="22"/>
              </w:rPr>
              <w:t xml:space="preserve">(COSTHA) </w:t>
            </w:r>
            <w:r w:rsidR="00E04424" w:rsidRPr="00E77647">
              <w:rPr>
                <w:szCs w:val="22"/>
              </w:rPr>
              <w:t>(</w:t>
            </w:r>
            <w:r w:rsidR="00E04424" w:rsidRPr="00E77647">
              <w:rPr>
                <w:spacing w:val="-7"/>
                <w:szCs w:val="22"/>
              </w:rPr>
              <w:t xml:space="preserve">Spring 2018 Session </w:t>
            </w:r>
            <w:r w:rsidR="00E04424">
              <w:rPr>
                <w:spacing w:val="-7"/>
                <w:szCs w:val="22"/>
              </w:rPr>
              <w:t xml:space="preserve">– </w:t>
            </w:r>
            <w:r w:rsidR="00E04424" w:rsidRPr="00E77647">
              <w:rPr>
                <w:spacing w:val="-7"/>
                <w:szCs w:val="22"/>
              </w:rPr>
              <w:t>Joint Meeting RID/ADR/ADN)</w:t>
            </w:r>
            <w:r w:rsidR="00E04424">
              <w:rPr>
                <w:spacing w:val="-7"/>
                <w:szCs w:val="22"/>
              </w:rPr>
              <w:t>.</w:t>
            </w:r>
          </w:p>
        </w:tc>
      </w:tr>
      <w:tr w:rsidR="00DE4750" w:rsidRPr="00AE331E" w:rsidTr="00021DCA">
        <w:trPr>
          <w:jc w:val="center"/>
        </w:trPr>
        <w:tc>
          <w:tcPr>
            <w:tcW w:w="9082" w:type="dxa"/>
            <w:shd w:val="clear" w:color="auto" w:fill="auto"/>
          </w:tcPr>
          <w:p w:rsidR="00DE4750" w:rsidRPr="00D43932" w:rsidRDefault="00DE4750" w:rsidP="00021DCA">
            <w:pPr>
              <w:rPr>
                <w:lang w:val="en-US"/>
              </w:rPr>
            </w:pPr>
          </w:p>
        </w:tc>
      </w:tr>
    </w:tbl>
    <w:p w:rsidR="003D2BA6" w:rsidRPr="00AA59EC" w:rsidRDefault="00DE4750" w:rsidP="003D2BA6">
      <w:pPr>
        <w:pStyle w:val="HChG"/>
      </w:pPr>
      <w:r>
        <w:lastRenderedPageBreak/>
        <w:tab/>
      </w:r>
      <w:r>
        <w:tab/>
      </w:r>
      <w:r w:rsidR="003D2BA6" w:rsidRPr="00AA59EC">
        <w:t>Introduction</w:t>
      </w:r>
    </w:p>
    <w:p w:rsidR="003D2BA6" w:rsidRDefault="003D2BA6" w:rsidP="003D2BA6">
      <w:pPr>
        <w:pStyle w:val="SingleTxtG"/>
      </w:pPr>
      <w:r>
        <w:t>1.</w:t>
      </w:r>
      <w:r>
        <w:tab/>
        <w:t>Many consumer products meet the classification criteria for one of the nine hazard classes. Due to the limited amount of material contained in the consumer packaging, they are eligible for transport by road as a limited quantity when contained in an outer packaging that does not exceed a gross mass of 30 kg (3.4.2</w:t>
      </w:r>
      <w:r w:rsidRPr="00496E06">
        <w:t xml:space="preserve"> </w:t>
      </w:r>
      <w:r>
        <w:t xml:space="preserve">of </w:t>
      </w:r>
      <w:r w:rsidRPr="002271D8">
        <w:t>ADR</w:t>
      </w:r>
      <w:r>
        <w:t xml:space="preserve">). </w:t>
      </w:r>
    </w:p>
    <w:p w:rsidR="003D2BA6" w:rsidRDefault="003D2BA6" w:rsidP="003D2BA6">
      <w:pPr>
        <w:pStyle w:val="SingleTxtG"/>
      </w:pPr>
      <w:r>
        <w:t>2.</w:t>
      </w:r>
      <w:r>
        <w:tab/>
        <w:t xml:space="preserve">The packaging requirements in 3.4.3 of </w:t>
      </w:r>
      <w:r w:rsidRPr="002271D8">
        <w:t>ADR</w:t>
      </w:r>
      <w:r>
        <w:t xml:space="preserve"> permit the use of inner </w:t>
      </w:r>
      <w:proofErr w:type="spellStart"/>
      <w:r>
        <w:t>packagings</w:t>
      </w:r>
      <w:proofErr w:type="spellEnd"/>
      <w:r>
        <w:t xml:space="preserve"> packed in strong outer </w:t>
      </w:r>
      <w:proofErr w:type="spellStart"/>
      <w:r>
        <w:t>packagings</w:t>
      </w:r>
      <w:proofErr w:type="spellEnd"/>
      <w:r>
        <w:t>. Eligible packaging exceptions are provided for shrink-wrapped trays that do not exceed 20 kg.</w:t>
      </w:r>
    </w:p>
    <w:p w:rsidR="003D2BA6" w:rsidRDefault="003D2BA6" w:rsidP="003D2BA6">
      <w:pPr>
        <w:pStyle w:val="SingleTxtG"/>
      </w:pPr>
      <w:r>
        <w:t>3.</w:t>
      </w:r>
      <w:r>
        <w:tab/>
        <w:t xml:space="preserve">However, many retail locations are foregoing the traditional shelf-displays of individual consumer products and are introducing “display packs” of products. Such display packs are pre-built before distribution. They and are “opened” and placed directly on the store floor as a display. </w:t>
      </w:r>
    </w:p>
    <w:p w:rsidR="003D2BA6" w:rsidRDefault="003D2BA6" w:rsidP="003D2BA6">
      <w:pPr>
        <w:pStyle w:val="SingleTxtG"/>
      </w:pPr>
      <w:r>
        <w:t>4.</w:t>
      </w:r>
      <w:r>
        <w:tab/>
        <w:t>The advantages of display packs include a reduction in the amount of packaging necessary for distribution (less fibreboard waste), a reduction in the space required on shelves, reduced labour needed for restocking shelves, and reduced handling of packages.</w:t>
      </w:r>
    </w:p>
    <w:p w:rsidR="003D2BA6" w:rsidRDefault="003D2BA6" w:rsidP="003D2BA6">
      <w:pPr>
        <w:pStyle w:val="SingleTxtG"/>
      </w:pPr>
      <w:r>
        <w:t>5.</w:t>
      </w:r>
      <w:r>
        <w:tab/>
        <w:t xml:space="preserve">The current provisions in 3.4.2 and 3.4.3 of </w:t>
      </w:r>
      <w:r w:rsidRPr="002271D8">
        <w:t>ADR</w:t>
      </w:r>
      <w:r>
        <w:t xml:space="preserve"> preclude the use of display packs for limited quantity packages due to the gross mass of the display which may exceed 500 kg.</w:t>
      </w:r>
    </w:p>
    <w:p w:rsidR="003D2BA6" w:rsidRDefault="003D2BA6" w:rsidP="003D2BA6">
      <w:pPr>
        <w:pStyle w:val="SingleTxtG"/>
      </w:pPr>
      <w:r>
        <w:t>6.</w:t>
      </w:r>
      <w:r>
        <w:tab/>
        <w:t>In the United States of America, provisions for display packs have been adopted into the regulations (49 CFR, § 173.156 (c)) or authorized through exemptions. Such display packs are subject to the following requirements:</w:t>
      </w:r>
    </w:p>
    <w:p w:rsidR="003D2BA6" w:rsidRPr="003D2BA6" w:rsidRDefault="003D2BA6" w:rsidP="003D2BA6">
      <w:pPr>
        <w:pStyle w:val="ListParagraph"/>
        <w:spacing w:after="120" w:line="240" w:lineRule="auto"/>
        <w:ind w:left="1800" w:right="1719"/>
        <w:contextualSpacing w:val="0"/>
        <w:jc w:val="both"/>
        <w:rPr>
          <w:rFonts w:ascii="Times New Roman" w:hAnsi="Times New Roman"/>
          <w:sz w:val="20"/>
          <w:szCs w:val="20"/>
        </w:rPr>
      </w:pPr>
      <w:r w:rsidRPr="003D2BA6">
        <w:rPr>
          <w:rFonts w:ascii="Times New Roman" w:hAnsi="Times New Roman"/>
          <w:sz w:val="20"/>
          <w:szCs w:val="20"/>
        </w:rPr>
        <w:t xml:space="preserve">“(c) </w:t>
      </w:r>
      <w:r w:rsidRPr="003D2BA6">
        <w:rPr>
          <w:rFonts w:ascii="Times New Roman" w:hAnsi="Times New Roman"/>
          <w:i/>
          <w:sz w:val="20"/>
          <w:szCs w:val="20"/>
        </w:rPr>
        <w:t>Display packs</w:t>
      </w:r>
      <w:r w:rsidRPr="003D2BA6">
        <w:rPr>
          <w:rFonts w:ascii="Times New Roman" w:hAnsi="Times New Roman"/>
          <w:sz w:val="20"/>
          <w:szCs w:val="20"/>
        </w:rPr>
        <w:t xml:space="preserve">. Display packs (…) of </w:t>
      </w:r>
      <w:proofErr w:type="spellStart"/>
      <w:r w:rsidRPr="003D2BA6">
        <w:rPr>
          <w:rFonts w:ascii="Times New Roman" w:hAnsi="Times New Roman"/>
          <w:sz w:val="20"/>
          <w:szCs w:val="20"/>
        </w:rPr>
        <w:t>consumer</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commodities</w:t>
      </w:r>
      <w:proofErr w:type="spellEnd"/>
      <w:r w:rsidRPr="003D2BA6">
        <w:rPr>
          <w:rFonts w:ascii="Times New Roman" w:hAnsi="Times New Roman"/>
          <w:sz w:val="20"/>
          <w:szCs w:val="20"/>
        </w:rPr>
        <w:t xml:space="preserve"> or </w:t>
      </w:r>
      <w:proofErr w:type="spellStart"/>
      <w:r w:rsidRPr="003D2BA6">
        <w:rPr>
          <w:rFonts w:ascii="Times New Roman" w:hAnsi="Times New Roman"/>
          <w:sz w:val="20"/>
          <w:szCs w:val="20"/>
        </w:rPr>
        <w:t>limited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quantity</w:t>
      </w:r>
      <w:proofErr w:type="spellEnd"/>
      <w:r w:rsidRPr="003D2BA6">
        <w:rPr>
          <w:rFonts w:ascii="Times New Roman" w:hAnsi="Times New Roman"/>
          <w:sz w:val="20"/>
          <w:szCs w:val="20"/>
        </w:rPr>
        <w:t xml:space="preserve"> packages </w:t>
      </w:r>
      <w:proofErr w:type="spellStart"/>
      <w:r w:rsidRPr="003D2BA6">
        <w:rPr>
          <w:rFonts w:ascii="Times New Roman" w:hAnsi="Times New Roman"/>
          <w:sz w:val="20"/>
          <w:szCs w:val="20"/>
        </w:rPr>
        <w:t>that</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exceed</w:t>
      </w:r>
      <w:proofErr w:type="spellEnd"/>
      <w:r w:rsidRPr="003D2BA6">
        <w:rPr>
          <w:rFonts w:ascii="Times New Roman" w:hAnsi="Times New Roman"/>
          <w:sz w:val="20"/>
          <w:szCs w:val="20"/>
        </w:rPr>
        <w:t xml:space="preserve"> 30 kg </w:t>
      </w:r>
      <w:proofErr w:type="spellStart"/>
      <w:r w:rsidRPr="003D2BA6">
        <w:rPr>
          <w:rFonts w:ascii="Times New Roman" w:hAnsi="Times New Roman"/>
          <w:sz w:val="20"/>
          <w:szCs w:val="20"/>
        </w:rPr>
        <w:t>gross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weight</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limitation</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may</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be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transported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by</w:t>
      </w:r>
      <w:proofErr w:type="spellEnd"/>
      <w:r w:rsidRPr="003D2BA6">
        <w:rPr>
          <w:rFonts w:ascii="Times New Roman" w:hAnsi="Times New Roman"/>
          <w:sz w:val="20"/>
          <w:szCs w:val="20"/>
        </w:rPr>
        <w:t xml:space="preserve"> container/trailer in trailer-on-</w:t>
      </w:r>
      <w:proofErr w:type="spellStart"/>
      <w:r w:rsidRPr="003D2BA6">
        <w:rPr>
          <w:rFonts w:ascii="Times New Roman" w:hAnsi="Times New Roman"/>
          <w:sz w:val="20"/>
          <w:szCs w:val="20"/>
        </w:rPr>
        <w:t>flatcar</w:t>
      </w:r>
      <w:proofErr w:type="spellEnd"/>
      <w:r w:rsidRPr="003D2BA6">
        <w:rPr>
          <w:rFonts w:ascii="Times New Roman" w:hAnsi="Times New Roman"/>
          <w:sz w:val="20"/>
          <w:szCs w:val="20"/>
        </w:rPr>
        <w:t xml:space="preserve"> (TOFC) or container-on-flat-</w:t>
      </w:r>
      <w:proofErr w:type="spellStart"/>
      <w:r w:rsidRPr="003D2BA6">
        <w:rPr>
          <w:rFonts w:ascii="Times New Roman" w:hAnsi="Times New Roman"/>
          <w:sz w:val="20"/>
          <w:szCs w:val="20"/>
        </w:rPr>
        <w:t>car</w:t>
      </w:r>
      <w:proofErr w:type="spellEnd"/>
      <w:r w:rsidRPr="003D2BA6">
        <w:rPr>
          <w:rFonts w:ascii="Times New Roman" w:hAnsi="Times New Roman"/>
          <w:sz w:val="20"/>
          <w:szCs w:val="20"/>
        </w:rPr>
        <w:t xml:space="preserve"> (COFC) service, </w:t>
      </w:r>
      <w:proofErr w:type="spellStart"/>
      <w:r w:rsidRPr="003D2BA6">
        <w:rPr>
          <w:rFonts w:ascii="Times New Roman" w:hAnsi="Times New Roman"/>
          <w:sz w:val="20"/>
          <w:szCs w:val="20"/>
        </w:rPr>
        <w:t>roadrailer</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and</w:t>
      </w:r>
      <w:proofErr w:type="spellEnd"/>
      <w:r w:rsidRPr="003D2BA6">
        <w:rPr>
          <w:rFonts w:ascii="Times New Roman" w:hAnsi="Times New Roman"/>
          <w:sz w:val="20"/>
          <w:szCs w:val="20"/>
        </w:rPr>
        <w:t xml:space="preserve">/or railrunner trailers, motor vehicle, or cargo </w:t>
      </w:r>
      <w:proofErr w:type="spellStart"/>
      <w:r w:rsidRPr="003D2BA6">
        <w:rPr>
          <w:rFonts w:ascii="Times New Roman" w:hAnsi="Times New Roman"/>
          <w:sz w:val="20"/>
          <w:szCs w:val="20"/>
        </w:rPr>
        <w:t>vessel</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under</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following</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conditions</w:t>
      </w:r>
      <w:proofErr w:type="spellEnd"/>
      <w:r w:rsidRPr="003D2BA6">
        <w:rPr>
          <w:rFonts w:ascii="Times New Roman" w:hAnsi="Times New Roman"/>
          <w:sz w:val="20"/>
          <w:szCs w:val="20"/>
        </w:rPr>
        <w:t>:</w:t>
      </w:r>
    </w:p>
    <w:p w:rsidR="003D2BA6" w:rsidRPr="003D2BA6" w:rsidRDefault="003D2BA6" w:rsidP="003D2BA6">
      <w:pPr>
        <w:pStyle w:val="ListParagraph"/>
        <w:numPr>
          <w:ilvl w:val="0"/>
          <w:numId w:val="30"/>
        </w:numPr>
        <w:spacing w:after="120" w:line="240" w:lineRule="auto"/>
        <w:ind w:left="1800" w:right="1719" w:firstLine="0"/>
        <w:contextualSpacing w:val="0"/>
        <w:jc w:val="both"/>
        <w:rPr>
          <w:rFonts w:ascii="Times New Roman" w:hAnsi="Times New Roman"/>
          <w:sz w:val="20"/>
          <w:szCs w:val="20"/>
        </w:rPr>
      </w:pPr>
      <w:proofErr w:type="spellStart"/>
      <w:r w:rsidRPr="003D2BA6">
        <w:rPr>
          <w:rFonts w:ascii="Times New Roman" w:hAnsi="Times New Roman"/>
          <w:i/>
          <w:sz w:val="20"/>
          <w:szCs w:val="20"/>
        </w:rPr>
        <w:t>Packaging</w:t>
      </w:r>
      <w:proofErr w:type="spellEnd"/>
      <w:r w:rsidRPr="003D2BA6">
        <w:rPr>
          <w:rFonts w:ascii="Times New Roman" w:hAnsi="Times New Roman"/>
          <w:sz w:val="20"/>
          <w:szCs w:val="20"/>
        </w:rPr>
        <w:t xml:space="preserve">. Combination packages must conform </w:t>
      </w:r>
      <w:proofErr w:type="spellStart"/>
      <w:r w:rsidRPr="003D2BA6">
        <w:rPr>
          <w:rFonts w:ascii="Times New Roman" w:hAnsi="Times New Roman"/>
          <w:sz w:val="20"/>
          <w:szCs w:val="20"/>
        </w:rPr>
        <w:t>to</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general</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packaging</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requirements</w:t>
      </w:r>
      <w:proofErr w:type="spellEnd"/>
      <w:r w:rsidRPr="003D2BA6">
        <w:rPr>
          <w:rFonts w:ascii="Times New Roman" w:hAnsi="Times New Roman"/>
          <w:sz w:val="20"/>
          <w:szCs w:val="20"/>
        </w:rPr>
        <w:t xml:space="preserve"> of </w:t>
      </w:r>
      <w:proofErr w:type="spellStart"/>
      <w:r w:rsidRPr="003D2BA6">
        <w:rPr>
          <w:rFonts w:ascii="Times New Roman" w:hAnsi="Times New Roman"/>
          <w:sz w:val="20"/>
          <w:szCs w:val="20"/>
        </w:rPr>
        <w:t>subpart</w:t>
      </w:r>
      <w:proofErr w:type="spellEnd"/>
      <w:r w:rsidRPr="003D2BA6">
        <w:rPr>
          <w:rFonts w:ascii="Times New Roman" w:hAnsi="Times New Roman"/>
          <w:sz w:val="20"/>
          <w:szCs w:val="20"/>
        </w:rPr>
        <w:t xml:space="preserve"> B of </w:t>
      </w:r>
      <w:proofErr w:type="spellStart"/>
      <w:r w:rsidRPr="003D2BA6">
        <w:rPr>
          <w:rFonts w:ascii="Times New Roman" w:hAnsi="Times New Roman"/>
          <w:sz w:val="20"/>
          <w:szCs w:val="20"/>
        </w:rPr>
        <w:t>this</w:t>
      </w:r>
      <w:proofErr w:type="spellEnd"/>
      <w:r w:rsidRPr="003D2BA6">
        <w:rPr>
          <w:rFonts w:ascii="Times New Roman" w:hAnsi="Times New Roman"/>
          <w:sz w:val="20"/>
          <w:szCs w:val="20"/>
        </w:rPr>
        <w:t xml:space="preserve"> part </w:t>
      </w:r>
      <w:proofErr w:type="spellStart"/>
      <w:r w:rsidRPr="003D2BA6">
        <w:rPr>
          <w:rFonts w:ascii="Times New Roman" w:hAnsi="Times New Roman"/>
          <w:sz w:val="20"/>
          <w:szCs w:val="20"/>
        </w:rPr>
        <w:t>and</w:t>
      </w:r>
      <w:proofErr w:type="spellEnd"/>
      <w:r w:rsidRPr="003D2BA6">
        <w:rPr>
          <w:rFonts w:ascii="Times New Roman" w:hAnsi="Times New Roman"/>
          <w:sz w:val="20"/>
          <w:szCs w:val="20"/>
        </w:rPr>
        <w:t xml:space="preserve"> meet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following</w:t>
      </w:r>
      <w:proofErr w:type="spellEnd"/>
      <w:r w:rsidRPr="003D2BA6">
        <w:rPr>
          <w:rFonts w:ascii="Times New Roman" w:hAnsi="Times New Roman"/>
          <w:sz w:val="20"/>
          <w:szCs w:val="20"/>
        </w:rPr>
        <w:t xml:space="preserve">, as </w:t>
      </w:r>
      <w:proofErr w:type="spellStart"/>
      <w:r w:rsidRPr="003D2BA6">
        <w:rPr>
          <w:rFonts w:ascii="Times New Roman" w:hAnsi="Times New Roman"/>
          <w:sz w:val="20"/>
          <w:szCs w:val="20"/>
        </w:rPr>
        <w:t>appropriate</w:t>
      </w:r>
      <w:proofErr w:type="spellEnd"/>
      <w:r w:rsidRPr="003D2BA6">
        <w:rPr>
          <w:rFonts w:ascii="Times New Roman" w:hAnsi="Times New Roman"/>
          <w:sz w:val="20"/>
          <w:szCs w:val="20"/>
        </w:rPr>
        <w:t>:</w:t>
      </w:r>
    </w:p>
    <w:p w:rsidR="003D2BA6" w:rsidRPr="003D2BA6" w:rsidRDefault="003D2BA6" w:rsidP="003D2BA6">
      <w:pPr>
        <w:pStyle w:val="ListParagraph"/>
        <w:numPr>
          <w:ilvl w:val="0"/>
          <w:numId w:val="31"/>
        </w:numPr>
        <w:spacing w:after="120" w:line="240" w:lineRule="auto"/>
        <w:ind w:left="1800" w:right="1719" w:firstLine="0"/>
        <w:contextualSpacing w:val="0"/>
        <w:jc w:val="both"/>
        <w:rPr>
          <w:rFonts w:ascii="Times New Roman" w:hAnsi="Times New Roman"/>
          <w:sz w:val="20"/>
          <w:szCs w:val="20"/>
        </w:rPr>
      </w:pPr>
      <w:proofErr w:type="spellStart"/>
      <w:r w:rsidRPr="003D2BA6">
        <w:rPr>
          <w:rFonts w:ascii="Times New Roman" w:hAnsi="Times New Roman"/>
          <w:sz w:val="20"/>
          <w:szCs w:val="20"/>
        </w:rPr>
        <w:t>Primary</w:t>
      </w:r>
      <w:proofErr w:type="spellEnd"/>
      <w:r w:rsidRPr="003D2BA6">
        <w:rPr>
          <w:rFonts w:ascii="Times New Roman" w:hAnsi="Times New Roman"/>
          <w:sz w:val="20"/>
          <w:szCs w:val="20"/>
        </w:rPr>
        <w:t xml:space="preserve"> containers must conform </w:t>
      </w:r>
      <w:proofErr w:type="spellStart"/>
      <w:r w:rsidRPr="003D2BA6">
        <w:rPr>
          <w:rFonts w:ascii="Times New Roman" w:hAnsi="Times New Roman"/>
          <w:sz w:val="20"/>
          <w:szCs w:val="20"/>
        </w:rPr>
        <w:t>to</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quantity</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limits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for</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inner</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packagings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prescribed</w:t>
      </w:r>
      <w:proofErr w:type="spellEnd"/>
      <w:r w:rsidRPr="003D2BA6">
        <w:rPr>
          <w:rFonts w:ascii="Times New Roman" w:hAnsi="Times New Roman"/>
          <w:sz w:val="20"/>
          <w:szCs w:val="20"/>
        </w:rPr>
        <w:t xml:space="preserve"> in [</w:t>
      </w:r>
      <w:proofErr w:type="spellStart"/>
      <w:r w:rsidRPr="003D2BA6">
        <w:rPr>
          <w:rFonts w:ascii="Times New Roman" w:hAnsi="Times New Roman"/>
          <w:sz w:val="20"/>
          <w:szCs w:val="20"/>
        </w:rPr>
        <w:t>for</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representative</w:t>
      </w:r>
      <w:proofErr w:type="spellEnd"/>
      <w:r w:rsidRPr="003D2BA6">
        <w:rPr>
          <w:rFonts w:ascii="Times New Roman" w:hAnsi="Times New Roman"/>
          <w:sz w:val="20"/>
          <w:szCs w:val="20"/>
        </w:rPr>
        <w:t xml:space="preserve"> hazard class];</w:t>
      </w:r>
    </w:p>
    <w:p w:rsidR="003D2BA6" w:rsidRPr="003D2BA6" w:rsidRDefault="003D2BA6" w:rsidP="003D2BA6">
      <w:pPr>
        <w:pStyle w:val="ListParagraph"/>
        <w:numPr>
          <w:ilvl w:val="0"/>
          <w:numId w:val="31"/>
        </w:numPr>
        <w:spacing w:after="120" w:line="240" w:lineRule="auto"/>
        <w:ind w:left="1800" w:right="1719" w:firstLine="0"/>
        <w:contextualSpacing w:val="0"/>
        <w:jc w:val="both"/>
        <w:rPr>
          <w:rFonts w:ascii="Times New Roman" w:hAnsi="Times New Roman"/>
          <w:sz w:val="20"/>
          <w:szCs w:val="20"/>
        </w:rPr>
      </w:pPr>
      <w:proofErr w:type="spellStart"/>
      <w:r w:rsidRPr="003D2BA6">
        <w:rPr>
          <w:rFonts w:ascii="Times New Roman" w:hAnsi="Times New Roman"/>
          <w:sz w:val="20"/>
          <w:szCs w:val="20"/>
        </w:rPr>
        <w:t>Primary</w:t>
      </w:r>
      <w:proofErr w:type="spellEnd"/>
      <w:r w:rsidRPr="003D2BA6">
        <w:rPr>
          <w:rFonts w:ascii="Times New Roman" w:hAnsi="Times New Roman"/>
          <w:sz w:val="20"/>
          <w:szCs w:val="20"/>
        </w:rPr>
        <w:t xml:space="preserve"> containers must </w:t>
      </w:r>
      <w:proofErr w:type="spellStart"/>
      <w:r w:rsidRPr="003D2BA6">
        <w:rPr>
          <w:rFonts w:ascii="Times New Roman" w:hAnsi="Times New Roman"/>
          <w:sz w:val="20"/>
          <w:szCs w:val="20"/>
        </w:rPr>
        <w:t>be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packed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into</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trays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that</w:t>
      </w:r>
      <w:proofErr w:type="spellEnd"/>
      <w:r w:rsidRPr="003D2BA6">
        <w:rPr>
          <w:rFonts w:ascii="Times New Roman" w:hAnsi="Times New Roman"/>
          <w:sz w:val="20"/>
          <w:szCs w:val="20"/>
        </w:rPr>
        <w:t xml:space="preserve"> secure </w:t>
      </w:r>
      <w:proofErr w:type="spellStart"/>
      <w:r w:rsidRPr="003D2BA6">
        <w:rPr>
          <w:rFonts w:ascii="Times New Roman" w:hAnsi="Times New Roman"/>
          <w:sz w:val="20"/>
          <w:szCs w:val="20"/>
        </w:rPr>
        <w:t>individual</w:t>
      </w:r>
      <w:proofErr w:type="spellEnd"/>
      <w:r w:rsidRPr="003D2BA6">
        <w:rPr>
          <w:rFonts w:ascii="Times New Roman" w:hAnsi="Times New Roman"/>
          <w:sz w:val="20"/>
          <w:szCs w:val="20"/>
        </w:rPr>
        <w:t xml:space="preserve"> containers </w:t>
      </w:r>
      <w:proofErr w:type="spellStart"/>
      <w:r w:rsidRPr="003D2BA6">
        <w:rPr>
          <w:rFonts w:ascii="Times New Roman" w:hAnsi="Times New Roman"/>
          <w:sz w:val="20"/>
          <w:szCs w:val="20"/>
        </w:rPr>
        <w:t>from</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shifting</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inside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completed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combination</w:t>
      </w:r>
      <w:proofErr w:type="spellEnd"/>
      <w:r w:rsidRPr="003D2BA6">
        <w:rPr>
          <w:rFonts w:ascii="Times New Roman" w:hAnsi="Times New Roman"/>
          <w:sz w:val="20"/>
          <w:szCs w:val="20"/>
        </w:rPr>
        <w:t xml:space="preserve"> package </w:t>
      </w:r>
      <w:proofErr w:type="spellStart"/>
      <w:r w:rsidRPr="003D2BA6">
        <w:rPr>
          <w:rFonts w:ascii="Times New Roman" w:hAnsi="Times New Roman"/>
          <w:sz w:val="20"/>
          <w:szCs w:val="20"/>
        </w:rPr>
        <w:t>during</w:t>
      </w:r>
      <w:proofErr w:type="spellEnd"/>
      <w:r w:rsidRPr="003D2BA6">
        <w:rPr>
          <w:rFonts w:ascii="Times New Roman" w:hAnsi="Times New Roman"/>
          <w:sz w:val="20"/>
          <w:szCs w:val="20"/>
        </w:rPr>
        <w:t xml:space="preserve"> transportation;</w:t>
      </w:r>
    </w:p>
    <w:p w:rsidR="003D2BA6" w:rsidRPr="003D2BA6" w:rsidRDefault="003D2BA6" w:rsidP="003D2BA6">
      <w:pPr>
        <w:pStyle w:val="ListParagraph"/>
        <w:numPr>
          <w:ilvl w:val="0"/>
          <w:numId w:val="31"/>
        </w:numPr>
        <w:spacing w:after="120" w:line="240" w:lineRule="auto"/>
        <w:ind w:left="1800" w:right="1719" w:firstLine="0"/>
        <w:contextualSpacing w:val="0"/>
        <w:jc w:val="both"/>
        <w:rPr>
          <w:rFonts w:ascii="Times New Roman" w:hAnsi="Times New Roman"/>
          <w:sz w:val="20"/>
          <w:szCs w:val="20"/>
        </w:rPr>
      </w:pPr>
      <w:r w:rsidRPr="003D2BA6">
        <w:rPr>
          <w:rFonts w:ascii="Times New Roman" w:hAnsi="Times New Roman"/>
          <w:sz w:val="20"/>
          <w:szCs w:val="20"/>
        </w:rPr>
        <w:t xml:space="preserve">Tray(s) must </w:t>
      </w:r>
      <w:proofErr w:type="spellStart"/>
      <w:r w:rsidRPr="003D2BA6">
        <w:rPr>
          <w:rFonts w:ascii="Times New Roman" w:hAnsi="Times New Roman"/>
          <w:sz w:val="20"/>
          <w:szCs w:val="20"/>
        </w:rPr>
        <w:t>be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placed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into</w:t>
      </w:r>
      <w:proofErr w:type="spellEnd"/>
      <w:r w:rsidRPr="003D2BA6">
        <w:rPr>
          <w:rFonts w:ascii="Times New Roman" w:hAnsi="Times New Roman"/>
          <w:sz w:val="20"/>
          <w:szCs w:val="20"/>
        </w:rPr>
        <w:t xml:space="preserve"> a </w:t>
      </w:r>
      <w:proofErr w:type="spellStart"/>
      <w:r w:rsidRPr="003D2BA6">
        <w:rPr>
          <w:rFonts w:ascii="Times New Roman" w:hAnsi="Times New Roman"/>
          <w:sz w:val="20"/>
          <w:szCs w:val="20"/>
        </w:rPr>
        <w:t>fibreboard</w:t>
      </w:r>
      <w:proofErr w:type="spellEnd"/>
      <w:r w:rsidRPr="003D2BA6">
        <w:rPr>
          <w:rFonts w:ascii="Times New Roman" w:hAnsi="Times New Roman"/>
          <w:sz w:val="20"/>
          <w:szCs w:val="20"/>
        </w:rPr>
        <w:t xml:space="preserve"> box, </w:t>
      </w:r>
      <w:proofErr w:type="spellStart"/>
      <w:r w:rsidRPr="003D2BA6">
        <w:rPr>
          <w:rFonts w:ascii="Times New Roman" w:hAnsi="Times New Roman"/>
          <w:sz w:val="20"/>
          <w:szCs w:val="20"/>
        </w:rPr>
        <w:t>and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fibreboard</w:t>
      </w:r>
      <w:proofErr w:type="spellEnd"/>
      <w:r w:rsidRPr="003D2BA6">
        <w:rPr>
          <w:rFonts w:ascii="Times New Roman" w:hAnsi="Times New Roman"/>
          <w:sz w:val="20"/>
          <w:szCs w:val="20"/>
        </w:rPr>
        <w:t xml:space="preserve"> box must </w:t>
      </w:r>
      <w:proofErr w:type="spellStart"/>
      <w:r w:rsidRPr="003D2BA6">
        <w:rPr>
          <w:rFonts w:ascii="Times New Roman" w:hAnsi="Times New Roman"/>
          <w:sz w:val="20"/>
          <w:szCs w:val="20"/>
        </w:rPr>
        <w:t>be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banded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and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secured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to</w:t>
      </w:r>
      <w:proofErr w:type="spellEnd"/>
      <w:r w:rsidRPr="003D2BA6">
        <w:rPr>
          <w:rFonts w:ascii="Times New Roman" w:hAnsi="Times New Roman"/>
          <w:sz w:val="20"/>
          <w:szCs w:val="20"/>
        </w:rPr>
        <w:t xml:space="preserve"> a pallet </w:t>
      </w:r>
      <w:proofErr w:type="spellStart"/>
      <w:r w:rsidRPr="003D2BA6">
        <w:rPr>
          <w:rFonts w:ascii="Times New Roman" w:hAnsi="Times New Roman"/>
          <w:sz w:val="20"/>
          <w:szCs w:val="20"/>
        </w:rPr>
        <w:t>by</w:t>
      </w:r>
      <w:proofErr w:type="spellEnd"/>
      <w:r w:rsidRPr="003D2BA6">
        <w:rPr>
          <w:rFonts w:ascii="Times New Roman" w:hAnsi="Times New Roman"/>
          <w:sz w:val="20"/>
          <w:szCs w:val="20"/>
        </w:rPr>
        <w:t xml:space="preserve"> metal, </w:t>
      </w:r>
      <w:proofErr w:type="spellStart"/>
      <w:r w:rsidRPr="003D2BA6">
        <w:rPr>
          <w:rFonts w:ascii="Times New Roman" w:hAnsi="Times New Roman"/>
          <w:sz w:val="20"/>
          <w:szCs w:val="20"/>
        </w:rPr>
        <w:t>fabric</w:t>
      </w:r>
      <w:proofErr w:type="spellEnd"/>
      <w:r w:rsidRPr="003D2BA6">
        <w:rPr>
          <w:rFonts w:ascii="Times New Roman" w:hAnsi="Times New Roman"/>
          <w:sz w:val="20"/>
          <w:szCs w:val="20"/>
        </w:rPr>
        <w:t xml:space="preserve">, or plastic </w:t>
      </w:r>
      <w:proofErr w:type="spellStart"/>
      <w:r w:rsidRPr="003D2BA6">
        <w:rPr>
          <w:rFonts w:ascii="Times New Roman" w:hAnsi="Times New Roman"/>
          <w:sz w:val="20"/>
          <w:szCs w:val="20"/>
        </w:rPr>
        <w:t>straps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to</w:t>
      </w:r>
      <w:proofErr w:type="spellEnd"/>
      <w:r w:rsidRPr="003D2BA6">
        <w:rPr>
          <w:rFonts w:ascii="Times New Roman" w:hAnsi="Times New Roman"/>
          <w:sz w:val="20"/>
          <w:szCs w:val="20"/>
        </w:rPr>
        <w:t xml:space="preserve"> form a single </w:t>
      </w:r>
      <w:proofErr w:type="spellStart"/>
      <w:r w:rsidRPr="003D2BA6">
        <w:rPr>
          <w:rFonts w:ascii="Times New Roman" w:hAnsi="Times New Roman"/>
          <w:sz w:val="20"/>
          <w:szCs w:val="20"/>
        </w:rPr>
        <w:t>palletized</w:t>
      </w:r>
      <w:proofErr w:type="spellEnd"/>
      <w:r w:rsidRPr="003D2BA6">
        <w:rPr>
          <w:rFonts w:ascii="Times New Roman" w:hAnsi="Times New Roman"/>
          <w:sz w:val="20"/>
          <w:szCs w:val="20"/>
        </w:rPr>
        <w:t xml:space="preserve"> unit; </w:t>
      </w:r>
      <w:proofErr w:type="spellStart"/>
      <w:r w:rsidRPr="003D2BA6">
        <w:rPr>
          <w:rFonts w:ascii="Times New Roman" w:hAnsi="Times New Roman"/>
          <w:sz w:val="20"/>
          <w:szCs w:val="20"/>
        </w:rPr>
        <w:t>and</w:t>
      </w:r>
      <w:proofErr w:type="spellEnd"/>
    </w:p>
    <w:p w:rsidR="003D2BA6" w:rsidRPr="003D2BA6" w:rsidRDefault="003D2BA6" w:rsidP="003D2BA6">
      <w:pPr>
        <w:pStyle w:val="ListParagraph"/>
        <w:numPr>
          <w:ilvl w:val="0"/>
          <w:numId w:val="31"/>
        </w:numPr>
        <w:spacing w:after="120" w:line="240" w:lineRule="auto"/>
        <w:ind w:left="1800" w:right="1719" w:firstLine="0"/>
        <w:contextualSpacing w:val="0"/>
        <w:jc w:val="both"/>
        <w:rPr>
          <w:rFonts w:ascii="Times New Roman" w:hAnsi="Times New Roman"/>
          <w:sz w:val="20"/>
          <w:szCs w:val="20"/>
        </w:rPr>
      </w:pPr>
      <w:r w:rsidRPr="003D2BA6">
        <w:rPr>
          <w:rFonts w:ascii="Times New Roman" w:hAnsi="Times New Roman"/>
          <w:sz w:val="20"/>
          <w:szCs w:val="20"/>
        </w:rPr>
        <w:t xml:space="preserve">The maximum net </w:t>
      </w:r>
      <w:proofErr w:type="spellStart"/>
      <w:r w:rsidRPr="003D2BA6">
        <w:rPr>
          <w:rFonts w:ascii="Times New Roman" w:hAnsi="Times New Roman"/>
          <w:sz w:val="20"/>
          <w:szCs w:val="20"/>
        </w:rPr>
        <w:t>quantity</w:t>
      </w:r>
      <w:proofErr w:type="spellEnd"/>
      <w:r w:rsidRPr="003D2BA6">
        <w:rPr>
          <w:rFonts w:ascii="Times New Roman" w:hAnsi="Times New Roman"/>
          <w:sz w:val="20"/>
          <w:szCs w:val="20"/>
        </w:rPr>
        <w:t xml:space="preserve"> of </w:t>
      </w:r>
      <w:proofErr w:type="spellStart"/>
      <w:r w:rsidRPr="003D2BA6">
        <w:rPr>
          <w:rFonts w:ascii="Times New Roman" w:hAnsi="Times New Roman"/>
          <w:sz w:val="20"/>
          <w:szCs w:val="20"/>
        </w:rPr>
        <w:t>hazardous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material</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permitted</w:t>
      </w:r>
      <w:proofErr w:type="spellEnd"/>
      <w:r w:rsidRPr="003D2BA6">
        <w:rPr>
          <w:rFonts w:ascii="Times New Roman" w:hAnsi="Times New Roman"/>
          <w:sz w:val="20"/>
          <w:szCs w:val="20"/>
        </w:rPr>
        <w:t xml:space="preserve"> in </w:t>
      </w:r>
      <w:proofErr w:type="spellStart"/>
      <w:r w:rsidRPr="003D2BA6">
        <w:rPr>
          <w:rFonts w:ascii="Times New Roman" w:hAnsi="Times New Roman"/>
          <w:sz w:val="20"/>
          <w:szCs w:val="20"/>
        </w:rPr>
        <w:t>one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palletized</w:t>
      </w:r>
      <w:proofErr w:type="spellEnd"/>
      <w:r w:rsidRPr="003D2BA6">
        <w:rPr>
          <w:rFonts w:ascii="Times New Roman" w:hAnsi="Times New Roman"/>
          <w:sz w:val="20"/>
          <w:szCs w:val="20"/>
        </w:rPr>
        <w:t xml:space="preserve"> unit is 550 kg (1,210 </w:t>
      </w:r>
      <w:proofErr w:type="spellStart"/>
      <w:r w:rsidRPr="003D2BA6">
        <w:rPr>
          <w:rFonts w:ascii="Times New Roman" w:hAnsi="Times New Roman"/>
          <w:sz w:val="20"/>
          <w:szCs w:val="20"/>
        </w:rPr>
        <w:t>lbs</w:t>
      </w:r>
      <w:proofErr w:type="spellEnd"/>
      <w:r w:rsidRPr="003D2BA6">
        <w:rPr>
          <w:rFonts w:ascii="Times New Roman" w:hAnsi="Times New Roman"/>
          <w:sz w:val="20"/>
          <w:szCs w:val="20"/>
        </w:rPr>
        <w:t>.).</w:t>
      </w:r>
    </w:p>
    <w:p w:rsidR="003D2BA6" w:rsidRPr="003D2BA6" w:rsidRDefault="003D2BA6" w:rsidP="003D2BA6">
      <w:pPr>
        <w:pStyle w:val="ListParagraph"/>
        <w:numPr>
          <w:ilvl w:val="0"/>
          <w:numId w:val="30"/>
        </w:numPr>
        <w:spacing w:after="120" w:line="240" w:lineRule="auto"/>
        <w:ind w:left="1800" w:right="1719" w:firstLine="0"/>
        <w:contextualSpacing w:val="0"/>
        <w:jc w:val="both"/>
        <w:rPr>
          <w:rFonts w:ascii="Times New Roman" w:hAnsi="Times New Roman"/>
          <w:sz w:val="20"/>
          <w:szCs w:val="20"/>
        </w:rPr>
      </w:pPr>
      <w:r w:rsidRPr="003D2BA6">
        <w:rPr>
          <w:rFonts w:ascii="Times New Roman" w:hAnsi="Times New Roman"/>
          <w:i/>
          <w:sz w:val="20"/>
          <w:szCs w:val="20"/>
        </w:rPr>
        <w:t>Marking</w:t>
      </w:r>
      <w:r w:rsidRPr="003D2BA6">
        <w:rPr>
          <w:rFonts w:ascii="Times New Roman" w:hAnsi="Times New Roman"/>
          <w:sz w:val="20"/>
          <w:szCs w:val="20"/>
        </w:rPr>
        <w:t xml:space="preserve">. The </w:t>
      </w:r>
      <w:proofErr w:type="spellStart"/>
      <w:r w:rsidRPr="003D2BA6">
        <w:rPr>
          <w:rFonts w:ascii="Times New Roman" w:hAnsi="Times New Roman"/>
          <w:sz w:val="20"/>
          <w:szCs w:val="20"/>
        </w:rPr>
        <w:t>outside</w:t>
      </w:r>
      <w:proofErr w:type="spellEnd"/>
      <w:r w:rsidRPr="003D2BA6">
        <w:rPr>
          <w:rFonts w:ascii="Times New Roman" w:hAnsi="Times New Roman"/>
          <w:sz w:val="20"/>
          <w:szCs w:val="20"/>
        </w:rPr>
        <w:t xml:space="preserve"> of </w:t>
      </w:r>
      <w:proofErr w:type="spellStart"/>
      <w:r w:rsidRPr="003D2BA6">
        <w:rPr>
          <w:rFonts w:ascii="Times New Roman" w:hAnsi="Times New Roman"/>
          <w:sz w:val="20"/>
          <w:szCs w:val="20"/>
        </w:rPr>
        <w:t>each</w:t>
      </w:r>
      <w:proofErr w:type="spellEnd"/>
      <w:r w:rsidRPr="003D2BA6">
        <w:rPr>
          <w:rFonts w:ascii="Times New Roman" w:hAnsi="Times New Roman"/>
          <w:sz w:val="20"/>
          <w:szCs w:val="20"/>
        </w:rPr>
        <w:t xml:space="preserve"> package must </w:t>
      </w:r>
      <w:proofErr w:type="spellStart"/>
      <w:r w:rsidRPr="003D2BA6">
        <w:rPr>
          <w:rFonts w:ascii="Times New Roman" w:hAnsi="Times New Roman"/>
          <w:sz w:val="20"/>
          <w:szCs w:val="20"/>
        </w:rPr>
        <w:t>be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plainly</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and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durably</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marked</w:t>
      </w:r>
      <w:proofErr w:type="spellEnd"/>
      <w:r w:rsidRPr="003D2BA6">
        <w:rPr>
          <w:rFonts w:ascii="Times New Roman" w:hAnsi="Times New Roman"/>
          <w:sz w:val="20"/>
          <w:szCs w:val="20"/>
        </w:rPr>
        <w:t xml:space="preserve"> in </w:t>
      </w:r>
      <w:proofErr w:type="spellStart"/>
      <w:r w:rsidRPr="003D2BA6">
        <w:rPr>
          <w:rFonts w:ascii="Times New Roman" w:hAnsi="Times New Roman"/>
          <w:sz w:val="20"/>
          <w:szCs w:val="20"/>
        </w:rPr>
        <w:t>accordance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with</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one</w:t>
      </w:r>
      <w:proofErr w:type="spellEnd"/>
      <w:r w:rsidRPr="003D2BA6">
        <w:rPr>
          <w:rFonts w:ascii="Times New Roman" w:hAnsi="Times New Roman"/>
          <w:sz w:val="20"/>
          <w:szCs w:val="20"/>
        </w:rPr>
        <w:t xml:space="preserve"> of </w:t>
      </w:r>
      <w:proofErr w:type="spellStart"/>
      <w:r w:rsidRPr="003D2BA6">
        <w:rPr>
          <w:rFonts w:ascii="Times New Roman" w:hAnsi="Times New Roman"/>
          <w:sz w:val="20"/>
          <w:szCs w:val="20"/>
        </w:rPr>
        <w:t>the</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following</w:t>
      </w:r>
      <w:proofErr w:type="spellEnd"/>
      <w:r w:rsidRPr="003D2BA6">
        <w:rPr>
          <w:rFonts w:ascii="Times New Roman" w:hAnsi="Times New Roman"/>
          <w:sz w:val="20"/>
          <w:szCs w:val="20"/>
        </w:rPr>
        <w:t xml:space="preserve">, as </w:t>
      </w:r>
      <w:proofErr w:type="spellStart"/>
      <w:r w:rsidRPr="003D2BA6">
        <w:rPr>
          <w:rFonts w:ascii="Times New Roman" w:hAnsi="Times New Roman"/>
          <w:sz w:val="20"/>
          <w:szCs w:val="20"/>
        </w:rPr>
        <w:t>appropriate</w:t>
      </w:r>
      <w:proofErr w:type="spellEnd"/>
      <w:r w:rsidRPr="003D2BA6">
        <w:rPr>
          <w:rFonts w:ascii="Times New Roman" w:hAnsi="Times New Roman"/>
          <w:sz w:val="20"/>
          <w:szCs w:val="20"/>
        </w:rPr>
        <w:t>:</w:t>
      </w:r>
    </w:p>
    <w:p w:rsidR="003D2BA6" w:rsidRPr="003D2BA6" w:rsidRDefault="003D2BA6" w:rsidP="003D2BA6">
      <w:pPr>
        <w:pStyle w:val="ListParagraph"/>
        <w:numPr>
          <w:ilvl w:val="0"/>
          <w:numId w:val="32"/>
        </w:numPr>
        <w:spacing w:after="120" w:line="240" w:lineRule="auto"/>
        <w:ind w:left="1800" w:right="1719" w:firstLine="0"/>
        <w:contextualSpacing w:val="0"/>
        <w:jc w:val="both"/>
        <w:rPr>
          <w:rFonts w:ascii="Times New Roman" w:hAnsi="Times New Roman"/>
          <w:sz w:val="20"/>
          <w:szCs w:val="20"/>
        </w:rPr>
      </w:pPr>
      <w:r w:rsidRPr="003D2BA6">
        <w:rPr>
          <w:rFonts w:ascii="Times New Roman" w:hAnsi="Times New Roman"/>
          <w:sz w:val="20"/>
          <w:szCs w:val="20"/>
        </w:rPr>
        <w:t>(…)</w:t>
      </w:r>
    </w:p>
    <w:p w:rsidR="003D2BA6" w:rsidRPr="003D2BA6" w:rsidRDefault="003D2BA6" w:rsidP="003D2BA6">
      <w:pPr>
        <w:pStyle w:val="ListParagraph"/>
        <w:numPr>
          <w:ilvl w:val="0"/>
          <w:numId w:val="32"/>
        </w:numPr>
        <w:spacing w:after="120" w:line="240" w:lineRule="auto"/>
        <w:ind w:left="1800" w:right="1719" w:firstLine="0"/>
        <w:contextualSpacing w:val="0"/>
        <w:jc w:val="both"/>
        <w:rPr>
          <w:rFonts w:ascii="Times New Roman" w:hAnsi="Times New Roman"/>
          <w:sz w:val="20"/>
          <w:szCs w:val="20"/>
        </w:rPr>
      </w:pPr>
      <w:r w:rsidRPr="003D2BA6">
        <w:rPr>
          <w:rFonts w:ascii="Times New Roman" w:hAnsi="Times New Roman"/>
          <w:sz w:val="20"/>
          <w:szCs w:val="20"/>
        </w:rPr>
        <w:t xml:space="preserve">As a </w:t>
      </w:r>
      <w:proofErr w:type="spellStart"/>
      <w:r w:rsidRPr="003D2BA6">
        <w:rPr>
          <w:rFonts w:ascii="Times New Roman" w:hAnsi="Times New Roman"/>
          <w:sz w:val="20"/>
          <w:szCs w:val="20"/>
        </w:rPr>
        <w:t>limited</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quantity</w:t>
      </w:r>
      <w:proofErr w:type="spellEnd"/>
      <w:r w:rsidRPr="003D2BA6">
        <w:rPr>
          <w:rFonts w:ascii="Times New Roman" w:hAnsi="Times New Roman"/>
          <w:sz w:val="20"/>
          <w:szCs w:val="20"/>
        </w:rPr>
        <w:t xml:space="preserve"> as </w:t>
      </w:r>
      <w:proofErr w:type="spellStart"/>
      <w:r w:rsidRPr="003D2BA6">
        <w:rPr>
          <w:rFonts w:ascii="Times New Roman" w:hAnsi="Times New Roman"/>
          <w:sz w:val="20"/>
          <w:szCs w:val="20"/>
        </w:rPr>
        <w:t>prescribed</w:t>
      </w:r>
      <w:proofErr w:type="spellEnd"/>
      <w:r w:rsidRPr="003D2BA6">
        <w:rPr>
          <w:rFonts w:ascii="Times New Roman" w:hAnsi="Times New Roman"/>
          <w:sz w:val="20"/>
          <w:szCs w:val="20"/>
        </w:rPr>
        <w:t xml:space="preserve"> in §172.315 of </w:t>
      </w:r>
      <w:proofErr w:type="spellStart"/>
      <w:r w:rsidRPr="003D2BA6">
        <w:rPr>
          <w:rFonts w:ascii="Times New Roman" w:hAnsi="Times New Roman"/>
          <w:sz w:val="20"/>
          <w:szCs w:val="20"/>
        </w:rPr>
        <w:t>this</w:t>
      </w:r>
      <w:proofErr w:type="spellEnd"/>
      <w:r w:rsidRPr="003D2BA6">
        <w:rPr>
          <w:rFonts w:ascii="Times New Roman" w:hAnsi="Times New Roman"/>
          <w:sz w:val="20"/>
          <w:szCs w:val="20"/>
        </w:rPr>
        <w:t xml:space="preserve"> </w:t>
      </w:r>
      <w:proofErr w:type="spellStart"/>
      <w:r w:rsidRPr="003D2BA6">
        <w:rPr>
          <w:rFonts w:ascii="Times New Roman" w:hAnsi="Times New Roman"/>
          <w:sz w:val="20"/>
          <w:szCs w:val="20"/>
        </w:rPr>
        <w:t>subchapter</w:t>
      </w:r>
      <w:proofErr w:type="spellEnd"/>
      <w:r w:rsidRPr="003D2BA6">
        <w:rPr>
          <w:rFonts w:ascii="Times New Roman" w:hAnsi="Times New Roman"/>
          <w:sz w:val="20"/>
          <w:szCs w:val="20"/>
        </w:rPr>
        <w:t>.”</w:t>
      </w:r>
    </w:p>
    <w:p w:rsidR="003D2BA6" w:rsidRDefault="003D2BA6" w:rsidP="003D2BA6">
      <w:pPr>
        <w:pStyle w:val="SingleTxtG"/>
      </w:pPr>
      <w:r>
        <w:t>7.</w:t>
      </w:r>
      <w:r>
        <w:tab/>
        <w:t>Such packages remain subject to all the other requirements that apply to dangerous goods shipped in limited quantities.</w:t>
      </w:r>
    </w:p>
    <w:p w:rsidR="003D2BA6" w:rsidRDefault="003D2BA6" w:rsidP="003D2BA6">
      <w:pPr>
        <w:pStyle w:val="SingleTxtG"/>
      </w:pPr>
      <w:r>
        <w:lastRenderedPageBreak/>
        <w:t>8.</w:t>
      </w:r>
      <w:r>
        <w:tab/>
        <w:t>Display packs prepared as described above have a long safety record by road, rail, and vessel in the United States</w:t>
      </w:r>
      <w:r w:rsidR="0096425E">
        <w:t xml:space="preserve"> of America</w:t>
      </w:r>
      <w:r>
        <w:t>, which have authorized the provisions for more than 20 years.</w:t>
      </w:r>
    </w:p>
    <w:p w:rsidR="003D2BA6" w:rsidRPr="00DB24AB" w:rsidRDefault="003D2BA6" w:rsidP="003D2BA6">
      <w:pPr>
        <w:pStyle w:val="SingleTxtG"/>
      </w:pPr>
      <w:r>
        <w:t>9.</w:t>
      </w:r>
      <w:r>
        <w:tab/>
        <w:t xml:space="preserve">COSTHA has provided additional information, including examples of such display packs, as an </w:t>
      </w:r>
      <w:r w:rsidR="0096425E">
        <w:t>a</w:t>
      </w:r>
      <w:r>
        <w:t>nnex to this document.</w:t>
      </w:r>
    </w:p>
    <w:p w:rsidR="003D2BA6" w:rsidRPr="00245DDB" w:rsidRDefault="001B30C3" w:rsidP="001B30C3">
      <w:pPr>
        <w:pStyle w:val="HChG"/>
      </w:pPr>
      <w:r>
        <w:tab/>
      </w:r>
      <w:r>
        <w:tab/>
      </w:r>
      <w:r w:rsidR="003D2BA6" w:rsidRPr="00245DDB">
        <w:t>Proposal</w:t>
      </w:r>
    </w:p>
    <w:p w:rsidR="003D2BA6" w:rsidRDefault="001B30C3" w:rsidP="001B30C3">
      <w:pPr>
        <w:pStyle w:val="SingleTxtG"/>
      </w:pPr>
      <w:r>
        <w:t>10.</w:t>
      </w:r>
      <w:r>
        <w:tab/>
      </w:r>
      <w:r w:rsidR="003D2BA6">
        <w:t>COSTHA requests that the Joint Meeting consider the value of adopting a similar provision into Chapter 3.4 of ADR:</w:t>
      </w:r>
    </w:p>
    <w:p w:rsidR="003D2BA6" w:rsidRPr="001B30C3" w:rsidRDefault="0096425E" w:rsidP="003D2BA6">
      <w:pPr>
        <w:suppressAutoHyphens w:val="0"/>
        <w:spacing w:after="120" w:line="240" w:lineRule="auto"/>
        <w:ind w:left="1800" w:right="1719"/>
        <w:jc w:val="both"/>
        <w:rPr>
          <w:rFonts w:asciiTheme="majorBidi" w:hAnsiTheme="majorBidi" w:cstheme="majorBidi"/>
          <w:u w:val="single"/>
        </w:rPr>
      </w:pPr>
      <w:r>
        <w:rPr>
          <w:rFonts w:asciiTheme="majorBidi" w:hAnsiTheme="majorBidi" w:cstheme="majorBidi"/>
          <w:u w:val="single"/>
        </w:rPr>
        <w:t>“</w:t>
      </w:r>
      <w:r w:rsidR="003D2BA6" w:rsidRPr="001B30C3">
        <w:rPr>
          <w:rFonts w:asciiTheme="majorBidi" w:hAnsiTheme="majorBidi" w:cstheme="majorBidi"/>
          <w:u w:val="single"/>
        </w:rPr>
        <w:t xml:space="preserve">[3.4.5] </w:t>
      </w:r>
      <w:r w:rsidR="003D2BA6" w:rsidRPr="001B30C3">
        <w:rPr>
          <w:rFonts w:asciiTheme="majorBidi" w:hAnsiTheme="majorBidi" w:cstheme="majorBidi"/>
          <w:u w:val="single"/>
        </w:rPr>
        <w:tab/>
        <w:t>Display packs of limited quantity packages intended for retail distribution are excepted from the gross mass limitation of 3.4.1.2 if packed in accordance with the following provisions:</w:t>
      </w:r>
    </w:p>
    <w:p w:rsidR="003D2BA6" w:rsidRPr="0096425E" w:rsidRDefault="0096425E" w:rsidP="0096425E">
      <w:pPr>
        <w:spacing w:after="120" w:line="240" w:lineRule="auto"/>
        <w:ind w:left="1800" w:right="1719"/>
        <w:jc w:val="both"/>
        <w:rPr>
          <w:rFonts w:asciiTheme="majorBidi" w:hAnsiTheme="majorBidi" w:cstheme="majorBidi"/>
          <w:u w:val="single"/>
        </w:rPr>
      </w:pPr>
      <w:r>
        <w:rPr>
          <w:rFonts w:asciiTheme="majorBidi" w:hAnsiTheme="majorBidi" w:cstheme="majorBidi"/>
          <w:u w:val="single"/>
        </w:rPr>
        <w:t>(a)</w:t>
      </w:r>
      <w:r>
        <w:rPr>
          <w:rFonts w:asciiTheme="majorBidi" w:hAnsiTheme="majorBidi" w:cstheme="majorBidi"/>
          <w:u w:val="single"/>
        </w:rPr>
        <w:tab/>
      </w:r>
      <w:r w:rsidR="003D2BA6" w:rsidRPr="0096425E">
        <w:rPr>
          <w:rFonts w:asciiTheme="majorBidi" w:hAnsiTheme="majorBidi" w:cstheme="majorBidi"/>
          <w:u w:val="single"/>
        </w:rPr>
        <w:t xml:space="preserve">Outer </w:t>
      </w:r>
      <w:proofErr w:type="spellStart"/>
      <w:r w:rsidR="003D2BA6" w:rsidRPr="0096425E">
        <w:rPr>
          <w:rFonts w:asciiTheme="majorBidi" w:hAnsiTheme="majorBidi" w:cstheme="majorBidi"/>
          <w:u w:val="single"/>
        </w:rPr>
        <w:t>packagings</w:t>
      </w:r>
      <w:proofErr w:type="spellEnd"/>
      <w:r w:rsidR="003D2BA6" w:rsidRPr="0096425E">
        <w:rPr>
          <w:rFonts w:asciiTheme="majorBidi" w:hAnsiTheme="majorBidi" w:cstheme="majorBidi"/>
          <w:u w:val="single"/>
        </w:rPr>
        <w:t xml:space="preserve"> shall meet </w:t>
      </w:r>
      <w:proofErr w:type="spellStart"/>
      <w:r w:rsidR="003D2BA6" w:rsidRPr="0096425E">
        <w:rPr>
          <w:rFonts w:asciiTheme="majorBidi" w:hAnsiTheme="majorBidi" w:cstheme="majorBidi"/>
          <w:u w:val="single"/>
        </w:rPr>
        <w:t>the</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general</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requirements</w:t>
      </w:r>
      <w:proofErr w:type="spellEnd"/>
      <w:r w:rsidR="003D2BA6" w:rsidRPr="0096425E">
        <w:rPr>
          <w:rFonts w:asciiTheme="majorBidi" w:hAnsiTheme="majorBidi" w:cstheme="majorBidi"/>
          <w:u w:val="single"/>
        </w:rPr>
        <w:t xml:space="preserve"> of 4.1.1.1, 4.1.1.2, </w:t>
      </w:r>
      <w:proofErr w:type="spellStart"/>
      <w:r w:rsidR="003D2BA6" w:rsidRPr="0096425E">
        <w:rPr>
          <w:rFonts w:asciiTheme="majorBidi" w:hAnsiTheme="majorBidi" w:cstheme="majorBidi"/>
          <w:u w:val="single"/>
        </w:rPr>
        <w:t>and</w:t>
      </w:r>
      <w:proofErr w:type="spellEnd"/>
      <w:r w:rsidR="003D2BA6" w:rsidRPr="0096425E">
        <w:rPr>
          <w:rFonts w:asciiTheme="majorBidi" w:hAnsiTheme="majorBidi" w:cstheme="majorBidi"/>
          <w:u w:val="single"/>
        </w:rPr>
        <w:t xml:space="preserve"> 4.1.1.4 </w:t>
      </w:r>
      <w:proofErr w:type="spellStart"/>
      <w:r w:rsidR="003D2BA6" w:rsidRPr="0096425E">
        <w:rPr>
          <w:rFonts w:asciiTheme="majorBidi" w:hAnsiTheme="majorBidi" w:cstheme="majorBidi"/>
          <w:u w:val="single"/>
        </w:rPr>
        <w:t>through</w:t>
      </w:r>
      <w:proofErr w:type="spellEnd"/>
      <w:r w:rsidR="003D2BA6" w:rsidRPr="0096425E">
        <w:rPr>
          <w:rFonts w:asciiTheme="majorBidi" w:hAnsiTheme="majorBidi" w:cstheme="majorBidi"/>
          <w:u w:val="single"/>
        </w:rPr>
        <w:t xml:space="preserve"> 4.1.1.8;</w:t>
      </w:r>
    </w:p>
    <w:p w:rsidR="003D2BA6" w:rsidRPr="0096425E" w:rsidRDefault="0096425E" w:rsidP="0096425E">
      <w:pPr>
        <w:spacing w:after="120" w:line="240" w:lineRule="auto"/>
        <w:ind w:left="1800" w:right="1719"/>
        <w:jc w:val="both"/>
        <w:rPr>
          <w:rFonts w:asciiTheme="majorBidi" w:hAnsiTheme="majorBidi" w:cstheme="majorBidi"/>
          <w:u w:val="single"/>
        </w:rPr>
      </w:pPr>
      <w:r>
        <w:rPr>
          <w:rFonts w:asciiTheme="majorBidi" w:hAnsiTheme="majorBidi" w:cstheme="majorBidi"/>
          <w:u w:val="single"/>
        </w:rPr>
        <w:t>(b)</w:t>
      </w:r>
      <w:r>
        <w:rPr>
          <w:rFonts w:asciiTheme="majorBidi" w:hAnsiTheme="majorBidi" w:cstheme="majorBidi"/>
          <w:u w:val="single"/>
        </w:rPr>
        <w:tab/>
      </w:r>
      <w:r w:rsidR="003D2BA6" w:rsidRPr="0096425E">
        <w:rPr>
          <w:rFonts w:asciiTheme="majorBidi" w:hAnsiTheme="majorBidi" w:cstheme="majorBidi"/>
          <w:u w:val="single"/>
        </w:rPr>
        <w:t xml:space="preserve">Inner </w:t>
      </w:r>
      <w:proofErr w:type="spellStart"/>
      <w:r w:rsidR="003D2BA6" w:rsidRPr="0096425E">
        <w:rPr>
          <w:rFonts w:asciiTheme="majorBidi" w:hAnsiTheme="majorBidi" w:cstheme="majorBidi"/>
          <w:u w:val="single"/>
        </w:rPr>
        <w:t>packagings</w:t>
      </w:r>
      <w:proofErr w:type="spellEnd"/>
      <w:r w:rsidR="003D2BA6" w:rsidRPr="0096425E">
        <w:rPr>
          <w:rFonts w:asciiTheme="majorBidi" w:hAnsiTheme="majorBidi" w:cstheme="majorBidi"/>
          <w:u w:val="single"/>
        </w:rPr>
        <w:t xml:space="preserve"> shall be </w:t>
      </w:r>
      <w:proofErr w:type="spellStart"/>
      <w:r w:rsidR="003D2BA6" w:rsidRPr="0096425E">
        <w:rPr>
          <w:rFonts w:asciiTheme="majorBidi" w:hAnsiTheme="majorBidi" w:cstheme="majorBidi"/>
          <w:u w:val="single"/>
        </w:rPr>
        <w:t>securely</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packed</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into</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trays</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that</w:t>
      </w:r>
      <w:proofErr w:type="spellEnd"/>
      <w:r w:rsidR="003D2BA6" w:rsidRPr="0096425E">
        <w:rPr>
          <w:rFonts w:asciiTheme="majorBidi" w:hAnsiTheme="majorBidi" w:cstheme="majorBidi"/>
          <w:u w:val="single"/>
        </w:rPr>
        <w:t xml:space="preserve"> prevent shifting or movement of the inner </w:t>
      </w:r>
      <w:proofErr w:type="spellStart"/>
      <w:r w:rsidR="003D2BA6" w:rsidRPr="0096425E">
        <w:rPr>
          <w:rFonts w:asciiTheme="majorBidi" w:hAnsiTheme="majorBidi" w:cstheme="majorBidi"/>
          <w:u w:val="single"/>
        </w:rPr>
        <w:t>packagings</w:t>
      </w:r>
      <w:proofErr w:type="spellEnd"/>
      <w:r w:rsidR="003D2BA6" w:rsidRPr="0096425E">
        <w:rPr>
          <w:rFonts w:asciiTheme="majorBidi" w:hAnsiTheme="majorBidi" w:cstheme="majorBidi"/>
          <w:u w:val="single"/>
        </w:rPr>
        <w:t xml:space="preserve">; </w:t>
      </w:r>
    </w:p>
    <w:p w:rsidR="003D2BA6" w:rsidRPr="0096425E" w:rsidRDefault="0096425E" w:rsidP="0096425E">
      <w:pPr>
        <w:spacing w:after="120" w:line="240" w:lineRule="auto"/>
        <w:ind w:left="1800" w:right="1719"/>
        <w:jc w:val="both"/>
        <w:rPr>
          <w:rFonts w:asciiTheme="majorBidi" w:hAnsiTheme="majorBidi" w:cstheme="majorBidi"/>
          <w:u w:val="single"/>
        </w:rPr>
      </w:pPr>
      <w:r>
        <w:rPr>
          <w:rFonts w:asciiTheme="majorBidi" w:hAnsiTheme="majorBidi" w:cstheme="majorBidi"/>
          <w:u w:val="single"/>
        </w:rPr>
        <w:t>(c)</w:t>
      </w:r>
      <w:r>
        <w:rPr>
          <w:rFonts w:asciiTheme="majorBidi" w:hAnsiTheme="majorBidi" w:cstheme="majorBidi"/>
          <w:u w:val="single"/>
        </w:rPr>
        <w:tab/>
      </w:r>
      <w:r w:rsidR="003D2BA6" w:rsidRPr="0096425E">
        <w:rPr>
          <w:rFonts w:asciiTheme="majorBidi" w:hAnsiTheme="majorBidi" w:cstheme="majorBidi"/>
          <w:u w:val="single"/>
        </w:rPr>
        <w:t>Trays shall be placed into a strong outer packaging that is securely attached to a pallet through metal, plastic or fabric straps to form a palletized unit;</w:t>
      </w:r>
    </w:p>
    <w:p w:rsidR="003D2BA6" w:rsidRPr="0096425E" w:rsidRDefault="0096425E" w:rsidP="0096425E">
      <w:pPr>
        <w:spacing w:after="120" w:line="240" w:lineRule="auto"/>
        <w:ind w:left="1800" w:right="1719"/>
        <w:jc w:val="both"/>
        <w:rPr>
          <w:rFonts w:asciiTheme="majorBidi" w:hAnsiTheme="majorBidi" w:cstheme="majorBidi"/>
          <w:u w:val="single"/>
        </w:rPr>
      </w:pPr>
      <w:r>
        <w:rPr>
          <w:rFonts w:asciiTheme="majorBidi" w:hAnsiTheme="majorBidi" w:cstheme="majorBidi"/>
          <w:u w:val="single"/>
        </w:rPr>
        <w:t>(d)</w:t>
      </w:r>
      <w:r>
        <w:rPr>
          <w:rFonts w:asciiTheme="majorBidi" w:hAnsiTheme="majorBidi" w:cstheme="majorBidi"/>
          <w:u w:val="single"/>
        </w:rPr>
        <w:tab/>
      </w:r>
      <w:r w:rsidR="003D2BA6" w:rsidRPr="0096425E">
        <w:rPr>
          <w:rFonts w:asciiTheme="majorBidi" w:hAnsiTheme="majorBidi" w:cstheme="majorBidi"/>
          <w:u w:val="single"/>
        </w:rPr>
        <w:t xml:space="preserve">Gross mass of </w:t>
      </w:r>
      <w:proofErr w:type="spellStart"/>
      <w:r w:rsidR="003D2BA6" w:rsidRPr="0096425E">
        <w:rPr>
          <w:rFonts w:asciiTheme="majorBidi" w:hAnsiTheme="majorBidi" w:cstheme="majorBidi"/>
          <w:u w:val="single"/>
        </w:rPr>
        <w:t>the</w:t>
      </w:r>
      <w:proofErr w:type="spellEnd"/>
      <w:r w:rsidR="003D2BA6" w:rsidRPr="0096425E">
        <w:rPr>
          <w:rFonts w:asciiTheme="majorBidi" w:hAnsiTheme="majorBidi" w:cstheme="majorBidi"/>
          <w:u w:val="single"/>
        </w:rPr>
        <w:t xml:space="preserve"> </w:t>
      </w:r>
      <w:proofErr w:type="spellStart"/>
      <w:r w:rsidR="003D2BA6" w:rsidRPr="0096425E">
        <w:rPr>
          <w:rFonts w:asciiTheme="majorBidi" w:hAnsiTheme="majorBidi" w:cstheme="majorBidi"/>
          <w:u w:val="single"/>
        </w:rPr>
        <w:t>completed</w:t>
      </w:r>
      <w:proofErr w:type="spellEnd"/>
      <w:r w:rsidR="003D2BA6" w:rsidRPr="0096425E">
        <w:rPr>
          <w:rFonts w:asciiTheme="majorBidi" w:hAnsiTheme="majorBidi" w:cstheme="majorBidi"/>
          <w:u w:val="single"/>
        </w:rPr>
        <w:t xml:space="preserve"> package </w:t>
      </w:r>
      <w:proofErr w:type="spellStart"/>
      <w:r w:rsidR="003D2BA6" w:rsidRPr="0096425E">
        <w:rPr>
          <w:rFonts w:asciiTheme="majorBidi" w:hAnsiTheme="majorBidi" w:cstheme="majorBidi"/>
          <w:u w:val="single"/>
        </w:rPr>
        <w:t>shall</w:t>
      </w:r>
      <w:proofErr w:type="spellEnd"/>
      <w:r w:rsidR="003D2BA6" w:rsidRPr="0096425E">
        <w:rPr>
          <w:rFonts w:asciiTheme="majorBidi" w:hAnsiTheme="majorBidi" w:cstheme="majorBidi"/>
          <w:u w:val="single"/>
        </w:rPr>
        <w:t xml:space="preserve"> not exceed 550 kg.</w:t>
      </w:r>
      <w:r>
        <w:rPr>
          <w:rFonts w:asciiTheme="majorBidi" w:hAnsiTheme="majorBidi" w:cstheme="majorBidi"/>
          <w:u w:val="single"/>
        </w:rPr>
        <w:t>”.</w:t>
      </w:r>
    </w:p>
    <w:p w:rsidR="003D2BA6" w:rsidRPr="00245DDB" w:rsidRDefault="001B30C3" w:rsidP="001B30C3">
      <w:pPr>
        <w:pStyle w:val="HChG"/>
      </w:pPr>
      <w:r>
        <w:tab/>
      </w:r>
      <w:r>
        <w:tab/>
      </w:r>
      <w:r w:rsidR="003D2BA6">
        <w:t>Justification</w:t>
      </w:r>
    </w:p>
    <w:p w:rsidR="003D2BA6" w:rsidRDefault="003D2BA6" w:rsidP="003D2BA6">
      <w:pPr>
        <w:suppressAutoHyphens w:val="0"/>
        <w:spacing w:after="120" w:line="240" w:lineRule="auto"/>
        <w:ind w:left="2160" w:right="999" w:hanging="1080"/>
        <w:jc w:val="both"/>
      </w:pPr>
      <w:r>
        <w:t>Safety:</w:t>
      </w:r>
      <w:r>
        <w:tab/>
        <w:t>Alignment with the provisions in 49 CFR should offer an</w:t>
      </w:r>
      <w:r w:rsidRPr="00D72D9C">
        <w:t xml:space="preserve"> </w:t>
      </w:r>
      <w:r w:rsidRPr="00E5711E">
        <w:t xml:space="preserve">equivalent level of safety as that afforded by shipping limited quantities per the provisions </w:t>
      </w:r>
      <w:r>
        <w:t xml:space="preserve">already in Chapter 3.4, </w:t>
      </w:r>
      <w:r w:rsidRPr="00E5711E">
        <w:t xml:space="preserve">as evidenced by </w:t>
      </w:r>
      <w:r w:rsidR="0096425E">
        <w:t>the Pipeline and Hazardous Materials Safety Administration’s (PHMSA)</w:t>
      </w:r>
      <w:r w:rsidRPr="00E5711E">
        <w:t xml:space="preserve"> incorporation of </w:t>
      </w:r>
      <w:r w:rsidR="0096425E">
        <w:t xml:space="preserve">special permit (SP) </w:t>
      </w:r>
      <w:r w:rsidRPr="00E5711E">
        <w:t xml:space="preserve">11458 into the </w:t>
      </w:r>
      <w:r w:rsidR="0074794F">
        <w:t>Hazardous Materials Regulations</w:t>
      </w:r>
      <w:r w:rsidR="0096425E">
        <w:t xml:space="preserve"> </w:t>
      </w:r>
      <w:r w:rsidR="0074794F">
        <w:t>(</w:t>
      </w:r>
      <w:r w:rsidRPr="00E5711E">
        <w:t>HMR</w:t>
      </w:r>
      <w:r w:rsidR="0074794F">
        <w:t>)</w:t>
      </w:r>
      <w:r>
        <w:t>.</w:t>
      </w:r>
    </w:p>
    <w:p w:rsidR="003D2BA6" w:rsidRDefault="003D2BA6" w:rsidP="003D2BA6">
      <w:pPr>
        <w:suppressAutoHyphens w:val="0"/>
        <w:spacing w:after="120" w:line="240" w:lineRule="auto"/>
        <w:ind w:left="2160" w:right="999" w:hanging="1080"/>
        <w:jc w:val="both"/>
      </w:pPr>
      <w:r>
        <w:t>Feasibility:</w:t>
      </w:r>
      <w:r>
        <w:tab/>
        <w:t>These provisions have already been applied safely within the United States of America for more than 20 years, and allow reduced waste, costs, and handling of packages.</w:t>
      </w:r>
    </w:p>
    <w:p w:rsidR="003D2BA6" w:rsidRDefault="003D2BA6" w:rsidP="003D2BA6">
      <w:pPr>
        <w:suppressAutoHyphens w:val="0"/>
        <w:spacing w:after="120" w:line="240" w:lineRule="auto"/>
        <w:ind w:left="2160" w:right="999" w:hanging="1080"/>
        <w:jc w:val="both"/>
        <w:rPr>
          <w:u w:val="single"/>
        </w:rPr>
      </w:pPr>
      <w:r>
        <w:rPr>
          <w:u w:val="single"/>
        </w:rPr>
        <w:br w:type="page"/>
      </w:r>
    </w:p>
    <w:p w:rsidR="003D2BA6" w:rsidRDefault="00B3363A" w:rsidP="001B30C3">
      <w:pPr>
        <w:pStyle w:val="HChG"/>
      </w:pPr>
      <w:r>
        <w:lastRenderedPageBreak/>
        <w:tab/>
      </w:r>
      <w:r>
        <w:tab/>
        <w:t xml:space="preserve">Annex </w:t>
      </w:r>
    </w:p>
    <w:p w:rsidR="003D2BA6" w:rsidRDefault="001B30C3" w:rsidP="001B30C3">
      <w:pPr>
        <w:pStyle w:val="H1G"/>
      </w:pPr>
      <w:r>
        <w:tab/>
      </w:r>
      <w:r>
        <w:tab/>
      </w:r>
      <w:r w:rsidR="003D2BA6">
        <w:t xml:space="preserve">Examples of </w:t>
      </w:r>
      <w:r w:rsidR="0096425E">
        <w:t>d</w:t>
      </w:r>
      <w:r w:rsidR="003D2BA6">
        <w:t xml:space="preserve">isplay </w:t>
      </w:r>
      <w:r w:rsidR="0096425E">
        <w:t>p</w:t>
      </w:r>
      <w:r w:rsidR="003D2BA6">
        <w:t>acks</w:t>
      </w:r>
    </w:p>
    <w:p w:rsidR="003D2BA6" w:rsidRDefault="003D2BA6" w:rsidP="001B30C3">
      <w:pPr>
        <w:pStyle w:val="SingleTxtG"/>
      </w:pPr>
      <w:r w:rsidRPr="00E5711E">
        <w:t xml:space="preserve">To meet growing retail customer demands, some of our members offer a wide range of “display-ready” </w:t>
      </w:r>
      <w:r w:rsidR="0096425E">
        <w:t>stock keeping unit</w:t>
      </w:r>
      <w:r w:rsidRPr="00E5711E">
        <w:t>s to retailers. Such units reduce the retailer’s labour, handling and set-up costs, reduce the need to restock product, and increase impulse purchases by shoppers. Several examples are shown below.</w:t>
      </w:r>
    </w:p>
    <w:tbl>
      <w:tblPr>
        <w:tblStyle w:val="TableGrid"/>
        <w:tblW w:w="0" w:type="auto"/>
        <w:tblLook w:val="04A0" w:firstRow="1" w:lastRow="0" w:firstColumn="1" w:lastColumn="0" w:noHBand="0" w:noVBand="1"/>
      </w:tblPr>
      <w:tblGrid>
        <w:gridCol w:w="3209"/>
        <w:gridCol w:w="1605"/>
        <w:gridCol w:w="1605"/>
        <w:gridCol w:w="3210"/>
      </w:tblGrid>
      <w:tr w:rsidR="003D2BA6" w:rsidTr="00A12E81">
        <w:tc>
          <w:tcPr>
            <w:tcW w:w="3209" w:type="dxa"/>
            <w:vMerge w:val="restart"/>
          </w:tcPr>
          <w:p w:rsidR="003D2BA6" w:rsidRDefault="003D2BA6" w:rsidP="00A12E81">
            <w:pPr>
              <w:spacing w:before="120"/>
              <w:jc w:val="center"/>
              <w:rPr>
                <w:noProof/>
              </w:rPr>
            </w:pPr>
            <w:r w:rsidRPr="00E5711E">
              <w:rPr>
                <w:b/>
                <w:u w:val="single"/>
              </w:rPr>
              <w:t>Floor Display</w:t>
            </w:r>
            <w:r w:rsidRPr="00E5711E">
              <w:rPr>
                <w:noProof/>
              </w:rPr>
              <w:t xml:space="preserve"> </w:t>
            </w:r>
          </w:p>
          <w:p w:rsidR="003D2BA6" w:rsidRDefault="003D2BA6" w:rsidP="00A12E81">
            <w:pPr>
              <w:spacing w:before="120"/>
              <w:jc w:val="center"/>
            </w:pPr>
            <w:r w:rsidRPr="00E5711E">
              <w:rPr>
                <w:noProof/>
              </w:rPr>
              <w:drawing>
                <wp:inline distT="0" distB="0" distL="0" distR="0" wp14:anchorId="49E838DD" wp14:editId="6CDA5BA9">
                  <wp:extent cx="1104900" cy="2955383"/>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9"/>
                          <a:srcRect/>
                          <a:stretch>
                            <a:fillRect/>
                          </a:stretch>
                        </pic:blipFill>
                        <pic:spPr bwMode="auto">
                          <a:xfrm>
                            <a:off x="0" y="0"/>
                            <a:ext cx="1118621" cy="2992083"/>
                          </a:xfrm>
                          <a:prstGeom prst="rect">
                            <a:avLst/>
                          </a:prstGeom>
                          <a:noFill/>
                          <a:ln w="9525">
                            <a:noFill/>
                            <a:miter lim="800000"/>
                            <a:headEnd/>
                            <a:tailEnd/>
                          </a:ln>
                        </pic:spPr>
                      </pic:pic>
                    </a:graphicData>
                  </a:graphic>
                </wp:inline>
              </w:drawing>
            </w:r>
          </w:p>
        </w:tc>
        <w:tc>
          <w:tcPr>
            <w:tcW w:w="3210" w:type="dxa"/>
            <w:gridSpan w:val="2"/>
          </w:tcPr>
          <w:p w:rsidR="003D2BA6" w:rsidRDefault="003D2BA6" w:rsidP="00A12E81">
            <w:pPr>
              <w:spacing w:before="120"/>
              <w:jc w:val="center"/>
              <w:rPr>
                <w:i/>
              </w:rPr>
            </w:pPr>
            <w:r w:rsidRPr="00E5711E">
              <w:rPr>
                <w:b/>
                <w:u w:val="single"/>
              </w:rPr>
              <w:t>Shelf-Ready “PDQ” Package</w:t>
            </w:r>
            <w:r w:rsidRPr="00E5711E">
              <w:rPr>
                <w:i/>
              </w:rPr>
              <w:t xml:space="preserve"> </w:t>
            </w:r>
          </w:p>
          <w:p w:rsidR="003D2BA6" w:rsidRDefault="003D2BA6" w:rsidP="00A12E81">
            <w:pPr>
              <w:spacing w:before="120"/>
              <w:jc w:val="center"/>
              <w:rPr>
                <w:i/>
              </w:rPr>
            </w:pPr>
            <w:r w:rsidRPr="00E5711E">
              <w:rPr>
                <w:i/>
              </w:rPr>
              <w:t>as shipped</w:t>
            </w:r>
          </w:p>
          <w:p w:rsidR="003D2BA6" w:rsidRDefault="003D2BA6" w:rsidP="00A12E81">
            <w:pPr>
              <w:jc w:val="center"/>
            </w:pPr>
            <w:r w:rsidRPr="00E5711E">
              <w:rPr>
                <w:i/>
                <w:noProof/>
              </w:rPr>
              <w:drawing>
                <wp:inline distT="0" distB="0" distL="0" distR="0" wp14:anchorId="0FFB5962" wp14:editId="38A0C929">
                  <wp:extent cx="1188720" cy="1019062"/>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BEBA8EAE-BF5A-486C-A8C5-ECC9F3942E4B}">
                                <a14:imgProps xmlns:a14="http://schemas.microsoft.com/office/drawing/2010/main">
                                  <a14:imgLayer r:embed="rId11">
                                    <a14:imgEffect>
                                      <a14:backgroundRemoval t="9935" b="100000" l="9995" r="89959"/>
                                    </a14:imgEffect>
                                  </a14:imgLayer>
                                </a14:imgProps>
                              </a:ext>
                              <a:ext uri="{28A0092B-C50C-407E-A947-70E740481C1C}">
                                <a14:useLocalDpi xmlns:a14="http://schemas.microsoft.com/office/drawing/2010/main" val="0"/>
                              </a:ext>
                            </a:extLst>
                          </a:blip>
                          <a:srcRect l="15425" t="5658" r="18959" b="-5658"/>
                          <a:stretch/>
                        </pic:blipFill>
                        <pic:spPr bwMode="auto">
                          <a:xfrm>
                            <a:off x="0" y="0"/>
                            <a:ext cx="1188720" cy="1019062"/>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Merge w:val="restart"/>
          </w:tcPr>
          <w:p w:rsidR="003D2BA6" w:rsidRDefault="003D2BA6" w:rsidP="00A12E81">
            <w:pPr>
              <w:spacing w:before="120"/>
              <w:jc w:val="center"/>
              <w:rPr>
                <w:i/>
              </w:rPr>
            </w:pPr>
            <w:r w:rsidRPr="00E5711E">
              <w:rPr>
                <w:b/>
                <w:u w:val="single"/>
              </w:rPr>
              <w:t>Display-Ready Quarter Pallet</w:t>
            </w:r>
          </w:p>
          <w:p w:rsidR="003D2BA6" w:rsidRDefault="003D2BA6" w:rsidP="00A12E81">
            <w:pPr>
              <w:spacing w:before="120"/>
              <w:jc w:val="center"/>
            </w:pPr>
            <w:r w:rsidRPr="00E5711E">
              <w:rPr>
                <w:i/>
              </w:rPr>
              <w:object w:dxaOrig="2808" w:dyaOrig="51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25pt;height:255.75pt" o:ole="">
                  <v:imagedata r:id="rId12" o:title=""/>
                </v:shape>
                <o:OLEObject Type="Embed" ProgID="Unknown" ShapeID="_x0000_i1025" DrawAspect="Content" ObjectID="_1591450556" r:id="rId13"/>
              </w:object>
            </w:r>
          </w:p>
        </w:tc>
      </w:tr>
      <w:tr w:rsidR="003D2BA6" w:rsidTr="00A12E81">
        <w:tc>
          <w:tcPr>
            <w:tcW w:w="3209" w:type="dxa"/>
            <w:vMerge/>
          </w:tcPr>
          <w:p w:rsidR="003D2BA6" w:rsidRDefault="003D2BA6" w:rsidP="00A12E81">
            <w:pPr>
              <w:spacing w:before="120" w:after="120"/>
            </w:pPr>
          </w:p>
        </w:tc>
        <w:tc>
          <w:tcPr>
            <w:tcW w:w="3210" w:type="dxa"/>
            <w:gridSpan w:val="2"/>
          </w:tcPr>
          <w:p w:rsidR="003D2BA6" w:rsidRDefault="003D2BA6" w:rsidP="00A12E81">
            <w:pPr>
              <w:spacing w:before="120"/>
              <w:jc w:val="center"/>
              <w:rPr>
                <w:i/>
              </w:rPr>
            </w:pPr>
            <w:r w:rsidRPr="00E5711E">
              <w:rPr>
                <w:i/>
              </w:rPr>
              <w:t>as opened</w:t>
            </w:r>
          </w:p>
          <w:p w:rsidR="003D2BA6" w:rsidRDefault="003D2BA6" w:rsidP="00A12E81">
            <w:pPr>
              <w:jc w:val="center"/>
            </w:pPr>
            <w:r w:rsidRPr="00E5711E">
              <w:rPr>
                <w:i/>
                <w:noProof/>
              </w:rPr>
              <w:drawing>
                <wp:inline distT="0" distB="0" distL="0" distR="0" wp14:anchorId="0B520B74" wp14:editId="658E27A5">
                  <wp:extent cx="1188720" cy="92247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cstate="print">
                            <a:extLst>
                              <a:ext uri="{BEBA8EAE-BF5A-486C-A8C5-ECC9F3942E4B}">
                                <a14:imgProps xmlns:a14="http://schemas.microsoft.com/office/drawing/2010/main">
                                  <a14:imgLayer r:embed="rId15">
                                    <a14:imgEffect>
                                      <a14:backgroundRemoval t="0" b="99354" l="9950" r="89914">
                                        <a14:foregroundMark x1="25988" y1="2262" x2="29850" y2="15590"/>
                                        <a14:foregroundMark x1="65607" y1="4847" x2="60700" y2="20759"/>
                                        <a14:foregroundMark x1="71468" y1="39984" x2="72194" y2="43861"/>
                                        <a14:foregroundMark x1="40073" y1="39984" x2="36574" y2="44507"/>
                                        <a14:foregroundMark x1="25988" y1="57189" x2="21808" y2="62682"/>
                                        <a14:foregroundMark x1="17219" y1="41922" x2="17219" y2="49031"/>
                                      </a14:backgroundRemoval>
                                    </a14:imgEffect>
                                  </a14:imgLayer>
                                </a14:imgProps>
                              </a:ext>
                              <a:ext uri="{28A0092B-C50C-407E-A947-70E740481C1C}">
                                <a14:useLocalDpi xmlns:a14="http://schemas.microsoft.com/office/drawing/2010/main" val="0"/>
                              </a:ext>
                            </a:extLst>
                          </a:blip>
                          <a:srcRect l="9064" t="948" r="18451" b="-948"/>
                          <a:stretch/>
                        </pic:blipFill>
                        <pic:spPr bwMode="auto">
                          <a:xfrm>
                            <a:off x="0" y="0"/>
                            <a:ext cx="1188720" cy="922474"/>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Merge/>
          </w:tcPr>
          <w:p w:rsidR="003D2BA6" w:rsidRDefault="003D2BA6" w:rsidP="00A12E81">
            <w:pPr>
              <w:spacing w:before="120" w:after="120"/>
            </w:pPr>
          </w:p>
        </w:tc>
      </w:tr>
      <w:tr w:rsidR="003D2BA6" w:rsidTr="00A12E81">
        <w:tc>
          <w:tcPr>
            <w:tcW w:w="3209" w:type="dxa"/>
            <w:vMerge/>
          </w:tcPr>
          <w:p w:rsidR="003D2BA6" w:rsidRDefault="003D2BA6" w:rsidP="00A12E81">
            <w:pPr>
              <w:spacing w:before="120" w:after="120"/>
            </w:pPr>
          </w:p>
        </w:tc>
        <w:tc>
          <w:tcPr>
            <w:tcW w:w="3210" w:type="dxa"/>
            <w:gridSpan w:val="2"/>
          </w:tcPr>
          <w:p w:rsidR="003D2BA6" w:rsidRDefault="003D2BA6" w:rsidP="00A12E81">
            <w:pPr>
              <w:spacing w:before="120"/>
              <w:jc w:val="center"/>
              <w:rPr>
                <w:i/>
              </w:rPr>
            </w:pPr>
            <w:r w:rsidRPr="00E5711E">
              <w:rPr>
                <w:i/>
              </w:rPr>
              <w:t>as seen on shelf</w:t>
            </w:r>
          </w:p>
          <w:p w:rsidR="003D2BA6" w:rsidRPr="00896E8E" w:rsidRDefault="003D2BA6" w:rsidP="00A12E81">
            <w:pPr>
              <w:jc w:val="center"/>
              <w:rPr>
                <w:i/>
              </w:rPr>
            </w:pPr>
            <w:r w:rsidRPr="00E5711E">
              <w:rPr>
                <w:i/>
                <w:noProof/>
              </w:rPr>
              <w:drawing>
                <wp:inline distT="0" distB="0" distL="0" distR="0" wp14:anchorId="1993E239" wp14:editId="595A7328">
                  <wp:extent cx="1188720" cy="1079558"/>
                  <wp:effectExtent l="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6" cstate="print">
                            <a:extLst>
                              <a:ext uri="{BEBA8EAE-BF5A-486C-A8C5-ECC9F3942E4B}">
                                <a14:imgProps xmlns:a14="http://schemas.microsoft.com/office/drawing/2010/main">
                                  <a14:imgLayer r:embed="rId17">
                                    <a14:imgEffect>
                                      <a14:backgroundRemoval t="1212" b="97334" l="9950" r="89914">
                                        <a14:foregroundMark x1="21308" y1="8401" x2="27533" y2="18174"/>
                                        <a14:foregroundMark x1="36302" y1="39257" x2="38846" y2="34733"/>
                                        <a14:foregroundMark x1="52385" y1="42165" x2="52930" y2="36995"/>
                                        <a14:foregroundMark x1="51113" y1="31745" x2="51840" y2="29806"/>
                                        <a14:foregroundMark x1="64607" y1="42811" x2="67878" y2="36026"/>
                                        <a14:foregroundMark x1="69741" y1="9370" x2="69923" y2="18498"/>
                                        <a14:foregroundMark x1="17492" y1="69467" x2="18946" y2="56462"/>
                                        <a14:foregroundMark x1="17856" y1="59370" x2="17856" y2="46688"/>
                                        <a14:foregroundMark x1="23535" y1="8401" x2="25352" y2="11309"/>
                                        <a14:foregroundMark x1="23535" y1="7431" x2="25897" y2="10339"/>
                                        <a14:foregroundMark x1="72649" y1="46688" x2="73557" y2="73667"/>
                                        <a14:foregroundMark x1="18048" y1="21350" x2="16731" y2="31129"/>
                                        <a14:backgroundMark x1="25352" y1="6462" x2="63517" y2="10016"/>
                                        <a14:backgroundMark x1="66606" y1="6785" x2="67878" y2="5170"/>
                                      </a14:backgroundRemoval>
                                    </a14:imgEffect>
                                  </a14:imgLayer>
                                </a14:imgProps>
                              </a:ext>
                              <a:ext uri="{28A0092B-C50C-407E-A947-70E740481C1C}">
                                <a14:useLocalDpi xmlns:a14="http://schemas.microsoft.com/office/drawing/2010/main" val="0"/>
                              </a:ext>
                            </a:extLst>
                          </a:blip>
                          <a:srcRect l="14389" t="1560" r="23674" b="-1560"/>
                          <a:stretch/>
                        </pic:blipFill>
                        <pic:spPr bwMode="auto">
                          <a:xfrm>
                            <a:off x="0" y="0"/>
                            <a:ext cx="1188720" cy="1079558"/>
                          </a:xfrm>
                          <a:prstGeom prst="rect">
                            <a:avLst/>
                          </a:prstGeom>
                          <a:ln>
                            <a:noFill/>
                          </a:ln>
                          <a:extLst>
                            <a:ext uri="{53640926-AAD7-44D8-BBD7-CCE9431645EC}">
                              <a14:shadowObscured xmlns:a14="http://schemas.microsoft.com/office/drawing/2010/main"/>
                            </a:ext>
                          </a:extLst>
                        </pic:spPr>
                      </pic:pic>
                    </a:graphicData>
                  </a:graphic>
                </wp:inline>
              </w:drawing>
            </w:r>
          </w:p>
        </w:tc>
        <w:tc>
          <w:tcPr>
            <w:tcW w:w="3210" w:type="dxa"/>
            <w:vMerge/>
          </w:tcPr>
          <w:p w:rsidR="003D2BA6" w:rsidRDefault="003D2BA6" w:rsidP="00A12E81">
            <w:pPr>
              <w:spacing w:before="120" w:after="120"/>
            </w:pPr>
          </w:p>
        </w:tc>
      </w:tr>
      <w:tr w:rsidR="003D2BA6" w:rsidTr="00A12E81">
        <w:tc>
          <w:tcPr>
            <w:tcW w:w="4814" w:type="dxa"/>
            <w:gridSpan w:val="2"/>
          </w:tcPr>
          <w:p w:rsidR="003D2BA6" w:rsidRDefault="003D2BA6" w:rsidP="00A12E81">
            <w:pPr>
              <w:spacing w:before="120" w:after="120"/>
              <w:jc w:val="center"/>
              <w:rPr>
                <w:b/>
                <w:u w:val="single"/>
              </w:rPr>
            </w:pPr>
            <w:r w:rsidRPr="00E5711E">
              <w:rPr>
                <w:b/>
                <w:u w:val="single"/>
              </w:rPr>
              <w:t>Display-Ready Half Pallet</w:t>
            </w:r>
          </w:p>
          <w:p w:rsidR="003D2BA6" w:rsidRDefault="003D2BA6" w:rsidP="00A12E81">
            <w:pPr>
              <w:spacing w:before="120" w:after="120"/>
              <w:jc w:val="center"/>
            </w:pPr>
            <w:r w:rsidRPr="00E5711E">
              <w:rPr>
                <w:noProof/>
              </w:rPr>
              <w:drawing>
                <wp:inline distT="0" distB="0" distL="0" distR="0" wp14:anchorId="7E00A62F" wp14:editId="79F46569">
                  <wp:extent cx="2040467" cy="2574722"/>
                  <wp:effectExtent l="0" t="0" r="0" b="0"/>
                  <wp:docPr id="26" name="Picture 15" descr="FABL_HP42_T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FABL_HP42_TIDER.jpg"/>
                          <pic:cNvPicPr>
                            <a:picLocks noChangeAspect="1"/>
                          </pic:cNvPicPr>
                        </pic:nvPicPr>
                        <pic:blipFill rotWithShape="1">
                          <a:blip r:embed="rId18"/>
                          <a:srcRect l="11365" t="2368" r="13576" b="2919"/>
                          <a:stretch/>
                        </pic:blipFill>
                        <pic:spPr bwMode="auto">
                          <a:xfrm>
                            <a:off x="0" y="0"/>
                            <a:ext cx="2046289" cy="2582068"/>
                          </a:xfrm>
                          <a:prstGeom prst="rect">
                            <a:avLst/>
                          </a:prstGeom>
                          <a:ln>
                            <a:noFill/>
                          </a:ln>
                          <a:extLst>
                            <a:ext uri="{53640926-AAD7-44D8-BBD7-CCE9431645EC}">
                              <a14:shadowObscured xmlns:a14="http://schemas.microsoft.com/office/drawing/2010/main"/>
                            </a:ext>
                          </a:extLst>
                        </pic:spPr>
                      </pic:pic>
                    </a:graphicData>
                  </a:graphic>
                </wp:inline>
              </w:drawing>
            </w:r>
          </w:p>
        </w:tc>
        <w:tc>
          <w:tcPr>
            <w:tcW w:w="4815" w:type="dxa"/>
            <w:gridSpan w:val="2"/>
          </w:tcPr>
          <w:p w:rsidR="003D2BA6" w:rsidRDefault="003D2BA6" w:rsidP="00A12E81">
            <w:pPr>
              <w:spacing w:before="120" w:after="120"/>
              <w:jc w:val="center"/>
              <w:rPr>
                <w:b/>
                <w:u w:val="single"/>
              </w:rPr>
            </w:pPr>
            <w:r w:rsidRPr="00E5711E">
              <w:rPr>
                <w:b/>
                <w:u w:val="single"/>
              </w:rPr>
              <w:t>Display-Ready Full Pallet</w:t>
            </w:r>
          </w:p>
          <w:p w:rsidR="003D2BA6" w:rsidRPr="00896E8E" w:rsidRDefault="003D2BA6" w:rsidP="00A12E81">
            <w:pPr>
              <w:spacing w:before="120" w:after="120"/>
              <w:jc w:val="center"/>
              <w:rPr>
                <w:b/>
                <w:u w:val="single"/>
              </w:rPr>
            </w:pPr>
            <w:r w:rsidRPr="00E5711E">
              <w:rPr>
                <w:noProof/>
              </w:rPr>
              <w:drawing>
                <wp:inline distT="0" distB="0" distL="0" distR="0" wp14:anchorId="2FE37597" wp14:editId="4422F2DA">
                  <wp:extent cx="2420234" cy="24307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25168" cy="2435735"/>
                          </a:xfrm>
                          <a:prstGeom prst="rect">
                            <a:avLst/>
                          </a:prstGeom>
                          <a:noFill/>
                          <a:ln>
                            <a:noFill/>
                          </a:ln>
                        </pic:spPr>
                      </pic:pic>
                    </a:graphicData>
                  </a:graphic>
                </wp:inline>
              </w:drawing>
            </w:r>
          </w:p>
        </w:tc>
      </w:tr>
    </w:tbl>
    <w:p w:rsidR="003D2BA6" w:rsidRDefault="003D2BA6" w:rsidP="001B30C3">
      <w:pPr>
        <w:pStyle w:val="SingleTxtG"/>
      </w:pPr>
      <w:r w:rsidRPr="00E5711E">
        <w:lastRenderedPageBreak/>
        <w:t xml:space="preserve">Any </w:t>
      </w:r>
      <w:r>
        <w:t>consumer</w:t>
      </w:r>
      <w:r w:rsidRPr="00E5711E">
        <w:t xml:space="preserve"> product</w:t>
      </w:r>
      <w:r>
        <w:t>s</w:t>
      </w:r>
      <w:r w:rsidRPr="00E5711E">
        <w:t xml:space="preserve"> can be part of a display-ready pack, including products that are </w:t>
      </w:r>
      <w:r>
        <w:t xml:space="preserve">classified and </w:t>
      </w:r>
      <w:r w:rsidRPr="00E5711E">
        <w:t xml:space="preserve">regulated as hazardous materials / dangerous goods. Examples of </w:t>
      </w:r>
      <w:r w:rsidR="0096425E">
        <w:t xml:space="preserve">dangerous goods </w:t>
      </w:r>
      <w:r w:rsidRPr="00E5711E">
        <w:t xml:space="preserve">regulated products manufactured by </w:t>
      </w:r>
      <w:r>
        <w:t>some of our members</w:t>
      </w:r>
      <w:r w:rsidRPr="00E5711E">
        <w:t xml:space="preserve"> are shown below.  </w:t>
      </w:r>
    </w:p>
    <w:tbl>
      <w:tblPr>
        <w:tblStyle w:val="TableGrid"/>
        <w:tblW w:w="7920" w:type="dxa"/>
        <w:jc w:val="center"/>
        <w:tblLook w:val="04A0" w:firstRow="1" w:lastRow="0" w:firstColumn="1" w:lastColumn="0" w:noHBand="0" w:noVBand="1"/>
      </w:tblPr>
      <w:tblGrid>
        <w:gridCol w:w="3344"/>
        <w:gridCol w:w="4576"/>
      </w:tblGrid>
      <w:tr w:rsidR="003D2BA6" w:rsidRPr="00E5711E" w:rsidTr="00A12E81">
        <w:trPr>
          <w:jc w:val="center"/>
        </w:trPr>
        <w:tc>
          <w:tcPr>
            <w:tcW w:w="3865" w:type="dxa"/>
            <w:shd w:val="clear" w:color="auto" w:fill="BFBFBF" w:themeFill="background1" w:themeFillShade="BF"/>
          </w:tcPr>
          <w:p w:rsidR="003D2BA6" w:rsidRPr="00E5711E" w:rsidRDefault="003D2BA6" w:rsidP="00A12E81">
            <w:pPr>
              <w:spacing w:before="120" w:after="120"/>
              <w:jc w:val="center"/>
              <w:rPr>
                <w:b/>
              </w:rPr>
            </w:pPr>
            <w:r w:rsidRPr="00E5711E">
              <w:rPr>
                <w:b/>
              </w:rPr>
              <w:t>Type</w:t>
            </w:r>
            <w:r>
              <w:rPr>
                <w:b/>
              </w:rPr>
              <w:t>s</w:t>
            </w:r>
            <w:r w:rsidRPr="00E5711E">
              <w:rPr>
                <w:b/>
              </w:rPr>
              <w:t xml:space="preserve"> of </w:t>
            </w:r>
            <w:r w:rsidR="0096425E">
              <w:rPr>
                <w:b/>
              </w:rPr>
              <w:t>dangerous goods</w:t>
            </w:r>
          </w:p>
        </w:tc>
        <w:tc>
          <w:tcPr>
            <w:tcW w:w="5490" w:type="dxa"/>
            <w:shd w:val="clear" w:color="auto" w:fill="BFBFBF" w:themeFill="background1" w:themeFillShade="BF"/>
          </w:tcPr>
          <w:p w:rsidR="003D2BA6" w:rsidRPr="00E5711E" w:rsidRDefault="003D2BA6" w:rsidP="00A12E81">
            <w:pPr>
              <w:spacing w:before="120" w:after="120"/>
              <w:jc w:val="center"/>
              <w:rPr>
                <w:b/>
              </w:rPr>
            </w:pPr>
            <w:r w:rsidRPr="00E5711E">
              <w:rPr>
                <w:b/>
              </w:rPr>
              <w:t>Examples</w:t>
            </w:r>
          </w:p>
        </w:tc>
      </w:tr>
      <w:tr w:rsidR="003D2BA6" w:rsidRPr="00E5711E" w:rsidTr="00A12E81">
        <w:trPr>
          <w:jc w:val="center"/>
        </w:trPr>
        <w:tc>
          <w:tcPr>
            <w:tcW w:w="3865" w:type="dxa"/>
          </w:tcPr>
          <w:p w:rsidR="003D2BA6" w:rsidRPr="00E5711E" w:rsidRDefault="003D2BA6" w:rsidP="00A12E81">
            <w:pPr>
              <w:spacing w:before="40" w:after="40"/>
            </w:pPr>
            <w:r w:rsidRPr="00E5711E">
              <w:t xml:space="preserve">Flammable and </w:t>
            </w:r>
            <w:r w:rsidR="0096425E">
              <w:t>n</w:t>
            </w:r>
            <w:r w:rsidRPr="00E5711E">
              <w:t>on-</w:t>
            </w:r>
            <w:r w:rsidR="0096425E">
              <w:t>f</w:t>
            </w:r>
            <w:r w:rsidRPr="00E5711E">
              <w:t xml:space="preserve">lammable </w:t>
            </w:r>
            <w:r w:rsidR="00B3363A">
              <w:t>a</w:t>
            </w:r>
            <w:r w:rsidRPr="00E5711E">
              <w:t>erosols (metal and plastic cans)</w:t>
            </w:r>
          </w:p>
        </w:tc>
        <w:tc>
          <w:tcPr>
            <w:tcW w:w="5490" w:type="dxa"/>
          </w:tcPr>
          <w:p w:rsidR="003D2BA6" w:rsidRPr="00E5711E" w:rsidRDefault="003D2BA6" w:rsidP="00A12E81">
            <w:pPr>
              <w:spacing w:before="40" w:after="40"/>
            </w:pPr>
            <w:r w:rsidRPr="00E5711E">
              <w:t xml:space="preserve">Air </w:t>
            </w:r>
            <w:r w:rsidR="0096425E">
              <w:t>f</w:t>
            </w:r>
            <w:r w:rsidRPr="00E5711E">
              <w:t xml:space="preserve">resheners, </w:t>
            </w:r>
            <w:r w:rsidR="0096425E">
              <w:t>h</w:t>
            </w:r>
            <w:r w:rsidRPr="00E5711E">
              <w:t xml:space="preserve">air </w:t>
            </w:r>
            <w:r w:rsidR="0096425E">
              <w:t>s</w:t>
            </w:r>
            <w:r w:rsidRPr="00E5711E">
              <w:t xml:space="preserve">prays, </w:t>
            </w:r>
            <w:r w:rsidR="0096425E">
              <w:t>s</w:t>
            </w:r>
            <w:r w:rsidRPr="00E5711E">
              <w:t xml:space="preserve">have </w:t>
            </w:r>
            <w:r w:rsidR="0096425E">
              <w:t>f</w:t>
            </w:r>
            <w:r w:rsidRPr="00E5711E">
              <w:t>oams, Antiperspirants</w:t>
            </w:r>
          </w:p>
        </w:tc>
      </w:tr>
      <w:tr w:rsidR="003D2BA6" w:rsidRPr="00E5711E" w:rsidTr="00A12E81">
        <w:trPr>
          <w:jc w:val="center"/>
        </w:trPr>
        <w:tc>
          <w:tcPr>
            <w:tcW w:w="3865" w:type="dxa"/>
          </w:tcPr>
          <w:p w:rsidR="003D2BA6" w:rsidRPr="00E5711E" w:rsidRDefault="003D2BA6" w:rsidP="00A12E81">
            <w:pPr>
              <w:spacing w:before="40" w:after="40"/>
            </w:pPr>
            <w:r w:rsidRPr="00E5711E">
              <w:t xml:space="preserve">Flammable </w:t>
            </w:r>
            <w:r w:rsidR="0096425E">
              <w:t>l</w:t>
            </w:r>
            <w:r w:rsidRPr="00E5711E">
              <w:t>iquids</w:t>
            </w:r>
            <w:r>
              <w:br/>
            </w:r>
            <w:r w:rsidRPr="00E5711E">
              <w:t>(glass and plastic containers)</w:t>
            </w:r>
          </w:p>
        </w:tc>
        <w:tc>
          <w:tcPr>
            <w:tcW w:w="5490" w:type="dxa"/>
          </w:tcPr>
          <w:p w:rsidR="003D2BA6" w:rsidRPr="00E5711E" w:rsidRDefault="003D2BA6" w:rsidP="00A12E81">
            <w:pPr>
              <w:spacing w:before="40" w:after="40"/>
            </w:pPr>
            <w:r w:rsidRPr="00E5711E">
              <w:t xml:space="preserve">Hair </w:t>
            </w:r>
            <w:r w:rsidR="0096425E">
              <w:t>s</w:t>
            </w:r>
            <w:r w:rsidRPr="00E5711E">
              <w:t xml:space="preserve">tyling </w:t>
            </w:r>
            <w:r w:rsidR="0096425E">
              <w:t>p</w:t>
            </w:r>
            <w:r w:rsidRPr="00E5711E">
              <w:t xml:space="preserve">roducts, </w:t>
            </w:r>
            <w:r w:rsidR="0096425E">
              <w:t>a</w:t>
            </w:r>
            <w:r w:rsidRPr="00E5711E">
              <w:t xml:space="preserve">ftershaves, </w:t>
            </w:r>
            <w:r w:rsidR="0096425E">
              <w:t>s</w:t>
            </w:r>
            <w:r w:rsidRPr="00E5711E">
              <w:t xml:space="preserve">kin </w:t>
            </w:r>
            <w:proofErr w:type="spellStart"/>
            <w:r w:rsidR="0096425E">
              <w:t>t</w:t>
            </w:r>
            <w:r w:rsidRPr="00E5711E">
              <w:t>oners</w:t>
            </w:r>
            <w:proofErr w:type="spellEnd"/>
            <w:r w:rsidRPr="00E5711E">
              <w:t xml:space="preserve">, </w:t>
            </w:r>
            <w:r w:rsidR="0096425E">
              <w:t>c</w:t>
            </w:r>
            <w:r w:rsidRPr="00E5711E">
              <w:t>osmetics</w:t>
            </w:r>
          </w:p>
        </w:tc>
      </w:tr>
      <w:tr w:rsidR="003D2BA6" w:rsidRPr="00E5711E" w:rsidTr="00A12E81">
        <w:trPr>
          <w:jc w:val="center"/>
        </w:trPr>
        <w:tc>
          <w:tcPr>
            <w:tcW w:w="3865" w:type="dxa"/>
          </w:tcPr>
          <w:p w:rsidR="003D2BA6" w:rsidRPr="00E5711E" w:rsidRDefault="003D2BA6" w:rsidP="00A12E81">
            <w:pPr>
              <w:spacing w:before="40" w:after="40"/>
            </w:pPr>
            <w:r w:rsidRPr="00E5711E">
              <w:t xml:space="preserve">Flammable </w:t>
            </w:r>
            <w:r w:rsidR="0096425E">
              <w:t>s</w:t>
            </w:r>
            <w:r w:rsidRPr="00E5711E">
              <w:t xml:space="preserve">olids </w:t>
            </w:r>
          </w:p>
        </w:tc>
        <w:tc>
          <w:tcPr>
            <w:tcW w:w="5490" w:type="dxa"/>
          </w:tcPr>
          <w:p w:rsidR="003D2BA6" w:rsidRPr="00E5711E" w:rsidRDefault="0096425E" w:rsidP="00A12E81">
            <w:pPr>
              <w:spacing w:before="40" w:after="40"/>
            </w:pPr>
            <w:r>
              <w:t>d</w:t>
            </w:r>
            <w:r w:rsidR="003D2BA6" w:rsidRPr="00E5711E">
              <w:t xml:space="preserve">eodorant </w:t>
            </w:r>
            <w:r>
              <w:t>s</w:t>
            </w:r>
            <w:r w:rsidR="003D2BA6" w:rsidRPr="00E5711E">
              <w:t>ticks</w:t>
            </w:r>
          </w:p>
        </w:tc>
      </w:tr>
      <w:tr w:rsidR="003D2BA6" w:rsidRPr="00E5711E" w:rsidTr="00A12E81">
        <w:trPr>
          <w:jc w:val="center"/>
        </w:trPr>
        <w:tc>
          <w:tcPr>
            <w:tcW w:w="3865" w:type="dxa"/>
          </w:tcPr>
          <w:p w:rsidR="003D2BA6" w:rsidRPr="00E5711E" w:rsidRDefault="003D2BA6" w:rsidP="00A12E81">
            <w:pPr>
              <w:spacing w:before="40" w:after="40"/>
            </w:pPr>
            <w:r w:rsidRPr="00E5711E">
              <w:t>Oxidizers</w:t>
            </w:r>
          </w:p>
        </w:tc>
        <w:tc>
          <w:tcPr>
            <w:tcW w:w="5490" w:type="dxa"/>
          </w:tcPr>
          <w:p w:rsidR="003D2BA6" w:rsidRPr="00E5711E" w:rsidRDefault="003D2BA6" w:rsidP="00A12E81">
            <w:pPr>
              <w:spacing w:before="40" w:after="40"/>
            </w:pPr>
            <w:r w:rsidRPr="00E5711E">
              <w:t xml:space="preserve">Laundry </w:t>
            </w:r>
            <w:r w:rsidR="0096425E">
              <w:t>a</w:t>
            </w:r>
            <w:r w:rsidRPr="00E5711E">
              <w:t>dditives</w:t>
            </w:r>
          </w:p>
        </w:tc>
      </w:tr>
      <w:tr w:rsidR="003D2BA6" w:rsidRPr="00E5711E" w:rsidTr="00A12E81">
        <w:trPr>
          <w:jc w:val="center"/>
        </w:trPr>
        <w:tc>
          <w:tcPr>
            <w:tcW w:w="3865" w:type="dxa"/>
          </w:tcPr>
          <w:p w:rsidR="003D2BA6" w:rsidRPr="00E5711E" w:rsidRDefault="003D2BA6" w:rsidP="00A12E81">
            <w:pPr>
              <w:spacing w:before="40" w:after="40"/>
            </w:pPr>
            <w:r w:rsidRPr="00E5711E">
              <w:t>Corrosives</w:t>
            </w:r>
          </w:p>
        </w:tc>
        <w:tc>
          <w:tcPr>
            <w:tcW w:w="5490" w:type="dxa"/>
          </w:tcPr>
          <w:p w:rsidR="003D2BA6" w:rsidRPr="00E5711E" w:rsidRDefault="003D2BA6" w:rsidP="00A12E81">
            <w:pPr>
              <w:spacing w:before="40" w:after="40"/>
            </w:pPr>
            <w:r w:rsidRPr="00E5711E">
              <w:t xml:space="preserve">Auto-dishwashing </w:t>
            </w:r>
            <w:r w:rsidR="0096425E">
              <w:t>g</w:t>
            </w:r>
            <w:r w:rsidRPr="00E5711E">
              <w:t xml:space="preserve">els, </w:t>
            </w:r>
            <w:r w:rsidR="0096425E">
              <w:t>l</w:t>
            </w:r>
            <w:r w:rsidRPr="00E5711E">
              <w:t xml:space="preserve">aundry </w:t>
            </w:r>
            <w:r w:rsidR="00B3363A">
              <w:t>a</w:t>
            </w:r>
            <w:r w:rsidRPr="00E5711E">
              <w:t>dditives</w:t>
            </w:r>
          </w:p>
        </w:tc>
      </w:tr>
      <w:tr w:rsidR="003D2BA6" w:rsidRPr="00E5711E" w:rsidTr="00A12E81">
        <w:trPr>
          <w:jc w:val="center"/>
        </w:trPr>
        <w:tc>
          <w:tcPr>
            <w:tcW w:w="3865" w:type="dxa"/>
          </w:tcPr>
          <w:p w:rsidR="003D2BA6" w:rsidRPr="00E5711E" w:rsidRDefault="003D2BA6" w:rsidP="00A12E81">
            <w:pPr>
              <w:spacing w:before="40" w:after="40"/>
            </w:pPr>
            <w:r w:rsidRPr="00E5711E">
              <w:t>Lithium battery-powered devices</w:t>
            </w:r>
          </w:p>
        </w:tc>
        <w:tc>
          <w:tcPr>
            <w:tcW w:w="5490" w:type="dxa"/>
          </w:tcPr>
          <w:p w:rsidR="003D2BA6" w:rsidRPr="00E5711E" w:rsidRDefault="003D2BA6" w:rsidP="00A12E81">
            <w:pPr>
              <w:spacing w:before="40" w:after="40"/>
            </w:pPr>
            <w:r w:rsidRPr="00E5711E">
              <w:t xml:space="preserve">Rechargeable </w:t>
            </w:r>
            <w:r w:rsidR="0096425E">
              <w:t>s</w:t>
            </w:r>
            <w:r w:rsidRPr="00E5711E">
              <w:t xml:space="preserve">havers and </w:t>
            </w:r>
            <w:r w:rsidR="0096425E">
              <w:t>t</w:t>
            </w:r>
            <w:r w:rsidRPr="00E5711E">
              <w:t>oothbrushes</w:t>
            </w:r>
          </w:p>
        </w:tc>
      </w:tr>
      <w:tr w:rsidR="003D2BA6" w:rsidRPr="00E5711E" w:rsidTr="00A12E81">
        <w:trPr>
          <w:jc w:val="center"/>
        </w:trPr>
        <w:tc>
          <w:tcPr>
            <w:tcW w:w="3865" w:type="dxa"/>
          </w:tcPr>
          <w:p w:rsidR="003D2BA6" w:rsidRPr="00E5711E" w:rsidRDefault="003D2BA6" w:rsidP="00A12E81">
            <w:pPr>
              <w:spacing w:before="40" w:after="40"/>
            </w:pPr>
            <w:r w:rsidRPr="00E5711E">
              <w:t xml:space="preserve">Environmentally </w:t>
            </w:r>
            <w:r w:rsidR="0096425E">
              <w:t>h</w:t>
            </w:r>
            <w:r w:rsidRPr="00E5711E">
              <w:t>azardous Substances</w:t>
            </w:r>
          </w:p>
        </w:tc>
        <w:tc>
          <w:tcPr>
            <w:tcW w:w="5490" w:type="dxa"/>
          </w:tcPr>
          <w:p w:rsidR="003D2BA6" w:rsidRPr="00E5711E" w:rsidRDefault="003D2BA6" w:rsidP="00A12E81">
            <w:pPr>
              <w:spacing w:before="40" w:after="40"/>
            </w:pPr>
            <w:r w:rsidRPr="00E5711E">
              <w:t>Disinfectants, Anti-</w:t>
            </w:r>
            <w:r w:rsidR="0096425E">
              <w:t>d</w:t>
            </w:r>
            <w:r w:rsidRPr="00E5711E">
              <w:t xml:space="preserve">andruff </w:t>
            </w:r>
            <w:r w:rsidR="0096425E">
              <w:t>s</w:t>
            </w:r>
            <w:r w:rsidRPr="00E5711E">
              <w:t xml:space="preserve">hampoos, </w:t>
            </w:r>
            <w:r w:rsidR="0096425E">
              <w:t>a</w:t>
            </w:r>
            <w:r w:rsidRPr="00E5711E">
              <w:t xml:space="preserve">ir </w:t>
            </w:r>
            <w:r w:rsidR="0096425E">
              <w:t>f</w:t>
            </w:r>
            <w:r w:rsidRPr="00E5711E">
              <w:t>resheners</w:t>
            </w:r>
          </w:p>
        </w:tc>
      </w:tr>
    </w:tbl>
    <w:p w:rsidR="003D2BA6" w:rsidRPr="00E5711E" w:rsidRDefault="003D2BA6" w:rsidP="001B30C3">
      <w:pPr>
        <w:pStyle w:val="SingleTxtG"/>
        <w:snapToGrid w:val="0"/>
        <w:spacing w:before="120"/>
      </w:pPr>
      <w:r w:rsidRPr="00E5711E">
        <w:t xml:space="preserve">When a display-ready pack contains </w:t>
      </w:r>
      <w:r w:rsidR="00B3363A">
        <w:t>dangerous goods</w:t>
      </w:r>
      <w:r w:rsidRPr="00E5711E">
        <w:t>-regulated product</w:t>
      </w:r>
      <w:r>
        <w:t>s</w:t>
      </w:r>
      <w:r w:rsidRPr="00E5711E">
        <w:t xml:space="preserve"> and exceeds 30 kg gross weight, it is shipped under the conditions of 49 CFR 173.156(c) [</w:t>
      </w:r>
      <w:r>
        <w:t>N</w:t>
      </w:r>
      <w:r w:rsidRPr="00E5711E">
        <w:t xml:space="preserve">ote:  </w:t>
      </w:r>
      <w:r>
        <w:t>I</w:t>
      </w:r>
      <w:r w:rsidRPr="00E5711E">
        <w:t xml:space="preserve">n February 2016, PHMSA incorporated multiple, long-standing Special Permits into the HMR. The provisions of </w:t>
      </w:r>
      <w:r w:rsidR="00B3363A">
        <w:t>s</w:t>
      </w:r>
      <w:r w:rsidRPr="00E5711E">
        <w:t xml:space="preserve">pecial </w:t>
      </w:r>
      <w:r w:rsidR="00B3363A">
        <w:t>p</w:t>
      </w:r>
      <w:r w:rsidRPr="00E5711E">
        <w:t xml:space="preserve">ermit 11458 were </w:t>
      </w:r>
      <w:r>
        <w:t>included</w:t>
      </w:r>
      <w:r w:rsidRPr="00E5711E">
        <w:t xml:space="preserve"> as §173.156(c)]. The specific requirements for shipping display packs under this section are:</w:t>
      </w:r>
    </w:p>
    <w:p w:rsidR="003D2BA6" w:rsidRPr="00E5711E" w:rsidRDefault="001B30C3" w:rsidP="001B30C3">
      <w:pPr>
        <w:pStyle w:val="SingleTxtG"/>
      </w:pPr>
      <w:r>
        <w:t>1.</w:t>
      </w:r>
      <w:r>
        <w:tab/>
      </w:r>
      <w:r w:rsidR="003D2BA6" w:rsidRPr="00E5711E">
        <w:t>Inner packages must meet the requirements for Limited Quantities</w:t>
      </w:r>
    </w:p>
    <w:p w:rsidR="003D2BA6" w:rsidRPr="00E5711E" w:rsidRDefault="001B30C3" w:rsidP="001B30C3">
      <w:pPr>
        <w:pStyle w:val="SingleTxtG"/>
      </w:pPr>
      <w:r>
        <w:t>2.</w:t>
      </w:r>
      <w:r>
        <w:tab/>
      </w:r>
      <w:r w:rsidR="003D2BA6" w:rsidRPr="00E5711E">
        <w:t>Products are packed in trays to secure the individual containers from shifting</w:t>
      </w:r>
    </w:p>
    <w:p w:rsidR="003D2BA6" w:rsidRPr="00E5711E" w:rsidRDefault="001B30C3" w:rsidP="001B30C3">
      <w:pPr>
        <w:pStyle w:val="SingleTxtG"/>
      </w:pPr>
      <w:r>
        <w:t>3.</w:t>
      </w:r>
      <w:r>
        <w:tab/>
      </w:r>
      <w:r w:rsidR="003D2BA6" w:rsidRPr="00E5711E">
        <w:t>The trays are stacked and covered with a fibreboard box that is banded to the pallet by metal, fabric, or plastic straps to form a single, palletized unit.</w:t>
      </w:r>
    </w:p>
    <w:p w:rsidR="003D2BA6" w:rsidRPr="00E5711E" w:rsidRDefault="001B30C3" w:rsidP="001B30C3">
      <w:pPr>
        <w:pStyle w:val="SingleTxtG"/>
      </w:pPr>
      <w:r>
        <w:t>4.</w:t>
      </w:r>
      <w:r>
        <w:tab/>
      </w:r>
      <w:r w:rsidR="003D2BA6" w:rsidRPr="00E5711E">
        <w:t>The maximum net quantity of hazardous material in any palletized unit is 550 kg.</w:t>
      </w:r>
    </w:p>
    <w:p w:rsidR="003D2BA6" w:rsidRPr="00E5711E" w:rsidRDefault="001B30C3" w:rsidP="001B30C3">
      <w:pPr>
        <w:pStyle w:val="SingleTxtG"/>
      </w:pPr>
      <w:r>
        <w:t>5.</w:t>
      </w:r>
      <w:r>
        <w:tab/>
      </w:r>
      <w:r w:rsidR="003D2BA6" w:rsidRPr="00E5711E">
        <w:t>The outside of the fibreboard box is marked with the Limited Quantity mark.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tblGrid>
      <w:tr w:rsidR="003D2BA6" w:rsidTr="00A12E81">
        <w:trPr>
          <w:jc w:val="center"/>
        </w:trPr>
        <w:tc>
          <w:tcPr>
            <w:tcW w:w="7200" w:type="dxa"/>
          </w:tcPr>
          <w:p w:rsidR="003D2BA6" w:rsidRDefault="003D2BA6" w:rsidP="00A12E81">
            <w:pPr>
              <w:spacing w:before="120" w:after="120"/>
              <w:jc w:val="center"/>
            </w:pPr>
            <w:r w:rsidRPr="00E5711E">
              <w:rPr>
                <w:noProof/>
              </w:rPr>
              <w:drawing>
                <wp:inline distT="0" distB="0" distL="0" distR="0" wp14:anchorId="0BCB7C9A" wp14:editId="1877C689">
                  <wp:extent cx="2369185" cy="2533015"/>
                  <wp:effectExtent l="0" t="0" r="0" b="635"/>
                  <wp:docPr id="29" name="Picture 29" descr="C:\Users\stokes.jh\AppData\Local\Microsoft\Windows\Temporary Internet Files\Content.Outlook\XTDTCX1J\Full pallet display shor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stokes.jh\AppData\Local\Microsoft\Windows\Temporary Internet Files\Content.Outlook\XTDTCX1J\Full pallet display short (0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9803" t="1709" r="16512" b="7501"/>
                          <a:stretch/>
                        </pic:blipFill>
                        <pic:spPr bwMode="auto">
                          <a:xfrm>
                            <a:off x="0" y="0"/>
                            <a:ext cx="2369185" cy="2533015"/>
                          </a:xfrm>
                          <a:prstGeom prst="rect">
                            <a:avLst/>
                          </a:prstGeom>
                          <a:noFill/>
                          <a:ln>
                            <a:noFill/>
                          </a:ln>
                          <a:extLst>
                            <a:ext uri="{53640926-AAD7-44D8-BBD7-CCE9431645EC}">
                              <a14:shadowObscured xmlns:a14="http://schemas.microsoft.com/office/drawing/2010/main"/>
                            </a:ext>
                          </a:extLst>
                        </pic:spPr>
                      </pic:pic>
                    </a:graphicData>
                  </a:graphic>
                </wp:inline>
              </w:drawing>
            </w:r>
          </w:p>
          <w:p w:rsidR="003D2BA6" w:rsidRDefault="003D2BA6" w:rsidP="00A12E81">
            <w:pPr>
              <w:spacing w:before="120" w:after="120"/>
              <w:jc w:val="center"/>
            </w:pPr>
            <w:r w:rsidRPr="00D54422">
              <w:rPr>
                <w:i/>
                <w:sz w:val="18"/>
              </w:rPr>
              <w:t>Example of a finished display pack constructed per the requirements of §173.156(c)</w:t>
            </w:r>
          </w:p>
        </w:tc>
      </w:tr>
    </w:tbl>
    <w:p w:rsidR="001B30C3" w:rsidRDefault="001B30C3" w:rsidP="001B30C3">
      <w:pPr>
        <w:pStyle w:val="SingleTxtG"/>
      </w:pPr>
    </w:p>
    <w:p w:rsidR="001B30C3" w:rsidRDefault="001B30C3">
      <w:pPr>
        <w:suppressAutoHyphens w:val="0"/>
        <w:spacing w:line="240" w:lineRule="auto"/>
      </w:pPr>
      <w:r>
        <w:br w:type="page"/>
      </w:r>
    </w:p>
    <w:p w:rsidR="003D2BA6" w:rsidRPr="00632B6C" w:rsidRDefault="003D2BA6" w:rsidP="001B30C3">
      <w:pPr>
        <w:pStyle w:val="SingleTxtG"/>
        <w:rPr>
          <w:rFonts w:ascii="Arial" w:hAnsi="Arial" w:cs="Arial"/>
          <w:iCs/>
          <w:lang w:val="en-CA"/>
        </w:rPr>
      </w:pPr>
      <w:r w:rsidRPr="00E5711E">
        <w:lastRenderedPageBreak/>
        <w:t xml:space="preserve">The transportation of limited quantities in the above-described display packs in the </w:t>
      </w:r>
      <w:r w:rsidR="00B3363A">
        <w:t>United States of America</w:t>
      </w:r>
      <w:r>
        <w:t>.</w:t>
      </w:r>
      <w:r w:rsidRPr="00E5711E">
        <w:t xml:space="preserve"> has provided an equivalent level of safety as that afforded by shipping limited quantities per the provisions §173.150-155 and §173.306, as evidenced by PHMSA’s incorporation of SP-11458 into the HMR. Likewise, </w:t>
      </w:r>
      <w:r>
        <w:t>our member</w:t>
      </w:r>
      <w:r w:rsidRPr="00E5711E">
        <w:t xml:space="preserve"> </w:t>
      </w:r>
      <w:r>
        <w:t>has</w:t>
      </w:r>
      <w:r w:rsidRPr="00E5711E">
        <w:t xml:space="preserve"> not experienced any packaging failure issues with these display packs since 2002 when </w:t>
      </w:r>
      <w:r>
        <w:t xml:space="preserve">it was </w:t>
      </w:r>
      <w:r w:rsidRPr="00E5711E">
        <w:t>first granted party status to SP-11458.</w:t>
      </w:r>
    </w:p>
    <w:p w:rsidR="006D1CA9" w:rsidRPr="00EE168C" w:rsidRDefault="006D1CA9" w:rsidP="006D1CA9">
      <w:pPr>
        <w:widowControl w:val="0"/>
        <w:jc w:val="center"/>
      </w:pPr>
      <w:r>
        <w:t>__________</w:t>
      </w:r>
    </w:p>
    <w:sectPr w:rsidR="006D1CA9" w:rsidRPr="00EE168C" w:rsidSect="00CF0197">
      <w:headerReference w:type="even" r:id="rId21"/>
      <w:headerReference w:type="default" r:id="rId22"/>
      <w:footerReference w:type="even" r:id="rId23"/>
      <w:footerReference w:type="default" r:id="rId24"/>
      <w:footnotePr>
        <w:numFmt w:val="chicago"/>
      </w:footnotePr>
      <w:endnotePr>
        <w:numFmt w:val="decimal"/>
      </w:endnotePr>
      <w:type w:val="continuous"/>
      <w:pgSz w:w="11907" w:h="16840" w:code="9"/>
      <w:pgMar w:top="1701" w:right="1134" w:bottom="1985"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207E" w:rsidRDefault="00A8207E"/>
  </w:endnote>
  <w:endnote w:type="continuationSeparator" w:id="0">
    <w:p w:rsidR="00A8207E" w:rsidRDefault="00A8207E"/>
  </w:endnote>
  <w:endnote w:type="continuationNotice" w:id="1">
    <w:p w:rsidR="00A8207E" w:rsidRDefault="00A820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7E" w:rsidRPr="009D2A5B" w:rsidRDefault="00A8207E" w:rsidP="009D2A5B">
    <w:pPr>
      <w:pStyle w:val="Footer"/>
      <w:tabs>
        <w:tab w:val="right" w:pos="9598"/>
      </w:tabs>
    </w:pPr>
    <w:r w:rsidRPr="009D2A5B">
      <w:rPr>
        <w:b/>
        <w:sz w:val="18"/>
      </w:rPr>
      <w:fldChar w:fldCharType="begin"/>
    </w:r>
    <w:r w:rsidRPr="009D2A5B">
      <w:rPr>
        <w:b/>
        <w:sz w:val="18"/>
      </w:rPr>
      <w:instrText xml:space="preserve"> PAGE  \* MERGEFORMAT </w:instrText>
    </w:r>
    <w:r w:rsidRPr="009D2A5B">
      <w:rPr>
        <w:b/>
        <w:sz w:val="18"/>
      </w:rPr>
      <w:fldChar w:fldCharType="separate"/>
    </w:r>
    <w:r w:rsidR="0074794F">
      <w:rPr>
        <w:b/>
        <w:noProof/>
        <w:sz w:val="18"/>
      </w:rPr>
      <w:t>6</w:t>
    </w:r>
    <w:r w:rsidRPr="009D2A5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7E" w:rsidRPr="009D2A5B" w:rsidRDefault="00A8207E" w:rsidP="009D2A5B">
    <w:pPr>
      <w:pStyle w:val="Footer"/>
      <w:tabs>
        <w:tab w:val="right" w:pos="9598"/>
      </w:tabs>
      <w:rPr>
        <w:b/>
        <w:sz w:val="18"/>
      </w:rPr>
    </w:pPr>
    <w:r>
      <w:tab/>
    </w:r>
    <w:r w:rsidRPr="009D2A5B">
      <w:rPr>
        <w:b/>
        <w:sz w:val="18"/>
      </w:rPr>
      <w:fldChar w:fldCharType="begin"/>
    </w:r>
    <w:r w:rsidRPr="009D2A5B">
      <w:rPr>
        <w:b/>
        <w:sz w:val="18"/>
      </w:rPr>
      <w:instrText xml:space="preserve"> PAGE  \* MERGEFORMAT </w:instrText>
    </w:r>
    <w:r w:rsidRPr="009D2A5B">
      <w:rPr>
        <w:b/>
        <w:sz w:val="18"/>
      </w:rPr>
      <w:fldChar w:fldCharType="separate"/>
    </w:r>
    <w:r w:rsidR="0074794F">
      <w:rPr>
        <w:b/>
        <w:noProof/>
        <w:sz w:val="18"/>
      </w:rPr>
      <w:t>5</w:t>
    </w:r>
    <w:r w:rsidRPr="009D2A5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207E" w:rsidRPr="000B175B" w:rsidRDefault="00A8207E" w:rsidP="000B175B">
      <w:pPr>
        <w:tabs>
          <w:tab w:val="right" w:pos="2155"/>
        </w:tabs>
        <w:spacing w:after="80"/>
        <w:ind w:left="680"/>
        <w:rPr>
          <w:u w:val="single"/>
        </w:rPr>
      </w:pPr>
      <w:r>
        <w:rPr>
          <w:u w:val="single"/>
        </w:rPr>
        <w:tab/>
      </w:r>
    </w:p>
  </w:footnote>
  <w:footnote w:type="continuationSeparator" w:id="0">
    <w:p w:rsidR="00A8207E" w:rsidRPr="00FC68B7" w:rsidRDefault="00A8207E" w:rsidP="00FC68B7">
      <w:pPr>
        <w:tabs>
          <w:tab w:val="left" w:pos="2155"/>
        </w:tabs>
        <w:spacing w:after="80"/>
        <w:ind w:left="680"/>
        <w:rPr>
          <w:u w:val="single"/>
        </w:rPr>
      </w:pPr>
      <w:r>
        <w:rPr>
          <w:u w:val="single"/>
        </w:rPr>
        <w:tab/>
      </w:r>
    </w:p>
  </w:footnote>
  <w:footnote w:type="continuationNotice" w:id="1">
    <w:p w:rsidR="00A8207E" w:rsidRDefault="00A8207E"/>
  </w:footnote>
  <w:footnote w:id="2">
    <w:p w:rsidR="00004AD5" w:rsidRPr="006E5117" w:rsidRDefault="00004AD5" w:rsidP="00004AD5">
      <w:pPr>
        <w:pStyle w:val="FootnoteText"/>
        <w:ind w:left="1418" w:right="1532" w:hanging="284"/>
        <w:jc w:val="both"/>
      </w:pPr>
      <w:r w:rsidRPr="00004AD5">
        <w:rPr>
          <w:rStyle w:val="FootnoteReference"/>
          <w:sz w:val="20"/>
        </w:rPr>
        <w:footnoteRef/>
      </w:r>
      <w:r>
        <w:tab/>
        <w:t>In accordance with the programme of work of the Inland Transport Committee for 201</w:t>
      </w:r>
      <w:r w:rsidR="0001501B">
        <w:t>8</w:t>
      </w:r>
      <w:r>
        <w:t>-201</w:t>
      </w:r>
      <w:r w:rsidR="0001501B">
        <w:t>9</w:t>
      </w:r>
      <w:r>
        <w:t>, (ECE/TRANS/201</w:t>
      </w:r>
      <w:r w:rsidR="0001501B">
        <w:t>8</w:t>
      </w:r>
      <w:r>
        <w:t>/2</w:t>
      </w:r>
      <w:r w:rsidR="0001501B">
        <w:t>1</w:t>
      </w:r>
      <w:r>
        <w:t>/Add.1</w:t>
      </w:r>
      <w:r w:rsidR="0098759D">
        <w:t>, Cluster 9,</w:t>
      </w:r>
      <w:r>
        <w:t xml:space="preserve"> (9.2)).</w:t>
      </w:r>
    </w:p>
  </w:footnote>
  <w:footnote w:id="3">
    <w:p w:rsidR="00004AD5" w:rsidRPr="00004AD5" w:rsidRDefault="00004AD5" w:rsidP="00004AD5">
      <w:pPr>
        <w:pStyle w:val="FootnoteText"/>
        <w:ind w:left="1418" w:right="1532" w:hanging="284"/>
        <w:jc w:val="both"/>
        <w:rPr>
          <w:lang w:val="fr-CH"/>
        </w:rPr>
      </w:pPr>
      <w:r w:rsidRPr="00004AD5">
        <w:rPr>
          <w:rStyle w:val="FootnoteReference"/>
          <w:sz w:val="20"/>
        </w:rPr>
        <w:t>**</w:t>
      </w:r>
      <w:r>
        <w:tab/>
      </w:r>
      <w:r w:rsidRPr="00F30C99">
        <w:t xml:space="preserve">Circulated by the Intergovernmental Organisation for International Carriage by Rail (OTIF) under the symbol </w:t>
      </w:r>
      <w:r w:rsidRPr="00561474">
        <w:t>OTIF/RID/RC/201</w:t>
      </w:r>
      <w:r w:rsidR="0098759D">
        <w:t>8</w:t>
      </w:r>
      <w:r w:rsidRPr="00561474">
        <w:t>/</w:t>
      </w:r>
      <w:r w:rsidR="00E04424">
        <w:t>21</w:t>
      </w:r>
      <w:r w:rsidRPr="00561474">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7E" w:rsidRPr="009D2A5B" w:rsidRDefault="00A8207E" w:rsidP="009D2A5B">
    <w:pPr>
      <w:pStyle w:val="Header"/>
    </w:pPr>
    <w:r w:rsidRPr="009D2A5B">
      <w:t>ECE/TRANS/WP.15/AC.1/201</w:t>
    </w:r>
    <w:r w:rsidR="001A1DCA">
      <w:t>8</w:t>
    </w:r>
    <w:r w:rsidRPr="009D2A5B">
      <w:t>/</w:t>
    </w:r>
    <w:r w:rsidR="00AB3A01">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207E" w:rsidRPr="009D2A5B" w:rsidRDefault="00A8207E" w:rsidP="009D2A5B">
    <w:pPr>
      <w:pStyle w:val="Header"/>
      <w:jc w:val="right"/>
    </w:pPr>
    <w:r w:rsidRPr="009D2A5B">
      <w:t>ECE/TRANS/WP.15/AC.1/201</w:t>
    </w:r>
    <w:r w:rsidR="002564BC">
      <w:t>8</w:t>
    </w:r>
    <w:r w:rsidRPr="009D2A5B">
      <w:t>/</w:t>
    </w:r>
    <w:r w:rsidR="001B30C3">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57E679C2"/>
    <w:lvl w:ilvl="0" w:tplc="075A6416">
      <w:start w:val="1"/>
      <w:numFmt w:val="decimal"/>
      <w:pStyle w:val="ParaNoG"/>
      <w:lvlText w:val="%1."/>
      <w:lvlJc w:val="left"/>
      <w:pPr>
        <w:tabs>
          <w:tab w:val="num" w:pos="1494"/>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0A0D3624"/>
    <w:multiLevelType w:val="hybridMultilevel"/>
    <w:tmpl w:val="260A8F4A"/>
    <w:lvl w:ilvl="0" w:tplc="A63E0398">
      <w:start w:val="1"/>
      <w:numFmt w:val="decimal"/>
      <w:lvlText w:val="%1."/>
      <w:lvlJc w:val="left"/>
      <w:pPr>
        <w:ind w:left="1068" w:hanging="360"/>
      </w:pPr>
      <w:rPr>
        <w:rFonts w:hint="default"/>
        <w:b w:val="0"/>
        <w:i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15:restartNumberingAfterBreak="0">
    <w:nsid w:val="141A577E"/>
    <w:multiLevelType w:val="hybridMultilevel"/>
    <w:tmpl w:val="CE6205A0"/>
    <w:lvl w:ilvl="0" w:tplc="BE96F1AA">
      <w:start w:val="1"/>
      <w:numFmt w:val="decimal"/>
      <w:lvlText w:val="%1."/>
      <w:lvlJc w:val="left"/>
      <w:pPr>
        <w:ind w:left="1689" w:hanging="555"/>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6C40CDE"/>
    <w:multiLevelType w:val="hybridMultilevel"/>
    <w:tmpl w:val="5DE8E00E"/>
    <w:lvl w:ilvl="0" w:tplc="0409000F">
      <w:start w:val="8"/>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8622463"/>
    <w:multiLevelType w:val="hybridMultilevel"/>
    <w:tmpl w:val="677EC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45F1A3B"/>
    <w:multiLevelType w:val="hybridMultilevel"/>
    <w:tmpl w:val="107487FA"/>
    <w:lvl w:ilvl="0" w:tplc="041D0001">
      <w:start w:val="1"/>
      <w:numFmt w:val="bullet"/>
      <w:lvlText w:val=""/>
      <w:lvlJc w:val="left"/>
      <w:pPr>
        <w:ind w:left="1854" w:hanging="360"/>
      </w:pPr>
      <w:rPr>
        <w:rFonts w:ascii="Symbol" w:hAnsi="Symbol" w:hint="default"/>
      </w:rPr>
    </w:lvl>
    <w:lvl w:ilvl="1" w:tplc="041D0003" w:tentative="1">
      <w:start w:val="1"/>
      <w:numFmt w:val="bullet"/>
      <w:lvlText w:val="o"/>
      <w:lvlJc w:val="left"/>
      <w:pPr>
        <w:ind w:left="2574" w:hanging="360"/>
      </w:pPr>
      <w:rPr>
        <w:rFonts w:ascii="Courier New" w:hAnsi="Courier New" w:cs="Courier New" w:hint="default"/>
      </w:rPr>
    </w:lvl>
    <w:lvl w:ilvl="2" w:tplc="041D0005" w:tentative="1">
      <w:start w:val="1"/>
      <w:numFmt w:val="bullet"/>
      <w:lvlText w:val=""/>
      <w:lvlJc w:val="left"/>
      <w:pPr>
        <w:ind w:left="3294" w:hanging="360"/>
      </w:pPr>
      <w:rPr>
        <w:rFonts w:ascii="Wingdings" w:hAnsi="Wingdings" w:hint="default"/>
      </w:rPr>
    </w:lvl>
    <w:lvl w:ilvl="3" w:tplc="041D0001" w:tentative="1">
      <w:start w:val="1"/>
      <w:numFmt w:val="bullet"/>
      <w:lvlText w:val=""/>
      <w:lvlJc w:val="left"/>
      <w:pPr>
        <w:ind w:left="4014" w:hanging="360"/>
      </w:pPr>
      <w:rPr>
        <w:rFonts w:ascii="Symbol" w:hAnsi="Symbol" w:hint="default"/>
      </w:rPr>
    </w:lvl>
    <w:lvl w:ilvl="4" w:tplc="041D0003" w:tentative="1">
      <w:start w:val="1"/>
      <w:numFmt w:val="bullet"/>
      <w:lvlText w:val="o"/>
      <w:lvlJc w:val="left"/>
      <w:pPr>
        <w:ind w:left="4734" w:hanging="360"/>
      </w:pPr>
      <w:rPr>
        <w:rFonts w:ascii="Courier New" w:hAnsi="Courier New" w:cs="Courier New" w:hint="default"/>
      </w:rPr>
    </w:lvl>
    <w:lvl w:ilvl="5" w:tplc="041D0005" w:tentative="1">
      <w:start w:val="1"/>
      <w:numFmt w:val="bullet"/>
      <w:lvlText w:val=""/>
      <w:lvlJc w:val="left"/>
      <w:pPr>
        <w:ind w:left="5454" w:hanging="360"/>
      </w:pPr>
      <w:rPr>
        <w:rFonts w:ascii="Wingdings" w:hAnsi="Wingdings" w:hint="default"/>
      </w:rPr>
    </w:lvl>
    <w:lvl w:ilvl="6" w:tplc="041D0001" w:tentative="1">
      <w:start w:val="1"/>
      <w:numFmt w:val="bullet"/>
      <w:lvlText w:val=""/>
      <w:lvlJc w:val="left"/>
      <w:pPr>
        <w:ind w:left="6174" w:hanging="360"/>
      </w:pPr>
      <w:rPr>
        <w:rFonts w:ascii="Symbol" w:hAnsi="Symbol" w:hint="default"/>
      </w:rPr>
    </w:lvl>
    <w:lvl w:ilvl="7" w:tplc="041D0003" w:tentative="1">
      <w:start w:val="1"/>
      <w:numFmt w:val="bullet"/>
      <w:lvlText w:val="o"/>
      <w:lvlJc w:val="left"/>
      <w:pPr>
        <w:ind w:left="6894" w:hanging="360"/>
      </w:pPr>
      <w:rPr>
        <w:rFonts w:ascii="Courier New" w:hAnsi="Courier New" w:cs="Courier New" w:hint="default"/>
      </w:rPr>
    </w:lvl>
    <w:lvl w:ilvl="8" w:tplc="041D0005" w:tentative="1">
      <w:start w:val="1"/>
      <w:numFmt w:val="bullet"/>
      <w:lvlText w:val=""/>
      <w:lvlJc w:val="left"/>
      <w:pPr>
        <w:ind w:left="7614" w:hanging="360"/>
      </w:pPr>
      <w:rPr>
        <w:rFonts w:ascii="Wingdings" w:hAnsi="Wingdings" w:hint="default"/>
      </w:rPr>
    </w:lvl>
  </w:abstractNum>
  <w:abstractNum w:abstractNumId="19"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213EFB"/>
    <w:multiLevelType w:val="hybridMultilevel"/>
    <w:tmpl w:val="5672DBAC"/>
    <w:lvl w:ilvl="0" w:tplc="27CE77F4">
      <w:start w:val="1"/>
      <w:numFmt w:val="decimal"/>
      <w:lvlText w:val="%1."/>
      <w:lvlJc w:val="left"/>
      <w:pPr>
        <w:ind w:left="1494" w:hanging="360"/>
      </w:pPr>
      <w:rPr>
        <w:rFonts w:hint="default"/>
      </w:rPr>
    </w:lvl>
    <w:lvl w:ilvl="1" w:tplc="041D0019" w:tentative="1">
      <w:start w:val="1"/>
      <w:numFmt w:val="lowerLetter"/>
      <w:lvlText w:val="%2."/>
      <w:lvlJc w:val="left"/>
      <w:pPr>
        <w:ind w:left="2214" w:hanging="360"/>
      </w:pPr>
    </w:lvl>
    <w:lvl w:ilvl="2" w:tplc="041D001B" w:tentative="1">
      <w:start w:val="1"/>
      <w:numFmt w:val="lowerRoman"/>
      <w:lvlText w:val="%3."/>
      <w:lvlJc w:val="right"/>
      <w:pPr>
        <w:ind w:left="2934" w:hanging="180"/>
      </w:pPr>
    </w:lvl>
    <w:lvl w:ilvl="3" w:tplc="041D000F" w:tentative="1">
      <w:start w:val="1"/>
      <w:numFmt w:val="decimal"/>
      <w:lvlText w:val="%4."/>
      <w:lvlJc w:val="left"/>
      <w:pPr>
        <w:ind w:left="3654" w:hanging="360"/>
      </w:pPr>
    </w:lvl>
    <w:lvl w:ilvl="4" w:tplc="041D0019" w:tentative="1">
      <w:start w:val="1"/>
      <w:numFmt w:val="lowerLetter"/>
      <w:lvlText w:val="%5."/>
      <w:lvlJc w:val="left"/>
      <w:pPr>
        <w:ind w:left="4374" w:hanging="360"/>
      </w:pPr>
    </w:lvl>
    <w:lvl w:ilvl="5" w:tplc="041D001B" w:tentative="1">
      <w:start w:val="1"/>
      <w:numFmt w:val="lowerRoman"/>
      <w:lvlText w:val="%6."/>
      <w:lvlJc w:val="right"/>
      <w:pPr>
        <w:ind w:left="5094" w:hanging="180"/>
      </w:pPr>
    </w:lvl>
    <w:lvl w:ilvl="6" w:tplc="041D000F" w:tentative="1">
      <w:start w:val="1"/>
      <w:numFmt w:val="decimal"/>
      <w:lvlText w:val="%7."/>
      <w:lvlJc w:val="left"/>
      <w:pPr>
        <w:ind w:left="5814" w:hanging="360"/>
      </w:pPr>
    </w:lvl>
    <w:lvl w:ilvl="7" w:tplc="041D0019" w:tentative="1">
      <w:start w:val="1"/>
      <w:numFmt w:val="lowerLetter"/>
      <w:lvlText w:val="%8."/>
      <w:lvlJc w:val="left"/>
      <w:pPr>
        <w:ind w:left="6534" w:hanging="360"/>
      </w:pPr>
    </w:lvl>
    <w:lvl w:ilvl="8" w:tplc="041D001B" w:tentative="1">
      <w:start w:val="1"/>
      <w:numFmt w:val="lowerRoman"/>
      <w:lvlText w:val="%9."/>
      <w:lvlJc w:val="right"/>
      <w:pPr>
        <w:ind w:left="7254" w:hanging="180"/>
      </w:pPr>
    </w:lvl>
  </w:abstractNum>
  <w:abstractNum w:abstractNumId="21" w15:restartNumberingAfterBreak="0">
    <w:nsid w:val="495F7E8C"/>
    <w:multiLevelType w:val="hybridMultilevel"/>
    <w:tmpl w:val="B31A9316"/>
    <w:lvl w:ilvl="0" w:tplc="062E7E9C">
      <w:start w:val="1"/>
      <w:numFmt w:val="decimal"/>
      <w:lvlText w:val="(%1)"/>
      <w:lvlJc w:val="left"/>
      <w:pPr>
        <w:ind w:left="2170" w:hanging="37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2" w15:restartNumberingAfterBreak="0">
    <w:nsid w:val="4CDE2E2D"/>
    <w:multiLevelType w:val="hybridMultilevel"/>
    <w:tmpl w:val="2E7A7832"/>
    <w:lvl w:ilvl="0" w:tplc="B58A0C70">
      <w:start w:val="2"/>
      <w:numFmt w:val="bullet"/>
      <w:lvlText w:val="•"/>
      <w:lvlJc w:val="left"/>
      <w:pPr>
        <w:ind w:left="786" w:hanging="360"/>
      </w:pPr>
      <w:rPr>
        <w:rFonts w:ascii="Arial" w:eastAsia="Times New Roman" w:hAnsi="Arial" w:cs="Arial" w:hint="default"/>
      </w:rPr>
    </w:lvl>
    <w:lvl w:ilvl="1" w:tplc="7BC6D20E" w:tentative="1">
      <w:start w:val="1"/>
      <w:numFmt w:val="bullet"/>
      <w:lvlText w:val="o"/>
      <w:lvlJc w:val="left"/>
      <w:pPr>
        <w:ind w:left="1506" w:hanging="360"/>
      </w:pPr>
      <w:rPr>
        <w:rFonts w:ascii="Courier New" w:hAnsi="Courier New" w:cs="Courier New" w:hint="default"/>
      </w:rPr>
    </w:lvl>
    <w:lvl w:ilvl="2" w:tplc="0C18600E" w:tentative="1">
      <w:start w:val="1"/>
      <w:numFmt w:val="bullet"/>
      <w:lvlText w:val=""/>
      <w:lvlJc w:val="left"/>
      <w:pPr>
        <w:ind w:left="2226" w:hanging="360"/>
      </w:pPr>
      <w:rPr>
        <w:rFonts w:ascii="Wingdings" w:hAnsi="Wingdings" w:hint="default"/>
      </w:rPr>
    </w:lvl>
    <w:lvl w:ilvl="3" w:tplc="66E4D2DC" w:tentative="1">
      <w:start w:val="1"/>
      <w:numFmt w:val="bullet"/>
      <w:lvlText w:val=""/>
      <w:lvlJc w:val="left"/>
      <w:pPr>
        <w:ind w:left="2946" w:hanging="360"/>
      </w:pPr>
      <w:rPr>
        <w:rFonts w:ascii="Symbol" w:hAnsi="Symbol" w:hint="default"/>
      </w:rPr>
    </w:lvl>
    <w:lvl w:ilvl="4" w:tplc="C6229E3C" w:tentative="1">
      <w:start w:val="1"/>
      <w:numFmt w:val="bullet"/>
      <w:lvlText w:val="o"/>
      <w:lvlJc w:val="left"/>
      <w:pPr>
        <w:ind w:left="3666" w:hanging="360"/>
      </w:pPr>
      <w:rPr>
        <w:rFonts w:ascii="Courier New" w:hAnsi="Courier New" w:cs="Courier New" w:hint="default"/>
      </w:rPr>
    </w:lvl>
    <w:lvl w:ilvl="5" w:tplc="CCAEC820" w:tentative="1">
      <w:start w:val="1"/>
      <w:numFmt w:val="bullet"/>
      <w:lvlText w:val=""/>
      <w:lvlJc w:val="left"/>
      <w:pPr>
        <w:ind w:left="4386" w:hanging="360"/>
      </w:pPr>
      <w:rPr>
        <w:rFonts w:ascii="Wingdings" w:hAnsi="Wingdings" w:hint="default"/>
      </w:rPr>
    </w:lvl>
    <w:lvl w:ilvl="6" w:tplc="F05483B2" w:tentative="1">
      <w:start w:val="1"/>
      <w:numFmt w:val="bullet"/>
      <w:lvlText w:val=""/>
      <w:lvlJc w:val="left"/>
      <w:pPr>
        <w:ind w:left="5106" w:hanging="360"/>
      </w:pPr>
      <w:rPr>
        <w:rFonts w:ascii="Symbol" w:hAnsi="Symbol" w:hint="default"/>
      </w:rPr>
    </w:lvl>
    <w:lvl w:ilvl="7" w:tplc="C6D2FFC2" w:tentative="1">
      <w:start w:val="1"/>
      <w:numFmt w:val="bullet"/>
      <w:lvlText w:val="o"/>
      <w:lvlJc w:val="left"/>
      <w:pPr>
        <w:ind w:left="5826" w:hanging="360"/>
      </w:pPr>
      <w:rPr>
        <w:rFonts w:ascii="Courier New" w:hAnsi="Courier New" w:cs="Courier New" w:hint="default"/>
      </w:rPr>
    </w:lvl>
    <w:lvl w:ilvl="8" w:tplc="7C3C9064" w:tentative="1">
      <w:start w:val="1"/>
      <w:numFmt w:val="bullet"/>
      <w:lvlText w:val=""/>
      <w:lvlJc w:val="left"/>
      <w:pPr>
        <w:ind w:left="6546" w:hanging="360"/>
      </w:pPr>
      <w:rPr>
        <w:rFonts w:ascii="Wingdings" w:hAnsi="Wingdings" w:hint="default"/>
      </w:rPr>
    </w:lvl>
  </w:abstractNum>
  <w:abstractNum w:abstractNumId="23" w15:restartNumberingAfterBreak="0">
    <w:nsid w:val="4D77114A"/>
    <w:multiLevelType w:val="multilevel"/>
    <w:tmpl w:val="FFFFFFFF"/>
    <w:lvl w:ilvl="0">
      <w:start w:val="1"/>
      <w:numFmt w:val="none"/>
      <w:suff w:val="nothing"/>
      <w:lvlText w:val=""/>
      <w:lvlJc w:val="left"/>
      <w:pPr>
        <w:ind w:left="432" w:hanging="432"/>
      </w:pPr>
      <w:rPr>
        <w:rFonts w:cs="Times New Roman"/>
      </w:rPr>
    </w:lvl>
    <w:lvl w:ilvl="1">
      <w:start w:val="1"/>
      <w:numFmt w:val="none"/>
      <w:suff w:val="nothing"/>
      <w:lvlText w:val=""/>
      <w:lvlJc w:val="left"/>
      <w:pPr>
        <w:ind w:left="576" w:hanging="576"/>
      </w:pPr>
      <w:rPr>
        <w:rFonts w:cs="Times New Roman"/>
      </w:rPr>
    </w:lvl>
    <w:lvl w:ilvl="2">
      <w:start w:val="1"/>
      <w:numFmt w:val="none"/>
      <w:suff w:val="nothing"/>
      <w:lvlText w:val=""/>
      <w:lvlJc w:val="left"/>
      <w:pPr>
        <w:ind w:left="720" w:hanging="720"/>
      </w:pPr>
      <w:rPr>
        <w:rFonts w:cs="Times New Roman"/>
      </w:rPr>
    </w:lvl>
    <w:lvl w:ilvl="3">
      <w:start w:val="1"/>
      <w:numFmt w:val="none"/>
      <w:suff w:val="nothing"/>
      <w:lvlText w:val=""/>
      <w:lvlJc w:val="left"/>
      <w:pPr>
        <w:ind w:left="864" w:hanging="864"/>
      </w:pPr>
      <w:rPr>
        <w:rFonts w:cs="Times New Roman"/>
      </w:rPr>
    </w:lvl>
    <w:lvl w:ilvl="4">
      <w:start w:val="1"/>
      <w:numFmt w:val="none"/>
      <w:suff w:val="nothing"/>
      <w:lvlText w:val=""/>
      <w:lvlJc w:val="left"/>
      <w:pPr>
        <w:ind w:left="1008" w:hanging="1008"/>
      </w:pPr>
      <w:rPr>
        <w:rFonts w:cs="Times New Roman"/>
      </w:rPr>
    </w:lvl>
    <w:lvl w:ilvl="5">
      <w:start w:val="1"/>
      <w:numFmt w:val="none"/>
      <w:suff w:val="nothing"/>
      <w:lvlText w:val=""/>
      <w:lvlJc w:val="left"/>
      <w:pPr>
        <w:ind w:left="1152" w:hanging="1152"/>
      </w:pPr>
      <w:rPr>
        <w:rFonts w:cs="Times New Roman"/>
      </w:rPr>
    </w:lvl>
    <w:lvl w:ilvl="6">
      <w:start w:val="1"/>
      <w:numFmt w:val="none"/>
      <w:suff w:val="nothing"/>
      <w:lvlText w:val=""/>
      <w:lvlJc w:val="left"/>
      <w:pPr>
        <w:ind w:left="1296" w:hanging="1296"/>
      </w:pPr>
      <w:rPr>
        <w:rFonts w:cs="Times New Roman"/>
      </w:rPr>
    </w:lvl>
    <w:lvl w:ilvl="7">
      <w:start w:val="1"/>
      <w:numFmt w:val="none"/>
      <w:suff w:val="nothing"/>
      <w:lvlText w:val=""/>
      <w:lvlJc w:val="left"/>
      <w:pPr>
        <w:ind w:left="1440" w:hanging="1440"/>
      </w:pPr>
      <w:rPr>
        <w:rFonts w:cs="Times New Roman"/>
      </w:rPr>
    </w:lvl>
    <w:lvl w:ilvl="8">
      <w:start w:val="1"/>
      <w:numFmt w:val="none"/>
      <w:suff w:val="nothing"/>
      <w:lvlText w:val=""/>
      <w:lvlJc w:val="left"/>
      <w:pPr>
        <w:ind w:left="1584" w:hanging="1584"/>
      </w:pPr>
      <w:rPr>
        <w:rFonts w:cs="Times New Roman"/>
      </w:rPr>
    </w:lvl>
  </w:abstractNum>
  <w:abstractNum w:abstractNumId="24" w15:restartNumberingAfterBreak="0">
    <w:nsid w:val="4ED92F95"/>
    <w:multiLevelType w:val="hybridMultilevel"/>
    <w:tmpl w:val="58AE6AAC"/>
    <w:lvl w:ilvl="0" w:tplc="0809000F">
      <w:start w:val="1"/>
      <w:numFmt w:val="decimal"/>
      <w:lvlText w:val="%1."/>
      <w:lvlJc w:val="left"/>
      <w:pPr>
        <w:ind w:left="2421" w:hanging="360"/>
      </w:pPr>
    </w:lvl>
    <w:lvl w:ilvl="1" w:tplc="08090019">
      <w:start w:val="1"/>
      <w:numFmt w:val="lowerLetter"/>
      <w:lvlText w:val="%2."/>
      <w:lvlJc w:val="left"/>
      <w:pPr>
        <w:ind w:left="3141" w:hanging="360"/>
      </w:pPr>
    </w:lvl>
    <w:lvl w:ilvl="2" w:tplc="0809001B" w:tentative="1">
      <w:start w:val="1"/>
      <w:numFmt w:val="lowerRoman"/>
      <w:lvlText w:val="%3."/>
      <w:lvlJc w:val="right"/>
      <w:pPr>
        <w:ind w:left="3861" w:hanging="180"/>
      </w:pPr>
    </w:lvl>
    <w:lvl w:ilvl="3" w:tplc="0809000F" w:tentative="1">
      <w:start w:val="1"/>
      <w:numFmt w:val="decimal"/>
      <w:lvlText w:val="%4."/>
      <w:lvlJc w:val="left"/>
      <w:pPr>
        <w:ind w:left="4581" w:hanging="360"/>
      </w:pPr>
    </w:lvl>
    <w:lvl w:ilvl="4" w:tplc="08090019" w:tentative="1">
      <w:start w:val="1"/>
      <w:numFmt w:val="lowerLetter"/>
      <w:lvlText w:val="%5."/>
      <w:lvlJc w:val="left"/>
      <w:pPr>
        <w:ind w:left="5301" w:hanging="360"/>
      </w:pPr>
    </w:lvl>
    <w:lvl w:ilvl="5" w:tplc="0809001B" w:tentative="1">
      <w:start w:val="1"/>
      <w:numFmt w:val="lowerRoman"/>
      <w:lvlText w:val="%6."/>
      <w:lvlJc w:val="right"/>
      <w:pPr>
        <w:ind w:left="6021" w:hanging="180"/>
      </w:pPr>
    </w:lvl>
    <w:lvl w:ilvl="6" w:tplc="0809000F" w:tentative="1">
      <w:start w:val="1"/>
      <w:numFmt w:val="decimal"/>
      <w:lvlText w:val="%7."/>
      <w:lvlJc w:val="left"/>
      <w:pPr>
        <w:ind w:left="6741" w:hanging="360"/>
      </w:pPr>
    </w:lvl>
    <w:lvl w:ilvl="7" w:tplc="08090019" w:tentative="1">
      <w:start w:val="1"/>
      <w:numFmt w:val="lowerLetter"/>
      <w:lvlText w:val="%8."/>
      <w:lvlJc w:val="left"/>
      <w:pPr>
        <w:ind w:left="7461" w:hanging="360"/>
      </w:pPr>
    </w:lvl>
    <w:lvl w:ilvl="8" w:tplc="0809001B" w:tentative="1">
      <w:start w:val="1"/>
      <w:numFmt w:val="lowerRoman"/>
      <w:lvlText w:val="%9."/>
      <w:lvlJc w:val="right"/>
      <w:pPr>
        <w:ind w:left="8181" w:hanging="180"/>
      </w:pPr>
    </w:lvl>
  </w:abstractNum>
  <w:abstractNum w:abstractNumId="25"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3DC3C74"/>
    <w:multiLevelType w:val="hybridMultilevel"/>
    <w:tmpl w:val="D146F766"/>
    <w:lvl w:ilvl="0" w:tplc="04130017">
      <w:start w:val="1"/>
      <w:numFmt w:val="lowerLetter"/>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7" w15:restartNumberingAfterBreak="0">
    <w:nsid w:val="67AA2912"/>
    <w:multiLevelType w:val="hybridMultilevel"/>
    <w:tmpl w:val="CC8A73CC"/>
    <w:lvl w:ilvl="0" w:tplc="5978DD20">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8" w15:restartNumberingAfterBreak="0">
    <w:nsid w:val="699B28C1"/>
    <w:multiLevelType w:val="hybridMultilevel"/>
    <w:tmpl w:val="3AF0919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79256F"/>
    <w:multiLevelType w:val="hybridMultilevel"/>
    <w:tmpl w:val="629460B8"/>
    <w:lvl w:ilvl="0" w:tplc="E6BAF676">
      <w:start w:val="1"/>
      <w:numFmt w:val="lowerRoman"/>
      <w:lvlText w:val="(%1)"/>
      <w:lvlJc w:val="left"/>
      <w:pPr>
        <w:ind w:left="2520" w:hanging="720"/>
      </w:pPr>
      <w:rPr>
        <w:rFonts w:hint="default"/>
        <w:i w:val="0"/>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0" w15:restartNumberingAfterBreak="0">
    <w:nsid w:val="77C16B78"/>
    <w:multiLevelType w:val="hybridMultilevel"/>
    <w:tmpl w:val="44165E9E"/>
    <w:lvl w:ilvl="0" w:tplc="5E042380">
      <w:start w:val="1"/>
      <w:numFmt w:val="lowerRoman"/>
      <w:lvlText w:val="(%1)"/>
      <w:lvlJc w:val="left"/>
      <w:pPr>
        <w:ind w:left="2520" w:hanging="720"/>
      </w:pPr>
      <w:rPr>
        <w:rFonts w:hint="default"/>
        <w:i w:val="0"/>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1" w15:restartNumberingAfterBreak="0">
    <w:nsid w:val="7C7D13B1"/>
    <w:multiLevelType w:val="hybridMultilevel"/>
    <w:tmpl w:val="C1742C8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025CD4"/>
    <w:multiLevelType w:val="hybridMultilevel"/>
    <w:tmpl w:val="53600B66"/>
    <w:lvl w:ilvl="0" w:tplc="B0124408">
      <w:numFmt w:val="bullet"/>
      <w:lvlText w:val="-"/>
      <w:lvlJc w:val="left"/>
      <w:pPr>
        <w:ind w:left="2345" w:hanging="360"/>
      </w:pPr>
      <w:rPr>
        <w:rFonts w:ascii="Times New Roman" w:eastAsia="Times New Roman" w:hAnsi="Times New Roman" w:cs="Times New Roman" w:hint="default"/>
        <w:sz w:val="20"/>
      </w:rPr>
    </w:lvl>
    <w:lvl w:ilvl="1" w:tplc="04130003" w:tentative="1">
      <w:start w:val="1"/>
      <w:numFmt w:val="bullet"/>
      <w:lvlText w:val="o"/>
      <w:lvlJc w:val="left"/>
      <w:pPr>
        <w:ind w:left="3065" w:hanging="360"/>
      </w:pPr>
      <w:rPr>
        <w:rFonts w:ascii="Courier New" w:hAnsi="Courier New" w:cs="Courier New" w:hint="default"/>
      </w:rPr>
    </w:lvl>
    <w:lvl w:ilvl="2" w:tplc="04130005" w:tentative="1">
      <w:start w:val="1"/>
      <w:numFmt w:val="bullet"/>
      <w:lvlText w:val=""/>
      <w:lvlJc w:val="left"/>
      <w:pPr>
        <w:ind w:left="3785" w:hanging="360"/>
      </w:pPr>
      <w:rPr>
        <w:rFonts w:ascii="Wingdings" w:hAnsi="Wingdings" w:hint="default"/>
      </w:rPr>
    </w:lvl>
    <w:lvl w:ilvl="3" w:tplc="04130001" w:tentative="1">
      <w:start w:val="1"/>
      <w:numFmt w:val="bullet"/>
      <w:lvlText w:val=""/>
      <w:lvlJc w:val="left"/>
      <w:pPr>
        <w:ind w:left="4505" w:hanging="360"/>
      </w:pPr>
      <w:rPr>
        <w:rFonts w:ascii="Symbol" w:hAnsi="Symbol" w:hint="default"/>
      </w:rPr>
    </w:lvl>
    <w:lvl w:ilvl="4" w:tplc="04130003" w:tentative="1">
      <w:start w:val="1"/>
      <w:numFmt w:val="bullet"/>
      <w:lvlText w:val="o"/>
      <w:lvlJc w:val="left"/>
      <w:pPr>
        <w:ind w:left="5225" w:hanging="360"/>
      </w:pPr>
      <w:rPr>
        <w:rFonts w:ascii="Courier New" w:hAnsi="Courier New" w:cs="Courier New" w:hint="default"/>
      </w:rPr>
    </w:lvl>
    <w:lvl w:ilvl="5" w:tplc="04130005" w:tentative="1">
      <w:start w:val="1"/>
      <w:numFmt w:val="bullet"/>
      <w:lvlText w:val=""/>
      <w:lvlJc w:val="left"/>
      <w:pPr>
        <w:ind w:left="5945" w:hanging="360"/>
      </w:pPr>
      <w:rPr>
        <w:rFonts w:ascii="Wingdings" w:hAnsi="Wingdings" w:hint="default"/>
      </w:rPr>
    </w:lvl>
    <w:lvl w:ilvl="6" w:tplc="04130001" w:tentative="1">
      <w:start w:val="1"/>
      <w:numFmt w:val="bullet"/>
      <w:lvlText w:val=""/>
      <w:lvlJc w:val="left"/>
      <w:pPr>
        <w:ind w:left="6665" w:hanging="360"/>
      </w:pPr>
      <w:rPr>
        <w:rFonts w:ascii="Symbol" w:hAnsi="Symbol" w:hint="default"/>
      </w:rPr>
    </w:lvl>
    <w:lvl w:ilvl="7" w:tplc="04130003" w:tentative="1">
      <w:start w:val="1"/>
      <w:numFmt w:val="bullet"/>
      <w:lvlText w:val="o"/>
      <w:lvlJc w:val="left"/>
      <w:pPr>
        <w:ind w:left="7385" w:hanging="360"/>
      </w:pPr>
      <w:rPr>
        <w:rFonts w:ascii="Courier New" w:hAnsi="Courier New" w:cs="Courier New" w:hint="default"/>
      </w:rPr>
    </w:lvl>
    <w:lvl w:ilvl="8" w:tplc="04130005" w:tentative="1">
      <w:start w:val="1"/>
      <w:numFmt w:val="bullet"/>
      <w:lvlText w:val=""/>
      <w:lvlJc w:val="left"/>
      <w:pPr>
        <w:ind w:left="8105"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7"/>
  </w:num>
  <w:num w:numId="13">
    <w:abstractNumId w:val="10"/>
  </w:num>
  <w:num w:numId="14">
    <w:abstractNumId w:val="25"/>
  </w:num>
  <w:num w:numId="15">
    <w:abstractNumId w:val="14"/>
  </w:num>
  <w:num w:numId="16">
    <w:abstractNumId w:val="11"/>
  </w:num>
  <w:num w:numId="17">
    <w:abstractNumId w:val="22"/>
  </w:num>
  <w:num w:numId="18">
    <w:abstractNumId w:val="32"/>
  </w:num>
  <w:num w:numId="19">
    <w:abstractNumId w:val="26"/>
  </w:num>
  <w:num w:numId="20">
    <w:abstractNumId w:val="12"/>
  </w:num>
  <w:num w:numId="21">
    <w:abstractNumId w:val="15"/>
  </w:num>
  <w:num w:numId="22">
    <w:abstractNumId w:val="24"/>
  </w:num>
  <w:num w:numId="23">
    <w:abstractNumId w:val="13"/>
  </w:num>
  <w:num w:numId="24">
    <w:abstractNumId w:val="23"/>
  </w:num>
  <w:num w:numId="25">
    <w:abstractNumId w:val="18"/>
  </w:num>
  <w:num w:numId="26">
    <w:abstractNumId w:val="20"/>
  </w:num>
  <w:num w:numId="27">
    <w:abstractNumId w:val="27"/>
  </w:num>
  <w:num w:numId="28">
    <w:abstractNumId w:val="31"/>
  </w:num>
  <w:num w:numId="29">
    <w:abstractNumId w:val="16"/>
  </w:num>
  <w:num w:numId="30">
    <w:abstractNumId w:val="21"/>
  </w:num>
  <w:num w:numId="31">
    <w:abstractNumId w:val="30"/>
  </w:num>
  <w:num w:numId="32">
    <w:abstractNumId w:val="29"/>
  </w:num>
  <w:num w:numId="33">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81921"/>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D51"/>
    <w:rsid w:val="00004AD5"/>
    <w:rsid w:val="000113DE"/>
    <w:rsid w:val="0001501B"/>
    <w:rsid w:val="000229B5"/>
    <w:rsid w:val="00034A36"/>
    <w:rsid w:val="00037F90"/>
    <w:rsid w:val="00046B1F"/>
    <w:rsid w:val="00046BE6"/>
    <w:rsid w:val="000509A7"/>
    <w:rsid w:val="00050F6B"/>
    <w:rsid w:val="0005583C"/>
    <w:rsid w:val="00057E97"/>
    <w:rsid w:val="00072C8C"/>
    <w:rsid w:val="000733B5"/>
    <w:rsid w:val="00080491"/>
    <w:rsid w:val="00081202"/>
    <w:rsid w:val="0008179C"/>
    <w:rsid w:val="00081815"/>
    <w:rsid w:val="00091625"/>
    <w:rsid w:val="000931C0"/>
    <w:rsid w:val="000B0595"/>
    <w:rsid w:val="000B1333"/>
    <w:rsid w:val="000B175B"/>
    <w:rsid w:val="000B3A0F"/>
    <w:rsid w:val="000B4EF7"/>
    <w:rsid w:val="000C2C03"/>
    <w:rsid w:val="000C2D2E"/>
    <w:rsid w:val="000C4D51"/>
    <w:rsid w:val="000D230B"/>
    <w:rsid w:val="000E0415"/>
    <w:rsid w:val="001103AA"/>
    <w:rsid w:val="0011666B"/>
    <w:rsid w:val="001208E2"/>
    <w:rsid w:val="00126112"/>
    <w:rsid w:val="00155068"/>
    <w:rsid w:val="00165F3A"/>
    <w:rsid w:val="0017587F"/>
    <w:rsid w:val="001A1DCA"/>
    <w:rsid w:val="001B13A5"/>
    <w:rsid w:val="001B30C3"/>
    <w:rsid w:val="001B4B04"/>
    <w:rsid w:val="001C6663"/>
    <w:rsid w:val="001C7895"/>
    <w:rsid w:val="001D0C8C"/>
    <w:rsid w:val="001D1419"/>
    <w:rsid w:val="001D26DF"/>
    <w:rsid w:val="001D3A03"/>
    <w:rsid w:val="001D7F46"/>
    <w:rsid w:val="001E0B9E"/>
    <w:rsid w:val="001E7B67"/>
    <w:rsid w:val="001F7435"/>
    <w:rsid w:val="00202DA8"/>
    <w:rsid w:val="0021157B"/>
    <w:rsid w:val="00211E0B"/>
    <w:rsid w:val="00214D4D"/>
    <w:rsid w:val="002564BC"/>
    <w:rsid w:val="00260F3E"/>
    <w:rsid w:val="00267F5F"/>
    <w:rsid w:val="00277C12"/>
    <w:rsid w:val="00286B4D"/>
    <w:rsid w:val="002A5964"/>
    <w:rsid w:val="002A603B"/>
    <w:rsid w:val="002C134A"/>
    <w:rsid w:val="002D2DC1"/>
    <w:rsid w:val="002D4643"/>
    <w:rsid w:val="002D4B6C"/>
    <w:rsid w:val="002F175C"/>
    <w:rsid w:val="00300853"/>
    <w:rsid w:val="00302B8D"/>
    <w:rsid w:val="00302E18"/>
    <w:rsid w:val="00307FAA"/>
    <w:rsid w:val="00312506"/>
    <w:rsid w:val="003229D8"/>
    <w:rsid w:val="00352709"/>
    <w:rsid w:val="00371178"/>
    <w:rsid w:val="00371194"/>
    <w:rsid w:val="00381475"/>
    <w:rsid w:val="003A6810"/>
    <w:rsid w:val="003C2CC4"/>
    <w:rsid w:val="003D2BA6"/>
    <w:rsid w:val="003D4B23"/>
    <w:rsid w:val="004059B4"/>
    <w:rsid w:val="00410C89"/>
    <w:rsid w:val="00422E03"/>
    <w:rsid w:val="00426B9B"/>
    <w:rsid w:val="0043040E"/>
    <w:rsid w:val="00430EFE"/>
    <w:rsid w:val="004325CB"/>
    <w:rsid w:val="00441896"/>
    <w:rsid w:val="00442A83"/>
    <w:rsid w:val="00443AB5"/>
    <w:rsid w:val="0045495B"/>
    <w:rsid w:val="00463F73"/>
    <w:rsid w:val="0048397A"/>
    <w:rsid w:val="00495D15"/>
    <w:rsid w:val="004A12F2"/>
    <w:rsid w:val="004C2461"/>
    <w:rsid w:val="004C7462"/>
    <w:rsid w:val="004D4E04"/>
    <w:rsid w:val="004D5426"/>
    <w:rsid w:val="004E0C05"/>
    <w:rsid w:val="004E77B2"/>
    <w:rsid w:val="004F7CA5"/>
    <w:rsid w:val="00503DEB"/>
    <w:rsid w:val="00504B2D"/>
    <w:rsid w:val="00511A9B"/>
    <w:rsid w:val="0052136D"/>
    <w:rsid w:val="00522B58"/>
    <w:rsid w:val="0052775E"/>
    <w:rsid w:val="00531AFA"/>
    <w:rsid w:val="00535C90"/>
    <w:rsid w:val="005420F2"/>
    <w:rsid w:val="00543785"/>
    <w:rsid w:val="00545927"/>
    <w:rsid w:val="00546993"/>
    <w:rsid w:val="00546AD4"/>
    <w:rsid w:val="005628B6"/>
    <w:rsid w:val="00597EDC"/>
    <w:rsid w:val="005A575C"/>
    <w:rsid w:val="005B3DB3"/>
    <w:rsid w:val="005B4E13"/>
    <w:rsid w:val="005E6A77"/>
    <w:rsid w:val="005F7B75"/>
    <w:rsid w:val="006001EE"/>
    <w:rsid w:val="00605042"/>
    <w:rsid w:val="00605A9A"/>
    <w:rsid w:val="00611135"/>
    <w:rsid w:val="00611FC4"/>
    <w:rsid w:val="006176FB"/>
    <w:rsid w:val="00640B26"/>
    <w:rsid w:val="00652D0A"/>
    <w:rsid w:val="00656B98"/>
    <w:rsid w:val="006623D5"/>
    <w:rsid w:val="00662BB6"/>
    <w:rsid w:val="00667F8F"/>
    <w:rsid w:val="00684C21"/>
    <w:rsid w:val="0069232B"/>
    <w:rsid w:val="006A2530"/>
    <w:rsid w:val="006B7864"/>
    <w:rsid w:val="006C3589"/>
    <w:rsid w:val="006D1CA9"/>
    <w:rsid w:val="006D37AF"/>
    <w:rsid w:val="006D51D0"/>
    <w:rsid w:val="006E5117"/>
    <w:rsid w:val="006E564B"/>
    <w:rsid w:val="006E7191"/>
    <w:rsid w:val="00703577"/>
    <w:rsid w:val="00705894"/>
    <w:rsid w:val="0072632A"/>
    <w:rsid w:val="00731FF0"/>
    <w:rsid w:val="007327D5"/>
    <w:rsid w:val="00744E2A"/>
    <w:rsid w:val="0074794F"/>
    <w:rsid w:val="007611CF"/>
    <w:rsid w:val="007629C8"/>
    <w:rsid w:val="00764081"/>
    <w:rsid w:val="007674FA"/>
    <w:rsid w:val="0077047D"/>
    <w:rsid w:val="00790B90"/>
    <w:rsid w:val="007B6BA5"/>
    <w:rsid w:val="007C3390"/>
    <w:rsid w:val="007C4F4B"/>
    <w:rsid w:val="007D46D5"/>
    <w:rsid w:val="007E01E9"/>
    <w:rsid w:val="007E63F3"/>
    <w:rsid w:val="007F2A80"/>
    <w:rsid w:val="007F6611"/>
    <w:rsid w:val="007F7106"/>
    <w:rsid w:val="00811920"/>
    <w:rsid w:val="00815AD0"/>
    <w:rsid w:val="008242D7"/>
    <w:rsid w:val="008257B1"/>
    <w:rsid w:val="00843767"/>
    <w:rsid w:val="008521A5"/>
    <w:rsid w:val="00860D0C"/>
    <w:rsid w:val="008679D9"/>
    <w:rsid w:val="00871389"/>
    <w:rsid w:val="00874CB6"/>
    <w:rsid w:val="00881C0C"/>
    <w:rsid w:val="00883999"/>
    <w:rsid w:val="008878DE"/>
    <w:rsid w:val="008979B1"/>
    <w:rsid w:val="008A2607"/>
    <w:rsid w:val="008A6B25"/>
    <w:rsid w:val="008A6C4F"/>
    <w:rsid w:val="008B2335"/>
    <w:rsid w:val="008B717B"/>
    <w:rsid w:val="008D6256"/>
    <w:rsid w:val="008E0678"/>
    <w:rsid w:val="008E7526"/>
    <w:rsid w:val="00901B81"/>
    <w:rsid w:val="0092212D"/>
    <w:rsid w:val="009223CA"/>
    <w:rsid w:val="00940F93"/>
    <w:rsid w:val="0094558F"/>
    <w:rsid w:val="0094766B"/>
    <w:rsid w:val="00961690"/>
    <w:rsid w:val="0096425E"/>
    <w:rsid w:val="009760F3"/>
    <w:rsid w:val="0098759D"/>
    <w:rsid w:val="009950AD"/>
    <w:rsid w:val="009A0E8D"/>
    <w:rsid w:val="009B1518"/>
    <w:rsid w:val="009B192C"/>
    <w:rsid w:val="009B26E7"/>
    <w:rsid w:val="009B6669"/>
    <w:rsid w:val="009C3EED"/>
    <w:rsid w:val="009C454F"/>
    <w:rsid w:val="009D2A5B"/>
    <w:rsid w:val="00A00A3F"/>
    <w:rsid w:val="00A01489"/>
    <w:rsid w:val="00A2358C"/>
    <w:rsid w:val="00A3009E"/>
    <w:rsid w:val="00A3026E"/>
    <w:rsid w:val="00A338F1"/>
    <w:rsid w:val="00A43545"/>
    <w:rsid w:val="00A72F22"/>
    <w:rsid w:val="00A7360F"/>
    <w:rsid w:val="00A748A6"/>
    <w:rsid w:val="00A769F4"/>
    <w:rsid w:val="00A776B4"/>
    <w:rsid w:val="00A81407"/>
    <w:rsid w:val="00A8207E"/>
    <w:rsid w:val="00A9093D"/>
    <w:rsid w:val="00A9142D"/>
    <w:rsid w:val="00A94361"/>
    <w:rsid w:val="00AA293C"/>
    <w:rsid w:val="00AB25C8"/>
    <w:rsid w:val="00AB3A01"/>
    <w:rsid w:val="00AD13BA"/>
    <w:rsid w:val="00AE08DA"/>
    <w:rsid w:val="00AE1E36"/>
    <w:rsid w:val="00AE6935"/>
    <w:rsid w:val="00AF3993"/>
    <w:rsid w:val="00B012FA"/>
    <w:rsid w:val="00B11BB4"/>
    <w:rsid w:val="00B175D8"/>
    <w:rsid w:val="00B22BC2"/>
    <w:rsid w:val="00B30179"/>
    <w:rsid w:val="00B3363A"/>
    <w:rsid w:val="00B36283"/>
    <w:rsid w:val="00B421C1"/>
    <w:rsid w:val="00B42658"/>
    <w:rsid w:val="00B55C71"/>
    <w:rsid w:val="00B56E4A"/>
    <w:rsid w:val="00B56E9C"/>
    <w:rsid w:val="00B61320"/>
    <w:rsid w:val="00B64B1F"/>
    <w:rsid w:val="00B6553F"/>
    <w:rsid w:val="00B70F1E"/>
    <w:rsid w:val="00B734ED"/>
    <w:rsid w:val="00B77D05"/>
    <w:rsid w:val="00B81206"/>
    <w:rsid w:val="00B81E12"/>
    <w:rsid w:val="00B857E8"/>
    <w:rsid w:val="00BA1092"/>
    <w:rsid w:val="00BB7CD1"/>
    <w:rsid w:val="00BC3FA0"/>
    <w:rsid w:val="00BC74E9"/>
    <w:rsid w:val="00BD4443"/>
    <w:rsid w:val="00BF68A8"/>
    <w:rsid w:val="00BF7D1D"/>
    <w:rsid w:val="00C10FE6"/>
    <w:rsid w:val="00C11A03"/>
    <w:rsid w:val="00C22C0C"/>
    <w:rsid w:val="00C22F9A"/>
    <w:rsid w:val="00C255AF"/>
    <w:rsid w:val="00C30C61"/>
    <w:rsid w:val="00C3172E"/>
    <w:rsid w:val="00C35502"/>
    <w:rsid w:val="00C40B11"/>
    <w:rsid w:val="00C4527F"/>
    <w:rsid w:val="00C463DD"/>
    <w:rsid w:val="00C4724C"/>
    <w:rsid w:val="00C517D2"/>
    <w:rsid w:val="00C563BF"/>
    <w:rsid w:val="00C629A0"/>
    <w:rsid w:val="00C64629"/>
    <w:rsid w:val="00C745C3"/>
    <w:rsid w:val="00C76F8B"/>
    <w:rsid w:val="00C81EB8"/>
    <w:rsid w:val="00C92461"/>
    <w:rsid w:val="00CB3E03"/>
    <w:rsid w:val="00CE4A8F"/>
    <w:rsid w:val="00CF0197"/>
    <w:rsid w:val="00CF1BAD"/>
    <w:rsid w:val="00D2031B"/>
    <w:rsid w:val="00D25FE2"/>
    <w:rsid w:val="00D43252"/>
    <w:rsid w:val="00D47EEA"/>
    <w:rsid w:val="00D550D4"/>
    <w:rsid w:val="00D55506"/>
    <w:rsid w:val="00D773DF"/>
    <w:rsid w:val="00D872AC"/>
    <w:rsid w:val="00D9255F"/>
    <w:rsid w:val="00D95303"/>
    <w:rsid w:val="00D978C6"/>
    <w:rsid w:val="00DA3C1C"/>
    <w:rsid w:val="00DD29BD"/>
    <w:rsid w:val="00DE1D53"/>
    <w:rsid w:val="00DE4750"/>
    <w:rsid w:val="00DF0F1A"/>
    <w:rsid w:val="00E04424"/>
    <w:rsid w:val="00E046DF"/>
    <w:rsid w:val="00E15557"/>
    <w:rsid w:val="00E240D2"/>
    <w:rsid w:val="00E265BE"/>
    <w:rsid w:val="00E27346"/>
    <w:rsid w:val="00E71610"/>
    <w:rsid w:val="00E71BC8"/>
    <w:rsid w:val="00E72409"/>
    <w:rsid w:val="00E7260F"/>
    <w:rsid w:val="00E73F5D"/>
    <w:rsid w:val="00E74859"/>
    <w:rsid w:val="00E77E4E"/>
    <w:rsid w:val="00E8771C"/>
    <w:rsid w:val="00E96630"/>
    <w:rsid w:val="00EA3763"/>
    <w:rsid w:val="00EC106A"/>
    <w:rsid w:val="00EC1E8A"/>
    <w:rsid w:val="00ED1389"/>
    <w:rsid w:val="00ED7A2A"/>
    <w:rsid w:val="00EE1FD0"/>
    <w:rsid w:val="00EE6B3A"/>
    <w:rsid w:val="00EF1D7F"/>
    <w:rsid w:val="00F31E5F"/>
    <w:rsid w:val="00F32BB7"/>
    <w:rsid w:val="00F46AC6"/>
    <w:rsid w:val="00F47EDC"/>
    <w:rsid w:val="00F6100A"/>
    <w:rsid w:val="00F63C9D"/>
    <w:rsid w:val="00F64DBF"/>
    <w:rsid w:val="00F66565"/>
    <w:rsid w:val="00F75A16"/>
    <w:rsid w:val="00F77976"/>
    <w:rsid w:val="00F852F4"/>
    <w:rsid w:val="00F913E2"/>
    <w:rsid w:val="00F92A22"/>
    <w:rsid w:val="00F93781"/>
    <w:rsid w:val="00FA16BB"/>
    <w:rsid w:val="00FA6DA6"/>
    <w:rsid w:val="00FB06F6"/>
    <w:rsid w:val="00FB3838"/>
    <w:rsid w:val="00FB613B"/>
    <w:rsid w:val="00FC68B7"/>
    <w:rsid w:val="00FE106A"/>
    <w:rsid w:val="00FF145D"/>
    <w:rsid w:val="00FF4220"/>
    <w:rsid w:val="00FF7D02"/>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0934FD8"/>
  <w15:docId w15:val="{00A7D37C-5B34-4F49-959C-35FDA6DCB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56E9C"/>
    <w:pPr>
      <w:suppressAutoHyphens/>
      <w:spacing w:line="240" w:lineRule="atLeast"/>
    </w:pPr>
    <w:rPr>
      <w:lang w:eastAsia="en-US"/>
    </w:rPr>
  </w:style>
  <w:style w:type="paragraph" w:styleId="Heading1">
    <w:name w:val="heading 1"/>
    <w:aliases w:val="Table_G"/>
    <w:basedOn w:val="SingleTxtG"/>
    <w:next w:val="SingleTxtG"/>
    <w:qFormat/>
    <w:rsid w:val="00ED7A2A"/>
    <w:pPr>
      <w:spacing w:after="0" w:line="240" w:lineRule="auto"/>
      <w:ind w:right="0"/>
      <w:jc w:val="left"/>
      <w:outlineLvl w:val="0"/>
    </w:pPr>
  </w:style>
  <w:style w:type="paragraph" w:styleId="Heading2">
    <w:name w:val="heading 2"/>
    <w:basedOn w:val="Normal"/>
    <w:next w:val="Normal"/>
    <w:link w:val="Heading2Char"/>
    <w:qFormat/>
    <w:pPr>
      <w:spacing w:line="240" w:lineRule="auto"/>
      <w:outlineLvl w:val="1"/>
    </w:pPr>
  </w:style>
  <w:style w:type="paragraph" w:styleId="Heading3">
    <w:name w:val="heading 3"/>
    <w:basedOn w:val="Normal"/>
    <w:next w:val="Normal"/>
    <w:qFormat/>
    <w:pPr>
      <w:spacing w:line="240" w:lineRule="auto"/>
      <w:outlineLvl w:val="2"/>
    </w:pPr>
  </w:style>
  <w:style w:type="paragraph" w:styleId="Heading4">
    <w:name w:val="heading 4"/>
    <w:basedOn w:val="Normal"/>
    <w:next w:val="Normal"/>
    <w:qFormat/>
    <w:pPr>
      <w:spacing w:line="240" w:lineRule="auto"/>
      <w:outlineLvl w:val="3"/>
    </w:pPr>
  </w:style>
  <w:style w:type="paragraph" w:styleId="Heading5">
    <w:name w:val="heading 5"/>
    <w:basedOn w:val="Normal"/>
    <w:next w:val="Normal"/>
    <w:qFormat/>
    <w:pPr>
      <w:spacing w:line="240" w:lineRule="auto"/>
      <w:outlineLvl w:val="4"/>
    </w:pPr>
  </w:style>
  <w:style w:type="paragraph" w:styleId="Heading6">
    <w:name w:val="heading 6"/>
    <w:basedOn w:val="Normal"/>
    <w:next w:val="Normal"/>
    <w:qFormat/>
    <w:pPr>
      <w:spacing w:line="240" w:lineRule="auto"/>
      <w:outlineLvl w:val="5"/>
    </w:pPr>
  </w:style>
  <w:style w:type="paragraph" w:styleId="Heading7">
    <w:name w:val="heading 7"/>
    <w:basedOn w:val="Normal"/>
    <w:next w:val="Normal"/>
    <w:qFormat/>
    <w:pPr>
      <w:spacing w:line="240" w:lineRule="auto"/>
      <w:outlineLvl w:val="6"/>
    </w:pPr>
  </w:style>
  <w:style w:type="paragraph" w:styleId="Heading8">
    <w:name w:val="heading 8"/>
    <w:basedOn w:val="Normal"/>
    <w:next w:val="Normal"/>
    <w:qFormat/>
    <w:pPr>
      <w:spacing w:line="240" w:lineRule="auto"/>
      <w:outlineLvl w:val="7"/>
    </w:pPr>
  </w:style>
  <w:style w:type="paragraph" w:styleId="Heading9">
    <w:name w:val="heading 9"/>
    <w:basedOn w:val="Normal"/>
    <w:next w:val="Normal"/>
    <w:qFormat/>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pPr>
      <w:keepNext/>
      <w:keepLines/>
      <w:tabs>
        <w:tab w:val="right" w:pos="851"/>
      </w:tabs>
      <w:spacing w:before="360" w:after="240" w:line="300" w:lineRule="exact"/>
      <w:ind w:left="1134" w:right="1134" w:hanging="1134"/>
    </w:pPr>
    <w:rPr>
      <w:b/>
      <w:sz w:val="28"/>
    </w:rPr>
  </w:style>
  <w:style w:type="paragraph" w:customStyle="1" w:styleId="ParaNoG">
    <w:name w:val="_ParaNo._G"/>
    <w:basedOn w:val="SingleTxtG"/>
    <w:pPr>
      <w:numPr>
        <w:numId w:val="13"/>
      </w:numPr>
      <w:tabs>
        <w:tab w:val="clear" w:pos="1494"/>
        <w:tab w:val="num" w:pos="360"/>
      </w:tabs>
    </w:pPr>
  </w:style>
  <w:style w:type="paragraph" w:customStyle="1" w:styleId="SingleTxtG">
    <w:name w:val="_ Single Txt_G"/>
    <w:basedOn w:val="Normal"/>
    <w:link w:val="SingleTxtGChar"/>
    <w:qFormat/>
    <w:pPr>
      <w:spacing w:after="120"/>
      <w:ind w:left="1134" w:right="1134"/>
      <w:jc w:val="both"/>
    </w:pPr>
  </w:style>
  <w:style w:type="character" w:styleId="PageNumber">
    <w:name w:val="page number"/>
    <w:aliases w:val="7_G"/>
    <w:rsid w:val="008979B1"/>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character" w:styleId="EndnoteReference">
    <w:name w:val="endnote reference"/>
    <w:aliases w:val="1_G"/>
    <w:rsid w:val="007B6BA5"/>
    <w:rPr>
      <w:rFonts w:ascii="Times New Roman" w:hAnsi="Times New Roman"/>
      <w:sz w:val="18"/>
      <w:vertAlign w:val="superscript"/>
    </w:rPr>
  </w:style>
  <w:style w:type="character" w:styleId="FootnoteReference">
    <w:name w:val="footnote reference"/>
    <w:aliases w:val="4_G,Footnote Reference/,4_GR"/>
    <w:qFormat/>
    <w:rsid w:val="007B6BA5"/>
    <w:rPr>
      <w:rFonts w:ascii="Times New Roman" w:hAnsi="Times New Roman"/>
      <w:sz w:val="18"/>
      <w:vertAlign w:val="superscript"/>
    </w:rPr>
  </w:style>
  <w:style w:type="paragraph" w:styleId="FootnoteText">
    <w:name w:val="footnote text"/>
    <w:aliases w:val="5_G"/>
    <w:basedOn w:val="Normal"/>
    <w:link w:val="FootnoteTextChar"/>
    <w:qFormat/>
    <w:rsid w:val="0052775E"/>
    <w:pPr>
      <w:tabs>
        <w:tab w:val="right" w:pos="1021"/>
      </w:tabs>
      <w:spacing w:line="220" w:lineRule="exact"/>
      <w:ind w:left="1134" w:right="1134" w:hanging="1134"/>
    </w:pPr>
    <w:rPr>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rsid w:val="0072632A"/>
    <w:pPr>
      <w:numPr>
        <w:numId w:val="11"/>
      </w:numPr>
      <w:spacing w:after="120"/>
      <w:ind w:right="1134"/>
      <w:jc w:val="both"/>
    </w:pPr>
  </w:style>
  <w:style w:type="paragraph" w:styleId="EndnoteText">
    <w:name w:val="endnote text"/>
    <w:aliases w:val="2_G"/>
    <w:basedOn w:val="FootnoteText"/>
    <w:rsid w:val="007B6BA5"/>
  </w:style>
  <w:style w:type="character" w:styleId="CommentReference">
    <w:name w:val="annotation reference"/>
    <w:uiPriority w:val="99"/>
    <w:semiHidden/>
    <w:rPr>
      <w:sz w:val="6"/>
    </w:rPr>
  </w:style>
  <w:style w:type="paragraph" w:styleId="CommentText">
    <w:name w:val="annotation text"/>
    <w:basedOn w:val="Normal"/>
    <w:link w:val="CommentTextChar"/>
    <w:uiPriority w:val="99"/>
    <w:semiHidden/>
  </w:style>
  <w:style w:type="character" w:styleId="LineNumber">
    <w:name w:val="line number"/>
    <w:semiHidden/>
    <w:rPr>
      <w:sz w:val="14"/>
    </w:rPr>
  </w:style>
  <w:style w:type="paragraph" w:customStyle="1" w:styleId="Bullet2G">
    <w:name w:val="_Bullet 2_G"/>
    <w:basedOn w:val="Normal"/>
    <w:rsid w:val="003C2CC4"/>
    <w:pPr>
      <w:numPr>
        <w:numId w:val="12"/>
      </w:numPr>
      <w:spacing w:after="120"/>
      <w:ind w:right="1134"/>
      <w:jc w:val="both"/>
    </w:pPr>
  </w:style>
  <w:style w:type="paragraph" w:customStyle="1" w:styleId="H1G">
    <w:name w:val="_ H_1_G"/>
    <w:basedOn w:val="Normal"/>
    <w:next w:val="Normal"/>
    <w:link w:val="H1GChar"/>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4"/>
      </w:numPr>
    </w:pPr>
  </w:style>
  <w:style w:type="numbering" w:styleId="1ai">
    <w:name w:val="Outline List 1"/>
    <w:basedOn w:val="NoList"/>
    <w:semiHidden/>
    <w:rsid w:val="008A6C4F"/>
    <w:pPr>
      <w:numPr>
        <w:numId w:val="15"/>
      </w:numPr>
    </w:pPr>
  </w:style>
  <w:style w:type="numbering" w:styleId="ArticleSection">
    <w:name w:val="Outline List 3"/>
    <w:basedOn w:val="NoList"/>
    <w:semiHidden/>
    <w:rsid w:val="008A6C4F"/>
    <w:pPr>
      <w:numPr>
        <w:numId w:val="16"/>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8A6C4F"/>
    <w:rPr>
      <w:color w:val="800080"/>
      <w:u w:val="singl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8A6C4F"/>
    <w:rPr>
      <w:color w:val="0000FF"/>
      <w:u w:val="singl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8878DE"/>
    <w:pPr>
      <w:spacing w:line="240" w:lineRule="auto"/>
    </w:pPr>
    <w:rPr>
      <w:sz w:val="16"/>
    </w:rPr>
  </w:style>
  <w:style w:type="paragraph" w:styleId="Header">
    <w:name w:val="header"/>
    <w:aliases w:val="6_G"/>
    <w:basedOn w:val="Normal"/>
    <w:link w:val="HeaderChar"/>
    <w:uiPriority w:val="99"/>
    <w:rsid w:val="00050F6B"/>
    <w:pPr>
      <w:pBdr>
        <w:bottom w:val="single" w:sz="4" w:space="4" w:color="auto"/>
      </w:pBdr>
      <w:spacing w:line="240" w:lineRule="auto"/>
    </w:pPr>
    <w:rPr>
      <w:b/>
      <w:sz w:val="18"/>
    </w:rPr>
  </w:style>
  <w:style w:type="character" w:customStyle="1" w:styleId="H1GChar">
    <w:name w:val="_ H_1_G Char"/>
    <w:link w:val="H1G"/>
    <w:rsid w:val="001F7435"/>
    <w:rPr>
      <w:b/>
      <w:sz w:val="24"/>
      <w:lang w:val="en-GB" w:eastAsia="en-US" w:bidi="ar-SA"/>
    </w:rPr>
  </w:style>
  <w:style w:type="paragraph" w:styleId="BalloonText">
    <w:name w:val="Balloon Text"/>
    <w:basedOn w:val="Normal"/>
    <w:link w:val="BalloonTextChar"/>
    <w:rsid w:val="00D550D4"/>
    <w:pPr>
      <w:spacing w:line="240" w:lineRule="auto"/>
    </w:pPr>
    <w:rPr>
      <w:rFonts w:ascii="Tahoma" w:hAnsi="Tahoma" w:cs="Tahoma"/>
      <w:sz w:val="16"/>
      <w:szCs w:val="16"/>
    </w:rPr>
  </w:style>
  <w:style w:type="character" w:customStyle="1" w:styleId="BalloonTextChar">
    <w:name w:val="Balloon Text Char"/>
    <w:link w:val="BalloonText"/>
    <w:rsid w:val="00D550D4"/>
    <w:rPr>
      <w:rFonts w:ascii="Tahoma" w:hAnsi="Tahoma" w:cs="Tahoma"/>
      <w:sz w:val="16"/>
      <w:szCs w:val="16"/>
      <w:lang w:eastAsia="en-US"/>
    </w:rPr>
  </w:style>
  <w:style w:type="character" w:customStyle="1" w:styleId="FootnoteTextChar">
    <w:name w:val="Footnote Text Char"/>
    <w:aliases w:val="5_G Char"/>
    <w:link w:val="FootnoteText"/>
    <w:rsid w:val="001D7F46"/>
    <w:rPr>
      <w:sz w:val="18"/>
      <w:lang w:eastAsia="en-US"/>
    </w:rPr>
  </w:style>
  <w:style w:type="character" w:customStyle="1" w:styleId="HChGChar">
    <w:name w:val="_ H _Ch_G Char"/>
    <w:link w:val="HChG"/>
    <w:rsid w:val="00B175D8"/>
    <w:rPr>
      <w:b/>
      <w:sz w:val="28"/>
      <w:lang w:eastAsia="en-US"/>
    </w:rPr>
  </w:style>
  <w:style w:type="character" w:customStyle="1" w:styleId="SingleTxtGChar">
    <w:name w:val="_ Single Txt_G Char"/>
    <w:link w:val="SingleTxtG"/>
    <w:rsid w:val="00B175D8"/>
    <w:rPr>
      <w:lang w:eastAsia="en-US"/>
    </w:rPr>
  </w:style>
  <w:style w:type="character" w:customStyle="1" w:styleId="HeaderChar">
    <w:name w:val="Header Char"/>
    <w:aliases w:val="6_G Char"/>
    <w:basedOn w:val="DefaultParagraphFont"/>
    <w:link w:val="Header"/>
    <w:uiPriority w:val="99"/>
    <w:rsid w:val="00B42658"/>
    <w:rPr>
      <w:b/>
      <w:sz w:val="18"/>
      <w:lang w:eastAsia="en-US"/>
    </w:rPr>
  </w:style>
  <w:style w:type="character" w:customStyle="1" w:styleId="NormalWebChar">
    <w:name w:val="Normal (Web) Char"/>
    <w:link w:val="NormalWeb"/>
    <w:rsid w:val="00FA6DA6"/>
    <w:rPr>
      <w:sz w:val="24"/>
      <w:szCs w:val="24"/>
      <w:lang w:eastAsia="en-US"/>
    </w:rPr>
  </w:style>
  <w:style w:type="paragraph" w:styleId="ListParagraph">
    <w:name w:val="List Paragraph"/>
    <w:basedOn w:val="Normal"/>
    <w:uiPriority w:val="34"/>
    <w:qFormat/>
    <w:rsid w:val="00AD13BA"/>
    <w:pPr>
      <w:suppressAutoHyphens w:val="0"/>
      <w:spacing w:after="200" w:line="276" w:lineRule="auto"/>
      <w:ind w:left="720"/>
      <w:contextualSpacing/>
    </w:pPr>
    <w:rPr>
      <w:rFonts w:ascii="Calibri" w:hAnsi="Calibri"/>
      <w:sz w:val="22"/>
      <w:szCs w:val="22"/>
      <w:lang w:val="nl-NL" w:eastAsia="zh-CN"/>
    </w:rPr>
  </w:style>
  <w:style w:type="character" w:customStyle="1" w:styleId="apple-converted-space">
    <w:name w:val="apple-converted-space"/>
    <w:basedOn w:val="DefaultParagraphFont"/>
    <w:rsid w:val="00AD13BA"/>
  </w:style>
  <w:style w:type="character" w:customStyle="1" w:styleId="CommentTextChar">
    <w:name w:val="Comment Text Char"/>
    <w:basedOn w:val="DefaultParagraphFont"/>
    <w:link w:val="CommentText"/>
    <w:uiPriority w:val="99"/>
    <w:semiHidden/>
    <w:rsid w:val="00DE4750"/>
    <w:rPr>
      <w:lang w:eastAsia="en-US"/>
    </w:rPr>
  </w:style>
  <w:style w:type="character" w:customStyle="1" w:styleId="Heading2Char">
    <w:name w:val="Heading 2 Char"/>
    <w:basedOn w:val="DefaultParagraphFont"/>
    <w:link w:val="Heading2"/>
    <w:rsid w:val="009950AD"/>
    <w:rPr>
      <w:lang w:eastAsia="en-US"/>
    </w:rPr>
  </w:style>
  <w:style w:type="paragraph" w:customStyle="1" w:styleId="Default">
    <w:name w:val="Default"/>
    <w:rsid w:val="006D1CA9"/>
    <w:pPr>
      <w:autoSpaceDE w:val="0"/>
      <w:autoSpaceDN w:val="0"/>
      <w:adjustRightInd w:val="0"/>
    </w:pPr>
    <w:rPr>
      <w:rFonts w:ascii="Arial" w:hAnsi="Arial" w:cs="Arial"/>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049828">
      <w:bodyDiv w:val="1"/>
      <w:marLeft w:val="0"/>
      <w:marRight w:val="0"/>
      <w:marTop w:val="0"/>
      <w:marBottom w:val="0"/>
      <w:divBdr>
        <w:top w:val="none" w:sz="0" w:space="0" w:color="auto"/>
        <w:left w:val="none" w:sz="0" w:space="0" w:color="auto"/>
        <w:bottom w:val="none" w:sz="0" w:space="0" w:color="auto"/>
        <w:right w:val="none" w:sz="0" w:space="0" w:color="auto"/>
      </w:divBdr>
    </w:div>
    <w:div w:id="295525461">
      <w:bodyDiv w:val="1"/>
      <w:marLeft w:val="0"/>
      <w:marRight w:val="0"/>
      <w:marTop w:val="0"/>
      <w:marBottom w:val="0"/>
      <w:divBdr>
        <w:top w:val="none" w:sz="0" w:space="0" w:color="auto"/>
        <w:left w:val="none" w:sz="0" w:space="0" w:color="auto"/>
        <w:bottom w:val="none" w:sz="0" w:space="0" w:color="auto"/>
        <w:right w:val="none" w:sz="0" w:space="0" w:color="auto"/>
      </w:divBdr>
    </w:div>
    <w:div w:id="353576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1.bin"/><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microsoft.com/office/2007/relationships/hdphoto" Target="media/hdphoto3.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C9603-E7A3-416C-9ACD-2DAA22AC8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6</Pages>
  <Words>1285</Words>
  <Characters>7325</Characters>
  <Application>Microsoft Office Word</Application>
  <DocSecurity>0</DocSecurity>
  <Lines>61</Lines>
  <Paragraphs>17</Paragraphs>
  <ScaleCrop>false</ScaleCrop>
  <HeadingPairs>
    <vt:vector size="6" baseType="variant">
      <vt:variant>
        <vt:lpstr>Title</vt:lpstr>
      </vt:variant>
      <vt:variant>
        <vt:i4>1</vt:i4>
      </vt:variant>
      <vt:variant>
        <vt:lpstr>Rubrik</vt:lpstr>
      </vt:variant>
      <vt:variant>
        <vt:i4>1</vt:i4>
      </vt:variant>
      <vt:variant>
        <vt:lpstr>Titre</vt:lpstr>
      </vt:variant>
      <vt:variant>
        <vt:i4>1</vt:i4>
      </vt:variant>
    </vt:vector>
  </HeadingPairs>
  <TitlesOfParts>
    <vt:vector size="3" baseType="lpstr">
      <vt:lpstr>1126259</vt:lpstr>
      <vt:lpstr>1126259</vt:lpstr>
      <vt:lpstr>1126259</vt:lpstr>
    </vt:vector>
  </TitlesOfParts>
  <Company>CSD</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1126259</dc:title>
  <dc:creator>BAC</dc:creator>
  <cp:keywords>ECE/TRANS/WP.15/AC.1/2012/8</cp:keywords>
  <dc:description>Final</dc:description>
  <cp:lastModifiedBy>Christine Barrio-Champeau</cp:lastModifiedBy>
  <cp:revision>7</cp:revision>
  <cp:lastPrinted>2017-12-21T07:37:00Z</cp:lastPrinted>
  <dcterms:created xsi:type="dcterms:W3CDTF">2018-06-25T09:23:00Z</dcterms:created>
  <dcterms:modified xsi:type="dcterms:W3CDTF">2018-06-25T14:49:00Z</dcterms:modified>
</cp:coreProperties>
</file>