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E266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E2665" w:rsidP="006E2665">
            <w:pPr>
              <w:jc w:val="right"/>
            </w:pPr>
            <w:r w:rsidRPr="006E2665">
              <w:rPr>
                <w:sz w:val="40"/>
              </w:rPr>
              <w:t>ECE</w:t>
            </w:r>
            <w:r>
              <w:t>/TRANS/WP.15/2018/5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E2665" w:rsidP="00C97039">
            <w:pPr>
              <w:spacing w:before="240"/>
            </w:pPr>
            <w:proofErr w:type="spellStart"/>
            <w:r>
              <w:t>Distr</w:t>
            </w:r>
            <w:proofErr w:type="spellEnd"/>
            <w:r>
              <w:t xml:space="preserve">. </w:t>
            </w:r>
            <w:proofErr w:type="gramStart"/>
            <w:r>
              <w:t>générale</w:t>
            </w:r>
            <w:proofErr w:type="gramEnd"/>
          </w:p>
          <w:p w:rsidR="006E2665" w:rsidRDefault="006E2665" w:rsidP="006E2665">
            <w:pPr>
              <w:spacing w:line="240" w:lineRule="exact"/>
            </w:pPr>
            <w:r>
              <w:t>17 août 2018</w:t>
            </w:r>
          </w:p>
          <w:p w:rsidR="006E2665" w:rsidRDefault="006E2665" w:rsidP="006E2665">
            <w:pPr>
              <w:spacing w:line="240" w:lineRule="exact"/>
            </w:pPr>
            <w:r>
              <w:t>Français</w:t>
            </w:r>
          </w:p>
          <w:p w:rsidR="006E2665" w:rsidRPr="00DB58B5" w:rsidRDefault="006E2665" w:rsidP="006E266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E2665" w:rsidRPr="00A662E3" w:rsidRDefault="006E2665" w:rsidP="006E2665">
      <w:pPr>
        <w:spacing w:before="120"/>
        <w:rPr>
          <w:b/>
          <w:bCs/>
          <w:sz w:val="24"/>
          <w:szCs w:val="24"/>
          <w:lang w:val="fr-FR"/>
        </w:rPr>
      </w:pPr>
      <w:r w:rsidRPr="00A662E3">
        <w:rPr>
          <w:b/>
          <w:bCs/>
          <w:sz w:val="24"/>
          <w:szCs w:val="24"/>
          <w:lang w:val="fr-FR"/>
        </w:rPr>
        <w:t xml:space="preserve">Groupe de travail des transports </w:t>
      </w:r>
      <w:r>
        <w:rPr>
          <w:b/>
          <w:bCs/>
          <w:sz w:val="24"/>
          <w:szCs w:val="24"/>
          <w:lang w:val="fr-FR"/>
        </w:rPr>
        <w:br/>
      </w:r>
      <w:r w:rsidRPr="00A662E3">
        <w:rPr>
          <w:b/>
          <w:bCs/>
          <w:sz w:val="24"/>
          <w:szCs w:val="24"/>
          <w:lang w:val="fr-FR"/>
        </w:rPr>
        <w:t>de marchandises dangereuses</w:t>
      </w:r>
    </w:p>
    <w:p w:rsidR="006E2665" w:rsidRPr="00827F10" w:rsidRDefault="006E2665" w:rsidP="006E2665">
      <w:pPr>
        <w:spacing w:before="120"/>
        <w:rPr>
          <w:rFonts w:eastAsia="SimSun"/>
          <w:b/>
          <w:lang w:val="fr-FR"/>
        </w:rPr>
      </w:pPr>
      <w:r>
        <w:rPr>
          <w:b/>
          <w:bCs/>
          <w:lang w:val="fr-FR"/>
        </w:rPr>
        <w:t>105</w:t>
      </w:r>
      <w:r>
        <w:rPr>
          <w:b/>
          <w:bCs/>
          <w:vertAlign w:val="superscript"/>
          <w:lang w:val="fr-FR"/>
        </w:rPr>
        <w:t>e</w:t>
      </w:r>
      <w:r>
        <w:rPr>
          <w:b/>
          <w:bCs/>
          <w:lang w:val="fr-FR"/>
        </w:rPr>
        <w:t xml:space="preserve"> session</w:t>
      </w:r>
      <w:r>
        <w:rPr>
          <w:lang w:val="fr-FR"/>
        </w:rPr>
        <w:t xml:space="preserve"> </w:t>
      </w:r>
    </w:p>
    <w:p w:rsidR="006E2665" w:rsidRPr="00827F10" w:rsidRDefault="006E2665" w:rsidP="006E2665">
      <w:pPr>
        <w:rPr>
          <w:rFonts w:eastAsia="SimSun"/>
          <w:lang w:val="fr-FR"/>
        </w:rPr>
      </w:pPr>
      <w:r>
        <w:rPr>
          <w:lang w:val="fr-FR"/>
        </w:rPr>
        <w:t xml:space="preserve">Genève, 6-9 novembre 2018 </w:t>
      </w:r>
    </w:p>
    <w:p w:rsidR="006E2665" w:rsidRPr="00827F10" w:rsidRDefault="006E2665" w:rsidP="006E2665">
      <w:pPr>
        <w:rPr>
          <w:lang w:val="fr-FR"/>
        </w:rPr>
      </w:pPr>
      <w:r>
        <w:rPr>
          <w:lang w:val="fr-FR"/>
        </w:rPr>
        <w:t>Point 5 b) de l’ordre du jour provisoire</w:t>
      </w:r>
    </w:p>
    <w:p w:rsidR="006E2665" w:rsidRDefault="006E2665" w:rsidP="006E2665">
      <w:pPr>
        <w:rPr>
          <w:b/>
          <w:bCs/>
          <w:lang w:val="fr-FR"/>
        </w:rPr>
      </w:pPr>
      <w:r>
        <w:rPr>
          <w:b/>
          <w:bCs/>
          <w:lang w:val="fr-FR"/>
        </w:rPr>
        <w:t>Propositions d’amendement aux annexes A et B de l’ADR :</w:t>
      </w:r>
      <w:r>
        <w:rPr>
          <w:b/>
          <w:bCs/>
          <w:lang w:val="fr-FR"/>
        </w:rPr>
        <w:br/>
        <w:t>Propositions diverses</w:t>
      </w:r>
    </w:p>
    <w:p w:rsidR="006E2665" w:rsidRPr="00827F10" w:rsidRDefault="006E2665" w:rsidP="006E2665">
      <w:pPr>
        <w:pStyle w:val="HChG"/>
        <w:rPr>
          <w:sz w:val="20"/>
          <w:lang w:val="fr-FR"/>
        </w:rPr>
      </w:pPr>
      <w:r>
        <w:rPr>
          <w:lang w:val="fr-FR"/>
        </w:rPr>
        <w:tab/>
      </w:r>
      <w:r>
        <w:rPr>
          <w:lang w:val="fr-FR"/>
        </w:rPr>
        <w:tab/>
      </w:r>
      <w:r w:rsidR="002A407D">
        <w:rPr>
          <w:lang w:val="fr-FR"/>
        </w:rPr>
        <w:t>Corre</w:t>
      </w:r>
      <w:r w:rsidR="00EA2F40">
        <w:rPr>
          <w:lang w:val="fr-FR"/>
        </w:rPr>
        <w:t>ction de la note de bas de page </w:t>
      </w:r>
      <w:r w:rsidR="002A407D" w:rsidRPr="00954451">
        <w:rPr>
          <w:lang w:val="fr-FR"/>
        </w:rPr>
        <w:t>b</w:t>
      </w:r>
      <w:r w:rsidR="002A407D">
        <w:rPr>
          <w:lang w:val="fr-FR"/>
        </w:rPr>
        <w:br/>
        <w:t>pour les consignes écrites (par. 5.4.3.4)</w:t>
      </w:r>
    </w:p>
    <w:p w:rsidR="006E2665" w:rsidRDefault="006E2665" w:rsidP="002A407D">
      <w:pPr>
        <w:pStyle w:val="H1G"/>
        <w:rPr>
          <w:sz w:val="20"/>
          <w:lang w:val="fr-FR"/>
        </w:rPr>
      </w:pPr>
      <w:r>
        <w:rPr>
          <w:lang w:val="fr-FR"/>
        </w:rPr>
        <w:tab/>
      </w:r>
      <w:r>
        <w:rPr>
          <w:lang w:val="fr-FR"/>
        </w:rPr>
        <w:tab/>
        <w:t>Communication du Gouvernement allemand</w:t>
      </w:r>
      <w:r w:rsidRPr="00143CDD">
        <w:rPr>
          <w:rStyle w:val="FootnoteReference"/>
          <w:b w:val="0"/>
          <w:sz w:val="20"/>
          <w:vertAlign w:val="baseline"/>
          <w:lang w:val="fr-FR"/>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9"/>
      </w:tblGrid>
      <w:tr w:rsidR="006E2665" w:rsidRPr="00402187" w:rsidTr="004F20FA">
        <w:trPr>
          <w:jc w:val="center"/>
        </w:trPr>
        <w:tc>
          <w:tcPr>
            <w:tcW w:w="9629" w:type="dxa"/>
            <w:tcBorders>
              <w:bottom w:val="nil"/>
            </w:tcBorders>
            <w:shd w:val="clear" w:color="auto" w:fill="auto"/>
          </w:tcPr>
          <w:p w:rsidR="006E2665" w:rsidRPr="00744B75" w:rsidRDefault="006E2665" w:rsidP="004F20FA">
            <w:pPr>
              <w:tabs>
                <w:tab w:val="left" w:pos="255"/>
              </w:tabs>
              <w:suppressAutoHyphens w:val="0"/>
              <w:spacing w:before="240" w:after="120"/>
              <w:rPr>
                <w:sz w:val="24"/>
                <w:szCs w:val="24"/>
              </w:rPr>
            </w:pPr>
            <w:r>
              <w:rPr>
                <w:lang w:val="fr-FR"/>
              </w:rPr>
              <w:tab/>
            </w:r>
            <w:r w:rsidRPr="00744B75">
              <w:rPr>
                <w:i/>
                <w:iCs/>
                <w:sz w:val="24"/>
                <w:szCs w:val="24"/>
                <w:lang w:val="fr-FR"/>
              </w:rPr>
              <w:t>Résumé</w:t>
            </w:r>
          </w:p>
        </w:tc>
      </w:tr>
      <w:tr w:rsidR="006E2665" w:rsidRPr="001B3B01" w:rsidTr="004F20FA">
        <w:trPr>
          <w:jc w:val="center"/>
        </w:trPr>
        <w:tc>
          <w:tcPr>
            <w:tcW w:w="9629" w:type="dxa"/>
            <w:tcBorders>
              <w:top w:val="nil"/>
              <w:bottom w:val="nil"/>
            </w:tcBorders>
            <w:shd w:val="clear" w:color="auto" w:fill="auto"/>
          </w:tcPr>
          <w:p w:rsidR="006E2665" w:rsidRPr="00827F10" w:rsidRDefault="006E2665" w:rsidP="002A407D">
            <w:pPr>
              <w:pStyle w:val="SingleTxtG"/>
              <w:ind w:left="3402" w:hanging="2268"/>
              <w:rPr>
                <w:lang w:val="fr-FR"/>
              </w:rPr>
            </w:pPr>
            <w:r>
              <w:rPr>
                <w:b/>
                <w:bCs/>
                <w:lang w:val="fr-FR"/>
              </w:rPr>
              <w:t>Résumé analytique :</w:t>
            </w:r>
            <w:r>
              <w:rPr>
                <w:lang w:val="fr-FR"/>
              </w:rPr>
              <w:tab/>
            </w:r>
            <w:r w:rsidR="002A407D" w:rsidRPr="00055159">
              <w:rPr>
                <w:lang w:val="fr-FR"/>
              </w:rPr>
              <w:t xml:space="preserve">Erreur à corriger dans la </w:t>
            </w:r>
            <w:r w:rsidR="00954451">
              <w:rPr>
                <w:lang w:val="fr-FR"/>
              </w:rPr>
              <w:t>note de bas de page </w:t>
            </w:r>
            <w:r w:rsidR="002A407D" w:rsidRPr="00954451">
              <w:rPr>
                <w:lang w:val="fr-FR"/>
              </w:rPr>
              <w:t>b</w:t>
            </w:r>
            <w:r w:rsidR="002A407D" w:rsidRPr="00055159">
              <w:rPr>
                <w:lang w:val="fr-FR"/>
              </w:rPr>
              <w:t xml:space="preserve"> pour les consignes écrites (par</w:t>
            </w:r>
            <w:r w:rsidR="002A407D">
              <w:rPr>
                <w:lang w:val="fr-FR"/>
              </w:rPr>
              <w:t>. </w:t>
            </w:r>
            <w:r w:rsidR="002A407D" w:rsidRPr="00055159">
              <w:rPr>
                <w:lang w:val="fr-FR"/>
              </w:rPr>
              <w:t>5.4.3.4).</w:t>
            </w:r>
          </w:p>
        </w:tc>
      </w:tr>
      <w:tr w:rsidR="006E2665" w:rsidRPr="001B3B01" w:rsidTr="004F20FA">
        <w:trPr>
          <w:jc w:val="center"/>
        </w:trPr>
        <w:tc>
          <w:tcPr>
            <w:tcW w:w="9629" w:type="dxa"/>
            <w:tcBorders>
              <w:top w:val="nil"/>
              <w:bottom w:val="nil"/>
            </w:tcBorders>
            <w:shd w:val="clear" w:color="auto" w:fill="auto"/>
          </w:tcPr>
          <w:p w:rsidR="006E2665" w:rsidRPr="00827F10" w:rsidRDefault="006E2665" w:rsidP="004F20FA">
            <w:pPr>
              <w:pStyle w:val="SingleTxtG"/>
              <w:ind w:left="3402" w:hanging="2268"/>
              <w:rPr>
                <w:lang w:val="fr-FR"/>
              </w:rPr>
            </w:pPr>
            <w:r w:rsidRPr="00954451">
              <w:rPr>
                <w:b/>
                <w:bCs/>
                <w:lang w:val="fr-FR"/>
              </w:rPr>
              <w:t>Mesures à prendre :</w:t>
            </w:r>
            <w:r w:rsidRPr="00954451">
              <w:rPr>
                <w:lang w:val="fr-FR"/>
              </w:rPr>
              <w:tab/>
            </w:r>
            <w:r w:rsidR="002A407D" w:rsidRPr="00954451">
              <w:rPr>
                <w:lang w:val="fr-FR"/>
              </w:rPr>
              <w:t>Corr</w:t>
            </w:r>
            <w:r w:rsidR="00954451">
              <w:rPr>
                <w:lang w:val="fr-FR"/>
              </w:rPr>
              <w:t>ection à la note de bas de page </w:t>
            </w:r>
            <w:r w:rsidR="002A407D" w:rsidRPr="00954451">
              <w:rPr>
                <w:lang w:val="fr-FR"/>
              </w:rPr>
              <w:t>b pour les consignes écrites.</w:t>
            </w:r>
          </w:p>
        </w:tc>
      </w:tr>
      <w:tr w:rsidR="006E2665" w:rsidRPr="001B3B01" w:rsidTr="004F20FA">
        <w:trPr>
          <w:jc w:val="center"/>
        </w:trPr>
        <w:tc>
          <w:tcPr>
            <w:tcW w:w="9629" w:type="dxa"/>
            <w:tcBorders>
              <w:top w:val="nil"/>
              <w:bottom w:val="nil"/>
            </w:tcBorders>
            <w:shd w:val="clear" w:color="auto" w:fill="auto"/>
          </w:tcPr>
          <w:p w:rsidR="006E2665" w:rsidRPr="00827F10" w:rsidRDefault="006E2665" w:rsidP="004F20FA">
            <w:pPr>
              <w:ind w:left="3402" w:right="1134" w:hanging="2268"/>
              <w:jc w:val="both"/>
              <w:rPr>
                <w:lang w:val="fr-FR"/>
              </w:rPr>
            </w:pPr>
            <w:r>
              <w:rPr>
                <w:b/>
                <w:bCs/>
                <w:lang w:val="fr-FR"/>
              </w:rPr>
              <w:t>Documents de référence :</w:t>
            </w:r>
            <w:r>
              <w:rPr>
                <w:lang w:val="fr-FR"/>
              </w:rPr>
              <w:tab/>
            </w:r>
            <w:r w:rsidR="002A407D" w:rsidRPr="00055159">
              <w:rPr>
                <w:lang w:val="fr-FR"/>
              </w:rPr>
              <w:t>Document informel INF.22 de la 104</w:t>
            </w:r>
            <w:r w:rsidR="002A407D" w:rsidRPr="002A407D">
              <w:rPr>
                <w:vertAlign w:val="superscript"/>
                <w:lang w:val="fr-FR"/>
              </w:rPr>
              <w:t>e</w:t>
            </w:r>
            <w:r w:rsidR="002A407D" w:rsidRPr="002A407D">
              <w:rPr>
                <w:lang w:val="fr-FR"/>
              </w:rPr>
              <w:t> </w:t>
            </w:r>
            <w:r w:rsidR="002A407D" w:rsidRPr="00055159">
              <w:rPr>
                <w:lang w:val="fr-FR"/>
              </w:rPr>
              <w:t>session du WP.15 (communication du Gouvernement allemand) et ECE/TRANS/WP.15/242, paragraphe 38.</w:t>
            </w:r>
          </w:p>
          <w:p w:rsidR="006E2665" w:rsidRPr="00827F10" w:rsidRDefault="006E2665" w:rsidP="004F20FA">
            <w:pPr>
              <w:tabs>
                <w:tab w:val="left" w:pos="1170"/>
              </w:tabs>
              <w:suppressAutoHyphens w:val="0"/>
              <w:rPr>
                <w:lang w:val="fr-FR"/>
              </w:rPr>
            </w:pPr>
          </w:p>
        </w:tc>
      </w:tr>
      <w:tr w:rsidR="006E2665" w:rsidRPr="001B3B01" w:rsidTr="004F20FA">
        <w:trPr>
          <w:jc w:val="center"/>
        </w:trPr>
        <w:tc>
          <w:tcPr>
            <w:tcW w:w="9629" w:type="dxa"/>
            <w:tcBorders>
              <w:top w:val="nil"/>
            </w:tcBorders>
            <w:shd w:val="clear" w:color="auto" w:fill="auto"/>
          </w:tcPr>
          <w:p w:rsidR="006E2665" w:rsidRPr="00827F10" w:rsidRDefault="006E2665" w:rsidP="004F20FA">
            <w:pPr>
              <w:suppressAutoHyphens w:val="0"/>
              <w:rPr>
                <w:lang w:val="fr-FR"/>
              </w:rPr>
            </w:pPr>
          </w:p>
        </w:tc>
      </w:tr>
    </w:tbl>
    <w:p w:rsidR="00EA2F40" w:rsidRDefault="00EA2F40" w:rsidP="00AF0CB5"/>
    <w:p w:rsidR="00EA2F40" w:rsidRPr="00055159" w:rsidRDefault="00EA2F40" w:rsidP="00EA2F40">
      <w:pPr>
        <w:pStyle w:val="HChG"/>
      </w:pPr>
      <w:r>
        <w:br w:type="page"/>
      </w:r>
      <w:r w:rsidRPr="00055159">
        <w:rPr>
          <w:lang w:val="fr-FR"/>
        </w:rPr>
        <w:lastRenderedPageBreak/>
        <w:tab/>
      </w:r>
      <w:r>
        <w:rPr>
          <w:lang w:val="fr-FR"/>
        </w:rPr>
        <w:tab/>
      </w:r>
      <w:r w:rsidRPr="00055159">
        <w:rPr>
          <w:lang w:val="fr-FR"/>
        </w:rPr>
        <w:t>Introduction</w:t>
      </w:r>
    </w:p>
    <w:p w:rsidR="00EA2F40" w:rsidRPr="00055159" w:rsidRDefault="00EA2F40" w:rsidP="00EA2F40">
      <w:pPr>
        <w:pStyle w:val="SingleTxtG"/>
      </w:pPr>
      <w:r w:rsidRPr="00055159">
        <w:rPr>
          <w:lang w:val="fr-FR"/>
        </w:rPr>
        <w:t>1.</w:t>
      </w:r>
      <w:r w:rsidRPr="00055159">
        <w:rPr>
          <w:lang w:val="fr-FR"/>
        </w:rPr>
        <w:tab/>
        <w:t>À la 104</w:t>
      </w:r>
      <w:r w:rsidRPr="00055159">
        <w:rPr>
          <w:vertAlign w:val="superscript"/>
          <w:lang w:val="fr-FR"/>
        </w:rPr>
        <w:t>e</w:t>
      </w:r>
      <w:r w:rsidRPr="00055159">
        <w:rPr>
          <w:lang w:val="fr-FR"/>
        </w:rPr>
        <w:t xml:space="preserve"> session du Groupe de travail, tenue en mai 2018, l’Allemagne a soulevé une question (voir le document informel INF.22 de la 104</w:t>
      </w:r>
      <w:r w:rsidRPr="00055159">
        <w:rPr>
          <w:vertAlign w:val="superscript"/>
          <w:lang w:val="fr-FR"/>
        </w:rPr>
        <w:t>e</w:t>
      </w:r>
      <w:r w:rsidRPr="00055159">
        <w:rPr>
          <w:lang w:val="fr-FR"/>
        </w:rPr>
        <w:t xml:space="preserve"> session) au sujet d’une erreur dans la note de bas de page b pour les consignes écrites, au paragraphe 5.4.3.4 de l’ADR. </w:t>
      </w:r>
    </w:p>
    <w:p w:rsidR="00EA2F40" w:rsidRPr="00055159" w:rsidRDefault="00EA2F40" w:rsidP="00EA2F40">
      <w:pPr>
        <w:pStyle w:val="SingleTxtG"/>
        <w:keepNext/>
      </w:pPr>
      <w:r w:rsidRPr="00055159">
        <w:rPr>
          <w:lang w:val="fr-FR"/>
        </w:rPr>
        <w:t>2.</w:t>
      </w:r>
      <w:r w:rsidRPr="00055159">
        <w:rPr>
          <w:lang w:val="fr-FR"/>
        </w:rPr>
        <w:tab/>
        <w:t>La 104</w:t>
      </w:r>
      <w:r w:rsidRPr="00055159">
        <w:rPr>
          <w:vertAlign w:val="superscript"/>
          <w:lang w:val="fr-FR"/>
        </w:rPr>
        <w:t>e</w:t>
      </w:r>
      <w:r w:rsidRPr="00055159">
        <w:rPr>
          <w:lang w:val="fr-FR"/>
        </w:rPr>
        <w:t xml:space="preserve"> session est parvenue aux conclusions suivantes (extrait du rapport) :</w:t>
      </w:r>
    </w:p>
    <w:p w:rsidR="00EA2F40" w:rsidRPr="00055159" w:rsidRDefault="00EA2F40" w:rsidP="00F3483C">
      <w:pPr>
        <w:pStyle w:val="SingleTxtG"/>
        <w:ind w:left="1701"/>
      </w:pPr>
      <w:r w:rsidRPr="00055159">
        <w:t>« </w:t>
      </w:r>
      <w:r w:rsidRPr="00055159">
        <w:rPr>
          <w:lang w:val="fr-FR"/>
        </w:rPr>
        <w:t>38.</w:t>
      </w:r>
      <w:r w:rsidRPr="00055159">
        <w:rPr>
          <w:lang w:val="fr-FR"/>
        </w:rPr>
        <w:tab/>
      </w:r>
      <w:r w:rsidRPr="00F3483C">
        <w:rPr>
          <w:i/>
          <w:lang w:val="fr-FR"/>
        </w:rPr>
        <w:t>Plusieurs délégations ont soutenu la proposition de l’Allemagne. D’autres ont cependant rappelé que les modifications fréquentes des consignes écrites n’étaient pas souhaitables et qu’il était préférable de grouper cette proposition d’amendement avec d’autres propositions susceptibles d’être étudiées au cours de la période bisannuelle pour prise en compte dans l’ADR 2021. Plusieurs délégations se sont demandé si les équipements prévus suivant la note b pouvaient être utiles en cas d’accident impliquant des piles au lithium. Après examen de la proposition, le Groupe de travail a jugé que cette dernière, sous forme de document informel, était tardive pour une mise en œuvre dès le 1</w:t>
      </w:r>
      <w:r w:rsidRPr="00F3483C">
        <w:rPr>
          <w:i/>
          <w:vertAlign w:val="superscript"/>
          <w:lang w:val="fr-FR"/>
        </w:rPr>
        <w:t>er</w:t>
      </w:r>
      <w:r w:rsidRPr="00F3483C">
        <w:rPr>
          <w:i/>
          <w:lang w:val="fr-FR"/>
        </w:rPr>
        <w:t xml:space="preserve"> janvier 2019. La représentante de l’Allemagne a informé le Groupe de travail qu’elle présenterait un document officiel à la prochaine session</w:t>
      </w:r>
      <w:r w:rsidRPr="00055159">
        <w:rPr>
          <w:lang w:val="fr-FR"/>
        </w:rPr>
        <w:t>. »</w:t>
      </w:r>
      <w:r w:rsidR="00437401">
        <w:rPr>
          <w:lang w:val="fr-FR"/>
        </w:rPr>
        <w:t>.</w:t>
      </w:r>
    </w:p>
    <w:p w:rsidR="00EA2F40" w:rsidRPr="00055159" w:rsidRDefault="00EA2F40" w:rsidP="00F3483C">
      <w:pPr>
        <w:pStyle w:val="SingleTxtG"/>
      </w:pPr>
      <w:r w:rsidRPr="00055159">
        <w:rPr>
          <w:lang w:val="fr-FR"/>
        </w:rPr>
        <w:t>3.</w:t>
      </w:r>
      <w:r w:rsidRPr="00055159">
        <w:rPr>
          <w:lang w:val="fr-FR"/>
        </w:rPr>
        <w:tab/>
        <w:t>Certains États se sont déclarés préoccupés, estimant que compléter les consignes écrites engendrerait des coûts élevés. Cet argument a été pris en compte ; il est proposé que l’amendement devienne effectif à l’entrée en vigueur de l’ADR 2021. Ainsi, il sera toujours possible, au cours des deux prochaines périodes bisannuelles, de recueillir d’autres propositions ou procéder à un ajustement éventuel.</w:t>
      </w:r>
    </w:p>
    <w:p w:rsidR="00EA2F40" w:rsidRPr="00055159" w:rsidRDefault="00EA2F40" w:rsidP="00F3483C">
      <w:pPr>
        <w:pStyle w:val="SingleTxtG"/>
      </w:pPr>
      <w:r w:rsidRPr="00055159">
        <w:rPr>
          <w:lang w:val="fr-FR"/>
        </w:rPr>
        <w:t>4.</w:t>
      </w:r>
      <w:r w:rsidRPr="00055159">
        <w:rPr>
          <w:lang w:val="fr-FR"/>
        </w:rPr>
        <w:tab/>
        <w:t>En outre, une nouvelle mesure transitoire sera ajoutée.</w:t>
      </w:r>
    </w:p>
    <w:p w:rsidR="00EA2F40" w:rsidRPr="00055159" w:rsidRDefault="00EA2F40" w:rsidP="00F3483C">
      <w:pPr>
        <w:pStyle w:val="SingleTxtG"/>
      </w:pPr>
      <w:r w:rsidRPr="00055159">
        <w:rPr>
          <w:lang w:val="fr-FR"/>
        </w:rPr>
        <w:t>5.</w:t>
      </w:r>
      <w:r w:rsidRPr="00055159">
        <w:rPr>
          <w:lang w:val="fr-FR"/>
        </w:rPr>
        <w:tab/>
        <w:t>Dans la version actuelle de l’</w:t>
      </w:r>
      <w:r w:rsidR="00437401">
        <w:rPr>
          <w:lang w:val="fr-FR"/>
        </w:rPr>
        <w:t>ADR, la note de bas de page b</w:t>
      </w:r>
      <w:r w:rsidRPr="00055159">
        <w:rPr>
          <w:lang w:val="fr-FR"/>
        </w:rPr>
        <w:t xml:space="preserve"> pour les consignes écrites figurant au paragraphe 5.4.3.</w:t>
      </w:r>
      <w:r w:rsidR="00437401">
        <w:rPr>
          <w:lang w:val="fr-FR"/>
        </w:rPr>
        <w:t>4</w:t>
      </w:r>
      <w:r w:rsidRPr="00055159">
        <w:rPr>
          <w:lang w:val="fr-FR"/>
        </w:rPr>
        <w:t xml:space="preserve"> ne fait référence qu’à l’étiquette de danger </w:t>
      </w:r>
      <w:r w:rsidR="00437401" w:rsidRPr="00437401">
        <w:rPr>
          <w:rFonts w:eastAsia="MS Mincho"/>
          <w:lang w:val="fr-FR"/>
        </w:rPr>
        <w:t>n</w:t>
      </w:r>
      <w:r w:rsidR="00437401" w:rsidRPr="00437401">
        <w:rPr>
          <w:rFonts w:eastAsia="MS Mincho"/>
          <w:vertAlign w:val="superscript"/>
          <w:lang w:val="fr-FR"/>
        </w:rPr>
        <w:t>o</w:t>
      </w:r>
      <w:r w:rsidR="00437401">
        <w:rPr>
          <w:lang w:val="fr-FR"/>
        </w:rPr>
        <w:t> </w:t>
      </w:r>
      <w:r w:rsidRPr="00055159">
        <w:rPr>
          <w:lang w:val="fr-FR"/>
        </w:rPr>
        <w:t xml:space="preserve">9. </w:t>
      </w:r>
    </w:p>
    <w:p w:rsidR="00EA2F40" w:rsidRPr="00055159" w:rsidRDefault="00EA2F40" w:rsidP="00F3483C">
      <w:pPr>
        <w:pStyle w:val="SingleTxtG"/>
      </w:pPr>
      <w:r w:rsidRPr="00055159">
        <w:rPr>
          <w:lang w:val="fr-FR"/>
        </w:rPr>
        <w:t>6.</w:t>
      </w:r>
      <w:r w:rsidRPr="00055159">
        <w:rPr>
          <w:lang w:val="fr-FR"/>
        </w:rPr>
        <w:tab/>
        <w:t xml:space="preserve">Il a été constaté que cette note devrait également faire mention de l’étiquette de danger </w:t>
      </w:r>
      <w:r w:rsidR="00437401" w:rsidRPr="00437401">
        <w:rPr>
          <w:rFonts w:eastAsia="MS Mincho"/>
          <w:lang w:val="fr-FR"/>
        </w:rPr>
        <w:t>n</w:t>
      </w:r>
      <w:r w:rsidR="00437401" w:rsidRPr="00437401">
        <w:rPr>
          <w:rFonts w:eastAsia="MS Mincho"/>
          <w:vertAlign w:val="superscript"/>
          <w:lang w:val="fr-FR"/>
        </w:rPr>
        <w:t>o</w:t>
      </w:r>
      <w:r w:rsidR="00437401">
        <w:rPr>
          <w:lang w:val="fr-FR"/>
        </w:rPr>
        <w:t> </w:t>
      </w:r>
      <w:r w:rsidRPr="00055159">
        <w:rPr>
          <w:lang w:val="fr-FR"/>
        </w:rPr>
        <w:t>9A.</w:t>
      </w:r>
    </w:p>
    <w:p w:rsidR="00EA2F40" w:rsidRPr="00055159" w:rsidRDefault="00EA2F40" w:rsidP="00F3483C">
      <w:pPr>
        <w:pStyle w:val="SingleTxtG"/>
      </w:pPr>
      <w:r w:rsidRPr="00055159">
        <w:rPr>
          <w:lang w:val="fr-FR"/>
        </w:rPr>
        <w:t>7.</w:t>
      </w:r>
      <w:r w:rsidRPr="00055159">
        <w:rPr>
          <w:lang w:val="fr-FR"/>
        </w:rPr>
        <w:tab/>
        <w:t>Ainsi, dans l’ADR 2021, les numéros d’étiquette de danger énumérés dans la note de bas de page b pour les consignes écrites figurant au paragraphe 5.4.3.4 devraient être modifiés en conséquence.</w:t>
      </w:r>
    </w:p>
    <w:p w:rsidR="00EA2F40" w:rsidRPr="00055159" w:rsidRDefault="00EA2F40" w:rsidP="00F3483C">
      <w:pPr>
        <w:pStyle w:val="HChG"/>
      </w:pPr>
      <w:r w:rsidRPr="00055159">
        <w:rPr>
          <w:lang w:val="fr-FR"/>
        </w:rPr>
        <w:tab/>
      </w:r>
      <w:r w:rsidRPr="00055159">
        <w:rPr>
          <w:lang w:val="fr-FR"/>
        </w:rPr>
        <w:tab/>
        <w:t>Proposition d’amendement</w:t>
      </w:r>
    </w:p>
    <w:p w:rsidR="00EA2F40" w:rsidRPr="00055159" w:rsidRDefault="00EA2F40" w:rsidP="00F3483C">
      <w:pPr>
        <w:pStyle w:val="SingleTxtG"/>
      </w:pPr>
      <w:r w:rsidRPr="00055159">
        <w:rPr>
          <w:lang w:val="fr-FR"/>
        </w:rPr>
        <w:t>8.</w:t>
      </w:r>
      <w:r w:rsidRPr="00055159">
        <w:rPr>
          <w:lang w:val="fr-FR"/>
        </w:rPr>
        <w:tab/>
        <w:t xml:space="preserve">Paragraphe 5.4.3.4, remplacer « 8 ou 9 » par « 8, 9 ou 9A » dans l’énumération des numéros d’étiquette de danger dans la note de bas de page b. </w:t>
      </w:r>
    </w:p>
    <w:p w:rsidR="00EA2F40" w:rsidRPr="00055159" w:rsidRDefault="00EA2F40" w:rsidP="00F3483C">
      <w:pPr>
        <w:pStyle w:val="SingleTxtG"/>
      </w:pPr>
      <w:r w:rsidRPr="00055159">
        <w:rPr>
          <w:lang w:val="fr-FR"/>
        </w:rPr>
        <w:t>9.</w:t>
      </w:r>
      <w:r w:rsidRPr="00055159">
        <w:rPr>
          <w:lang w:val="fr-FR"/>
        </w:rPr>
        <w:tab/>
        <w:t>Paragraphe 1.6.x.x, ajouter la nouvelle mesure transitoire suivante :</w:t>
      </w:r>
    </w:p>
    <w:p w:rsidR="00EA2F40" w:rsidRPr="00055159" w:rsidRDefault="00EA2F40" w:rsidP="00437401">
      <w:pPr>
        <w:pStyle w:val="SingleTxtG"/>
        <w:ind w:left="1701"/>
      </w:pPr>
      <w:r w:rsidRPr="00055159">
        <w:t>« </w:t>
      </w:r>
      <w:r w:rsidRPr="00055159">
        <w:rPr>
          <w:lang w:val="fr-FR"/>
        </w:rPr>
        <w:t>Les consignes écrites conformément aux prescriptions de l’ADR en vigueur jusqu’au 31</w:t>
      </w:r>
      <w:r w:rsidR="00F3483C">
        <w:rPr>
          <w:lang w:val="fr-FR"/>
        </w:rPr>
        <w:t> </w:t>
      </w:r>
      <w:r w:rsidRPr="00055159">
        <w:rPr>
          <w:lang w:val="fr-FR"/>
        </w:rPr>
        <w:t>décembre 2020 mais qui ne sont cependant pas conformes aux prescriptions du 5.4.3 applicables à partir du 1</w:t>
      </w:r>
      <w:r w:rsidRPr="00055159">
        <w:rPr>
          <w:vertAlign w:val="superscript"/>
          <w:lang w:val="fr-FR"/>
        </w:rPr>
        <w:t>er</w:t>
      </w:r>
      <w:r w:rsidR="00F3483C">
        <w:rPr>
          <w:lang w:val="fr-FR"/>
        </w:rPr>
        <w:t> </w:t>
      </w:r>
      <w:r w:rsidRPr="00055159">
        <w:rPr>
          <w:lang w:val="fr-FR"/>
        </w:rPr>
        <w:t>janvier 2021 pourront être utilisées jusqu’au 30 juin 2023. ».</w:t>
      </w:r>
    </w:p>
    <w:p w:rsidR="00EA2F40" w:rsidRPr="00055159" w:rsidRDefault="00EA2F40" w:rsidP="00F3483C">
      <w:pPr>
        <w:pStyle w:val="HChG"/>
      </w:pPr>
      <w:r w:rsidRPr="00055159">
        <w:rPr>
          <w:lang w:val="fr-FR"/>
        </w:rPr>
        <w:tab/>
      </w:r>
      <w:r w:rsidRPr="00055159">
        <w:rPr>
          <w:lang w:val="fr-FR"/>
        </w:rPr>
        <w:tab/>
        <w:t>Faisabilité</w:t>
      </w:r>
    </w:p>
    <w:p w:rsidR="00F9573C" w:rsidRDefault="00EA2F40" w:rsidP="00F3483C">
      <w:pPr>
        <w:pStyle w:val="SingleTxtG"/>
        <w:rPr>
          <w:lang w:val="fr-FR"/>
        </w:rPr>
      </w:pPr>
      <w:r w:rsidRPr="00055159">
        <w:rPr>
          <w:lang w:val="fr-FR"/>
        </w:rPr>
        <w:t>10.</w:t>
      </w:r>
      <w:r w:rsidRPr="00055159">
        <w:rPr>
          <w:lang w:val="fr-FR"/>
        </w:rPr>
        <w:tab/>
        <w:t>Aucun problème n’est prévu.</w:t>
      </w:r>
    </w:p>
    <w:p w:rsidR="00F3483C" w:rsidRPr="00F3483C" w:rsidRDefault="00F3483C" w:rsidP="00F3483C">
      <w:pPr>
        <w:pStyle w:val="SingleTxtG"/>
        <w:spacing w:before="240" w:after="0"/>
        <w:jc w:val="center"/>
        <w:rPr>
          <w:u w:val="single"/>
        </w:rPr>
      </w:pPr>
      <w:r>
        <w:rPr>
          <w:u w:val="single"/>
        </w:rPr>
        <w:tab/>
      </w:r>
      <w:r>
        <w:rPr>
          <w:u w:val="single"/>
        </w:rPr>
        <w:tab/>
      </w:r>
      <w:r>
        <w:rPr>
          <w:u w:val="single"/>
        </w:rPr>
        <w:tab/>
      </w:r>
    </w:p>
    <w:sectPr w:rsidR="00F3483C" w:rsidRPr="00F3483C" w:rsidSect="006E26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1F5" w:rsidRDefault="00F441F5" w:rsidP="00F95C08">
      <w:pPr>
        <w:spacing w:line="240" w:lineRule="auto"/>
      </w:pPr>
    </w:p>
  </w:endnote>
  <w:endnote w:type="continuationSeparator" w:id="0">
    <w:p w:rsidR="00F441F5" w:rsidRPr="00AC3823" w:rsidRDefault="00F441F5" w:rsidP="00AC3823">
      <w:pPr>
        <w:pStyle w:val="Footer"/>
      </w:pPr>
    </w:p>
  </w:endnote>
  <w:endnote w:type="continuationNotice" w:id="1">
    <w:p w:rsidR="00F441F5" w:rsidRDefault="00F441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Pr="006E2665" w:rsidRDefault="006E2665" w:rsidP="006E2665">
    <w:pPr>
      <w:pStyle w:val="Footer"/>
      <w:tabs>
        <w:tab w:val="right" w:pos="9638"/>
      </w:tabs>
    </w:pPr>
    <w:r w:rsidRPr="006E2665">
      <w:rPr>
        <w:b/>
        <w:sz w:val="18"/>
      </w:rPr>
      <w:fldChar w:fldCharType="begin"/>
    </w:r>
    <w:r w:rsidRPr="006E2665">
      <w:rPr>
        <w:b/>
        <w:sz w:val="18"/>
      </w:rPr>
      <w:instrText xml:space="preserve"> PAGE  \* MERGEFORMAT </w:instrText>
    </w:r>
    <w:r w:rsidRPr="006E2665">
      <w:rPr>
        <w:b/>
        <w:sz w:val="18"/>
      </w:rPr>
      <w:fldChar w:fldCharType="separate"/>
    </w:r>
    <w:r w:rsidR="009E2795">
      <w:rPr>
        <w:b/>
        <w:noProof/>
        <w:sz w:val="18"/>
      </w:rPr>
      <w:t>2</w:t>
    </w:r>
    <w:r w:rsidRPr="006E2665">
      <w:rPr>
        <w:b/>
        <w:sz w:val="18"/>
      </w:rPr>
      <w:fldChar w:fldCharType="end"/>
    </w:r>
    <w:r>
      <w:rPr>
        <w:b/>
        <w:sz w:val="18"/>
      </w:rPr>
      <w:tab/>
    </w:r>
    <w:r>
      <w:t>GE.18-13660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Pr="006E2665" w:rsidRDefault="006E2665" w:rsidP="006E2665">
    <w:pPr>
      <w:pStyle w:val="Footer"/>
      <w:tabs>
        <w:tab w:val="right" w:pos="9638"/>
      </w:tabs>
      <w:rPr>
        <w:b/>
        <w:sz w:val="18"/>
      </w:rPr>
    </w:pPr>
    <w:r>
      <w:t>GE.18-13660</w:t>
    </w:r>
    <w:r>
      <w:tab/>
    </w:r>
    <w:r w:rsidRPr="006E2665">
      <w:rPr>
        <w:b/>
        <w:sz w:val="18"/>
      </w:rPr>
      <w:fldChar w:fldCharType="begin"/>
    </w:r>
    <w:r w:rsidRPr="006E2665">
      <w:rPr>
        <w:b/>
        <w:sz w:val="18"/>
      </w:rPr>
      <w:instrText xml:space="preserve"> PAGE  \* MERGEFORMAT </w:instrText>
    </w:r>
    <w:r w:rsidRPr="006E2665">
      <w:rPr>
        <w:b/>
        <w:sz w:val="18"/>
      </w:rPr>
      <w:fldChar w:fldCharType="separate"/>
    </w:r>
    <w:r w:rsidR="00F3483C">
      <w:rPr>
        <w:b/>
        <w:noProof/>
        <w:sz w:val="18"/>
      </w:rPr>
      <w:t>3</w:t>
    </w:r>
    <w:r w:rsidRPr="006E26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E2665" w:rsidRDefault="006E2665" w:rsidP="006E266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13660  (</w:t>
    </w:r>
    <w:proofErr w:type="gramEnd"/>
    <w:r>
      <w:rPr>
        <w:sz w:val="20"/>
      </w:rPr>
      <w:t>F)    070918    200918</w:t>
    </w:r>
    <w:r>
      <w:rPr>
        <w:sz w:val="20"/>
      </w:rPr>
      <w:br/>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sidRPr="006E266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1F5" w:rsidRPr="00AC3823" w:rsidRDefault="00F441F5" w:rsidP="00AC3823">
      <w:pPr>
        <w:pStyle w:val="Footer"/>
        <w:tabs>
          <w:tab w:val="right" w:pos="2155"/>
        </w:tabs>
        <w:spacing w:after="80" w:line="240" w:lineRule="atLeast"/>
        <w:ind w:left="680"/>
        <w:rPr>
          <w:u w:val="single"/>
        </w:rPr>
      </w:pPr>
      <w:r>
        <w:rPr>
          <w:u w:val="single"/>
        </w:rPr>
        <w:tab/>
      </w:r>
    </w:p>
  </w:footnote>
  <w:footnote w:type="continuationSeparator" w:id="0">
    <w:p w:rsidR="00F441F5" w:rsidRPr="00AC3823" w:rsidRDefault="00F441F5" w:rsidP="00AC3823">
      <w:pPr>
        <w:pStyle w:val="Footer"/>
        <w:tabs>
          <w:tab w:val="right" w:pos="2155"/>
        </w:tabs>
        <w:spacing w:after="80" w:line="240" w:lineRule="atLeast"/>
        <w:ind w:left="680"/>
        <w:rPr>
          <w:u w:val="single"/>
        </w:rPr>
      </w:pPr>
      <w:r>
        <w:rPr>
          <w:u w:val="single"/>
        </w:rPr>
        <w:tab/>
      </w:r>
    </w:p>
  </w:footnote>
  <w:footnote w:type="continuationNotice" w:id="1">
    <w:p w:rsidR="00F441F5" w:rsidRPr="00AC3823" w:rsidRDefault="00F441F5">
      <w:pPr>
        <w:spacing w:line="240" w:lineRule="auto"/>
        <w:rPr>
          <w:sz w:val="2"/>
          <w:szCs w:val="2"/>
        </w:rPr>
      </w:pPr>
    </w:p>
  </w:footnote>
  <w:footnote w:id="2">
    <w:p w:rsidR="006E2665" w:rsidRPr="00827F10" w:rsidRDefault="006E2665" w:rsidP="006E2665">
      <w:pPr>
        <w:pStyle w:val="FootnoteText"/>
        <w:rPr>
          <w:lang w:val="fr-FR"/>
        </w:rPr>
      </w:pPr>
      <w:r>
        <w:rPr>
          <w:sz w:val="20"/>
          <w:lang w:val="fr-FR"/>
        </w:rPr>
        <w:tab/>
      </w:r>
      <w:r w:rsidRPr="00143CDD">
        <w:rPr>
          <w:rStyle w:val="FootnoteReference"/>
          <w:sz w:val="20"/>
          <w:vertAlign w:val="baseline"/>
          <w:lang w:val="fr-FR"/>
        </w:rPr>
        <w:sym w:font="Symbol" w:char="F02A"/>
      </w:r>
      <w:r>
        <w:rPr>
          <w:lang w:val="fr-FR"/>
        </w:rPr>
        <w:tab/>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Pr="006E2665" w:rsidRDefault="008C5CB0">
    <w:pPr>
      <w:pStyle w:val="Header"/>
    </w:pPr>
    <w:r>
      <w:fldChar w:fldCharType="begin"/>
    </w:r>
    <w:r>
      <w:instrText xml:space="preserve"> TITLE  \* MERGEFORMAT </w:instrText>
    </w:r>
    <w:r>
      <w:fldChar w:fldCharType="separate"/>
    </w:r>
    <w:r w:rsidR="00437401">
      <w:t>ECE/TRANS/WP.15/2018/5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5" w:rsidRPr="006E2665" w:rsidRDefault="008C5CB0" w:rsidP="006E2665">
    <w:pPr>
      <w:pStyle w:val="Header"/>
      <w:jc w:val="right"/>
    </w:pPr>
    <w:r>
      <w:fldChar w:fldCharType="begin"/>
    </w:r>
    <w:r>
      <w:instrText xml:space="preserve"> TITLE  \* MERGEFORMAT </w:instrText>
    </w:r>
    <w:r>
      <w:fldChar w:fldCharType="separate"/>
    </w:r>
    <w:r w:rsidR="00437401">
      <w:t>ECE/TRANS/WP.15/2018/5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F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A407D"/>
    <w:rsid w:val="002D7C93"/>
    <w:rsid w:val="00305801"/>
    <w:rsid w:val="003916DE"/>
    <w:rsid w:val="00421996"/>
    <w:rsid w:val="00437401"/>
    <w:rsid w:val="00441C3B"/>
    <w:rsid w:val="00446FE5"/>
    <w:rsid w:val="00452396"/>
    <w:rsid w:val="004837D8"/>
    <w:rsid w:val="004E2EED"/>
    <w:rsid w:val="004E468C"/>
    <w:rsid w:val="005505B7"/>
    <w:rsid w:val="00573BE5"/>
    <w:rsid w:val="00586ED3"/>
    <w:rsid w:val="00596AA9"/>
    <w:rsid w:val="006E2665"/>
    <w:rsid w:val="0071601D"/>
    <w:rsid w:val="007A62E6"/>
    <w:rsid w:val="007F20FA"/>
    <w:rsid w:val="0080684C"/>
    <w:rsid w:val="00871C75"/>
    <w:rsid w:val="008776DC"/>
    <w:rsid w:val="008C5CB0"/>
    <w:rsid w:val="009446C0"/>
    <w:rsid w:val="00954451"/>
    <w:rsid w:val="009705C8"/>
    <w:rsid w:val="009C1CF4"/>
    <w:rsid w:val="009E2795"/>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2F40"/>
    <w:rsid w:val="00EA6547"/>
    <w:rsid w:val="00EF2E22"/>
    <w:rsid w:val="00F3483C"/>
    <w:rsid w:val="00F35BAF"/>
    <w:rsid w:val="00F441F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0A4103-F93B-4A9D-A2E3-719DB9B0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E2665"/>
    <w:rPr>
      <w:rFonts w:ascii="Times New Roman" w:eastAsiaTheme="minorHAnsi" w:hAnsi="Times New Roman" w:cs="Times New Roman"/>
      <w:sz w:val="20"/>
      <w:szCs w:val="20"/>
      <w:lang w:eastAsia="en-US"/>
    </w:rPr>
  </w:style>
  <w:style w:type="character" w:customStyle="1" w:styleId="HChGChar">
    <w:name w:val="_ H _Ch_G Char"/>
    <w:link w:val="HChG"/>
    <w:rsid w:val="006E2665"/>
    <w:rPr>
      <w:rFonts w:ascii="Times New Roman" w:eastAsiaTheme="minorHAnsi" w:hAnsi="Times New Roman" w:cs="Times New Roman"/>
      <w:b/>
      <w:sz w:val="28"/>
      <w:szCs w:val="20"/>
      <w:lang w:eastAsia="en-US"/>
    </w:rPr>
  </w:style>
  <w:style w:type="character" w:customStyle="1" w:styleId="H1GChar">
    <w:name w:val="_ H_1_G Char"/>
    <w:link w:val="H1G"/>
    <w:rsid w:val="006E2665"/>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ECE/TRANS/WP.15/2018/5</vt:lpstr>
      <vt:lpstr>ECE/TRANS/WP.15/2018/5</vt:lpstr>
    </vt:vector>
  </TitlesOfParts>
  <Company>DCM</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ECE/TRANS/WP.15/2018/5</dc:title>
  <dc:subject/>
  <dc:creator>Nath VITTOZ</dc:creator>
  <cp:keywords/>
  <cp:lastModifiedBy>Christine Barrio-Champeau</cp:lastModifiedBy>
  <cp:revision>2</cp:revision>
  <cp:lastPrinted>2018-09-20T07:21:00Z</cp:lastPrinted>
  <dcterms:created xsi:type="dcterms:W3CDTF">2018-09-20T08:24:00Z</dcterms:created>
  <dcterms:modified xsi:type="dcterms:W3CDTF">2018-09-20T08:24:00Z</dcterms:modified>
</cp:coreProperties>
</file>